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4.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BD4853" w:rsidR="00E0375F" w:rsidP="00BD4853" w:rsidRDefault="00E0375F">
      <w:pPr>
        <w:jc w:val="center"/>
        <w:rPr>
          <w:lang w:val="en-GB"/>
        </w:rPr>
      </w:pPr>
      <w:bookmarkStart w:name="_GoBack" w:id="0"/>
      <w:bookmarkEnd w:id="0"/>
    </w:p>
    <w:p w:rsidRPr="00BD4853" w:rsidR="00E0375F" w:rsidP="00BD4853" w:rsidRDefault="00E0375F">
      <w:pPr>
        <w:jc w:val="center"/>
        <w:rPr>
          <w:lang w:val="en-GB"/>
        </w:rPr>
      </w:pPr>
    </w:p>
    <w:p w:rsidRPr="00BD4853" w:rsidR="00E0375F" w:rsidP="00BD4853" w:rsidRDefault="00E0375F">
      <w:pPr>
        <w:jc w:val="center"/>
        <w:rPr>
          <w:lang w:val="en-GB"/>
        </w:rPr>
      </w:pPr>
    </w:p>
    <w:p w:rsidRPr="00BD4853" w:rsidR="00E0375F" w:rsidP="00BD4853" w:rsidRDefault="00E0375F">
      <w:pPr>
        <w:tabs>
          <w:tab w:val="left" w:pos="5529"/>
        </w:tabs>
        <w:jc w:val="center"/>
        <w:rPr>
          <w:lang w:val="en-GB"/>
        </w:rPr>
      </w:pPr>
      <w:r w:rsidRPr="00BD4853">
        <w:rPr>
          <w:lang w:val="en-GB"/>
        </w:rPr>
        <w:t>FIFTH SECTION</w:t>
      </w:r>
    </w:p>
    <w:p w:rsidRPr="00BD4853" w:rsidR="00E0375F" w:rsidP="00BD4853" w:rsidRDefault="00E0375F">
      <w:pPr>
        <w:jc w:val="center"/>
        <w:rPr>
          <w:lang w:val="en-GB"/>
        </w:rPr>
      </w:pPr>
    </w:p>
    <w:p w:rsidRPr="00BD4853" w:rsidR="00E0375F" w:rsidP="00BD4853" w:rsidRDefault="00E0375F">
      <w:pPr>
        <w:jc w:val="center"/>
        <w:rPr>
          <w:lang w:val="en-GB"/>
        </w:rPr>
      </w:pPr>
    </w:p>
    <w:p w:rsidRPr="00BD4853" w:rsidR="00E0375F" w:rsidP="00BD4853" w:rsidRDefault="00E0375F">
      <w:pPr>
        <w:jc w:val="center"/>
        <w:rPr>
          <w:lang w:val="en-GB"/>
        </w:rPr>
      </w:pPr>
    </w:p>
    <w:p w:rsidRPr="00BD4853" w:rsidR="00E0375F" w:rsidP="00BD4853" w:rsidRDefault="00E0375F">
      <w:pPr>
        <w:jc w:val="center"/>
        <w:outlineLvl w:val="0"/>
        <w:rPr>
          <w:b/>
          <w:lang w:val="en-GB"/>
        </w:rPr>
      </w:pPr>
      <w:r w:rsidRPr="00BD4853">
        <w:rPr>
          <w:b/>
          <w:lang w:val="en-GB"/>
        </w:rPr>
        <w:t xml:space="preserve">CASE OF </w:t>
      </w:r>
      <w:r w:rsidRPr="00BD4853" w:rsidR="00157144">
        <w:rPr>
          <w:b/>
          <w:lang w:val="en-GB"/>
        </w:rPr>
        <w:t>WOLTER AND SARFERT</w:t>
      </w:r>
      <w:r w:rsidRPr="00BD4853">
        <w:rPr>
          <w:b/>
          <w:lang w:val="en-GB"/>
        </w:rPr>
        <w:t xml:space="preserve"> v. GERMANY</w:t>
      </w:r>
    </w:p>
    <w:p w:rsidRPr="00BD4853" w:rsidR="00E0375F" w:rsidP="00BD4853" w:rsidRDefault="00E0375F">
      <w:pPr>
        <w:jc w:val="right"/>
        <w:rPr>
          <w:lang w:val="en-GB"/>
        </w:rPr>
      </w:pPr>
    </w:p>
    <w:p w:rsidRPr="00BD4853" w:rsidR="00E0375F" w:rsidP="00BD4853" w:rsidRDefault="00E0375F">
      <w:pPr>
        <w:jc w:val="center"/>
        <w:rPr>
          <w:i/>
          <w:lang w:val="en-GB"/>
        </w:rPr>
      </w:pPr>
      <w:r w:rsidRPr="00BD4853">
        <w:rPr>
          <w:i/>
          <w:lang w:val="en-GB"/>
        </w:rPr>
        <w:t>(Applications nos. 59752/13 and 66277/13)</w:t>
      </w:r>
    </w:p>
    <w:p w:rsidRPr="00BD4853" w:rsidR="00E0375F" w:rsidP="00BD4853" w:rsidRDefault="00E0375F">
      <w:pPr>
        <w:jc w:val="center"/>
        <w:rPr>
          <w:lang w:val="en-GB"/>
        </w:rPr>
      </w:pPr>
    </w:p>
    <w:p w:rsidRPr="00BD4853" w:rsidR="00E0375F" w:rsidP="00BD4853" w:rsidRDefault="00E0375F">
      <w:pPr>
        <w:jc w:val="center"/>
        <w:rPr>
          <w:lang w:val="en-GB"/>
        </w:rPr>
      </w:pPr>
    </w:p>
    <w:p w:rsidRPr="00BD4853" w:rsidR="00E0375F" w:rsidP="00BD4853" w:rsidRDefault="00E0375F">
      <w:pPr>
        <w:jc w:val="center"/>
        <w:rPr>
          <w:lang w:val="en-GB"/>
        </w:rPr>
      </w:pPr>
    </w:p>
    <w:p w:rsidRPr="00BD4853" w:rsidR="003B4061" w:rsidP="00BD4853" w:rsidRDefault="003B4061">
      <w:pPr>
        <w:jc w:val="center"/>
        <w:rPr>
          <w:lang w:val="en-GB"/>
        </w:rPr>
      </w:pPr>
    </w:p>
    <w:p w:rsidRPr="00BD4853" w:rsidR="003B4061" w:rsidP="00BD4853" w:rsidRDefault="003B4061">
      <w:pPr>
        <w:jc w:val="center"/>
        <w:rPr>
          <w:lang w:val="en-GB"/>
        </w:rPr>
      </w:pPr>
    </w:p>
    <w:p w:rsidRPr="00BD4853" w:rsidR="00E0375F" w:rsidP="00BD4853" w:rsidRDefault="00E0375F">
      <w:pPr>
        <w:jc w:val="center"/>
        <w:rPr>
          <w:lang w:val="en-GB"/>
        </w:rPr>
      </w:pPr>
    </w:p>
    <w:p w:rsidRPr="00BD4853" w:rsidR="00E0375F" w:rsidP="00BD4853" w:rsidRDefault="00E0375F">
      <w:pPr>
        <w:jc w:val="center"/>
        <w:rPr>
          <w:lang w:val="en-GB"/>
        </w:rPr>
      </w:pPr>
    </w:p>
    <w:p w:rsidRPr="00BD4853" w:rsidR="00E0375F" w:rsidP="00BD4853" w:rsidRDefault="00E0375F">
      <w:pPr>
        <w:jc w:val="center"/>
        <w:outlineLvl w:val="0"/>
        <w:rPr>
          <w:lang w:val="en-GB"/>
        </w:rPr>
      </w:pPr>
      <w:r w:rsidRPr="00BD4853">
        <w:rPr>
          <w:lang w:val="en-GB"/>
        </w:rPr>
        <w:t>JUDGMENT</w:t>
      </w:r>
    </w:p>
    <w:p w:rsidRPr="00BD4853" w:rsidR="00E0375F" w:rsidP="00BD4853" w:rsidRDefault="00E0375F">
      <w:pPr>
        <w:jc w:val="center"/>
        <w:rPr>
          <w:lang w:val="en-GB"/>
        </w:rPr>
      </w:pPr>
      <w:r w:rsidRPr="00BD4853">
        <w:rPr>
          <w:lang w:val="en-GB"/>
        </w:rPr>
        <w:t>(</w:t>
      </w:r>
      <w:r w:rsidRPr="00BD4853">
        <w:rPr>
          <w:i/>
          <w:lang w:val="en-GB"/>
        </w:rPr>
        <w:t>Merits</w:t>
      </w:r>
      <w:r w:rsidRPr="00BD4853">
        <w:rPr>
          <w:lang w:val="en-GB"/>
        </w:rPr>
        <w:t>)</w:t>
      </w:r>
    </w:p>
    <w:p w:rsidRPr="00BD4853" w:rsidR="00E0375F" w:rsidP="00BD4853" w:rsidRDefault="00E0375F">
      <w:pPr>
        <w:jc w:val="center"/>
        <w:rPr>
          <w:lang w:val="en-GB"/>
        </w:rPr>
      </w:pPr>
    </w:p>
    <w:p w:rsidRPr="00BD4853" w:rsidR="00E0375F" w:rsidP="00BD4853" w:rsidRDefault="00E0375F">
      <w:pPr>
        <w:jc w:val="center"/>
        <w:rPr>
          <w:lang w:val="en-GB"/>
        </w:rPr>
      </w:pPr>
    </w:p>
    <w:p w:rsidRPr="00BD4853" w:rsidR="00E0375F" w:rsidP="00BD4853" w:rsidRDefault="00E0375F">
      <w:pPr>
        <w:jc w:val="center"/>
        <w:rPr>
          <w:lang w:val="en-GB"/>
        </w:rPr>
      </w:pPr>
    </w:p>
    <w:p w:rsidRPr="00BD4853" w:rsidR="00E0375F" w:rsidP="00BD4853" w:rsidRDefault="00E0375F">
      <w:pPr>
        <w:jc w:val="center"/>
        <w:rPr>
          <w:lang w:val="en-GB"/>
        </w:rPr>
      </w:pPr>
    </w:p>
    <w:p w:rsidRPr="00BD4853" w:rsidR="00E0375F" w:rsidP="00BD4853" w:rsidRDefault="00E0375F">
      <w:pPr>
        <w:jc w:val="center"/>
        <w:rPr>
          <w:i/>
          <w:lang w:val="en-GB"/>
        </w:rPr>
      </w:pPr>
    </w:p>
    <w:p w:rsidRPr="00BD4853" w:rsidR="00E0375F" w:rsidP="00BD4853" w:rsidRDefault="00E0375F">
      <w:pPr>
        <w:jc w:val="center"/>
        <w:outlineLvl w:val="0"/>
        <w:rPr>
          <w:lang w:val="en-GB"/>
        </w:rPr>
      </w:pPr>
      <w:r w:rsidRPr="00BD4853">
        <w:rPr>
          <w:lang w:val="en-GB"/>
        </w:rPr>
        <w:t>STRASBOURG</w:t>
      </w:r>
    </w:p>
    <w:p w:rsidRPr="00BD4853" w:rsidR="00E0375F" w:rsidP="00BD4853" w:rsidRDefault="00E0375F">
      <w:pPr>
        <w:jc w:val="center"/>
        <w:rPr>
          <w:lang w:val="en-GB"/>
        </w:rPr>
      </w:pPr>
    </w:p>
    <w:p w:rsidRPr="00BD4853" w:rsidR="00E0375F" w:rsidP="00BD4853" w:rsidRDefault="00E0375F">
      <w:pPr>
        <w:jc w:val="center"/>
        <w:rPr>
          <w:lang w:val="en-GB"/>
        </w:rPr>
      </w:pPr>
      <w:r w:rsidRPr="00BD4853">
        <w:rPr>
          <w:lang w:val="en-GB"/>
        </w:rPr>
        <w:t>23 March 2017</w:t>
      </w:r>
    </w:p>
    <w:p w:rsidRPr="00BD4853" w:rsidR="00E0375F" w:rsidP="00BD4853" w:rsidRDefault="00E0375F">
      <w:pPr>
        <w:jc w:val="center"/>
        <w:rPr>
          <w:lang w:val="en-GB"/>
        </w:rPr>
      </w:pPr>
    </w:p>
    <w:p w:rsidRPr="00BD4853" w:rsidR="00E0375F" w:rsidP="00BD4853" w:rsidRDefault="00E0375F">
      <w:pPr>
        <w:jc w:val="center"/>
        <w:rPr>
          <w:lang w:val="en-GB"/>
        </w:rPr>
      </w:pPr>
    </w:p>
    <w:p w:rsidRPr="00BD4853" w:rsidR="00BD4853" w:rsidP="00BD4853" w:rsidRDefault="00BD4853">
      <w:pPr>
        <w:pStyle w:val="jucase0"/>
        <w:ind w:firstLine="0"/>
        <w:jc w:val="center"/>
        <w:rPr>
          <w:color w:val="FF0000"/>
          <w:sz w:val="28"/>
          <w:szCs w:val="28"/>
          <w:u w:val="single"/>
        </w:rPr>
      </w:pPr>
      <w:r w:rsidRPr="00BD4853">
        <w:rPr>
          <w:color w:val="FF0000"/>
          <w:sz w:val="28"/>
          <w:szCs w:val="28"/>
          <w:u w:val="single"/>
        </w:rPr>
        <w:t>FINAL</w:t>
      </w:r>
    </w:p>
    <w:p w:rsidRPr="00BD4853" w:rsidR="00BD4853" w:rsidP="00BD4853" w:rsidRDefault="00BD4853">
      <w:pPr>
        <w:pStyle w:val="jupara"/>
        <w:tabs>
          <w:tab w:val="left" w:pos="4650"/>
        </w:tabs>
        <w:ind w:firstLine="0"/>
        <w:jc w:val="center"/>
        <w:rPr>
          <w:color w:val="FF0000"/>
          <w:sz w:val="28"/>
          <w:szCs w:val="28"/>
        </w:rPr>
      </w:pPr>
    </w:p>
    <w:p w:rsidRPr="00BD4853" w:rsidR="00BD4853" w:rsidP="00BD4853" w:rsidRDefault="00BD4853">
      <w:pPr>
        <w:pStyle w:val="jupara"/>
        <w:ind w:firstLine="0"/>
        <w:jc w:val="center"/>
        <w:rPr>
          <w:color w:val="FF0000"/>
          <w:sz w:val="28"/>
          <w:szCs w:val="28"/>
        </w:rPr>
      </w:pPr>
      <w:r w:rsidRPr="00BD4853">
        <w:rPr>
          <w:color w:val="FF0000"/>
          <w:sz w:val="28"/>
          <w:szCs w:val="28"/>
        </w:rPr>
        <w:t>23/06/2017</w:t>
      </w:r>
    </w:p>
    <w:p w:rsidRPr="00BD4853" w:rsidR="00BD4853" w:rsidP="00BD4853" w:rsidRDefault="00BD4853">
      <w:pPr>
        <w:pStyle w:val="jupara"/>
        <w:ind w:firstLine="0"/>
        <w:jc w:val="center"/>
      </w:pPr>
    </w:p>
    <w:p w:rsidRPr="00BD4853" w:rsidR="00BD4853" w:rsidP="00BD4853" w:rsidRDefault="00BD4853">
      <w:pPr>
        <w:jc w:val="center"/>
        <w:rPr>
          <w:i/>
          <w:iCs/>
          <w:sz w:val="22"/>
        </w:rPr>
      </w:pPr>
      <w:r w:rsidRPr="00BD4853">
        <w:rPr>
          <w:i/>
          <w:iCs/>
          <w:sz w:val="22"/>
        </w:rPr>
        <w:t>This judgment has become final under Article 44 § 2 of the Convention. It may be subject to editorial revision.</w:t>
      </w:r>
    </w:p>
    <w:p w:rsidRPr="00BD4853" w:rsidR="00E0375F" w:rsidP="00BD4853" w:rsidRDefault="00E0375F">
      <w:pPr>
        <w:jc w:val="left"/>
        <w:rPr>
          <w:i/>
          <w:sz w:val="22"/>
          <w:lang w:val="en-GB"/>
        </w:rPr>
        <w:sectPr w:rsidRPr="00BD4853" w:rsidR="00E0375F" w:rsidSect="00E0375F">
          <w:headerReference w:type="default" r:id="rId8"/>
          <w:headerReference w:type="first" r:id="rId9"/>
          <w:footerReference w:type="first" r:id="rId10"/>
          <w:footnotePr>
            <w:numRestart w:val="eachSect"/>
          </w:footnotePr>
          <w:pgSz w:w="11906" w:h="16838" w:code="9"/>
          <w:pgMar w:top="2274" w:right="2274" w:bottom="2274" w:left="2274" w:header="1701" w:footer="720" w:gutter="0"/>
          <w:pgNumType w:start="1"/>
          <w:cols w:space="720"/>
          <w:titlePg/>
          <w:docGrid w:linePitch="326"/>
        </w:sectPr>
      </w:pPr>
    </w:p>
    <w:p w:rsidRPr="00BD4853" w:rsidR="00014566" w:rsidP="00BD4853" w:rsidRDefault="00014566">
      <w:pPr>
        <w:pStyle w:val="JuCase"/>
        <w:suppressLineNumbers/>
        <w:rPr>
          <w:bCs/>
          <w:lang w:val="en-GB"/>
        </w:rPr>
      </w:pPr>
      <w:r w:rsidRPr="00BD4853">
        <w:rPr>
          <w:lang w:val="en-GB"/>
        </w:rPr>
        <w:t xml:space="preserve">In the case of </w:t>
      </w:r>
      <w:r w:rsidRPr="00BD4853" w:rsidR="00177BCB">
        <w:rPr>
          <w:lang w:val="en-GB"/>
        </w:rPr>
        <w:t>Wolter and Sa</w:t>
      </w:r>
      <w:r w:rsidRPr="00BD4853" w:rsidR="00521DCA">
        <w:rPr>
          <w:lang w:val="en-GB"/>
        </w:rPr>
        <w:t>r</w:t>
      </w:r>
      <w:r w:rsidRPr="00BD4853" w:rsidR="00177BCB">
        <w:rPr>
          <w:lang w:val="en-GB"/>
        </w:rPr>
        <w:t>fert v. Germany</w:t>
      </w:r>
      <w:r w:rsidRPr="00BD4853">
        <w:rPr>
          <w:lang w:val="en-GB"/>
        </w:rPr>
        <w:t>,</w:t>
      </w:r>
    </w:p>
    <w:p w:rsidRPr="00BD4853" w:rsidR="00014566" w:rsidP="00BD4853" w:rsidRDefault="00014566">
      <w:pPr>
        <w:pStyle w:val="ECHRPara"/>
        <w:rPr>
          <w:lang w:val="en-GB"/>
        </w:rPr>
      </w:pPr>
      <w:r w:rsidRPr="00BD4853">
        <w:rPr>
          <w:lang w:val="en-GB"/>
        </w:rPr>
        <w:t>The European Court of Human Rights (</w:t>
      </w:r>
      <w:r w:rsidRPr="00BD4853" w:rsidR="00177BCB">
        <w:rPr>
          <w:lang w:val="en-GB"/>
        </w:rPr>
        <w:t>Fifth Section</w:t>
      </w:r>
      <w:r w:rsidRPr="00BD4853">
        <w:rPr>
          <w:lang w:val="en-GB"/>
        </w:rPr>
        <w:t xml:space="preserve">), sitting as a </w:t>
      </w:r>
      <w:r w:rsidRPr="00BD4853" w:rsidR="00177BCB">
        <w:rPr>
          <w:lang w:val="en-GB"/>
        </w:rPr>
        <w:t>Chamber</w:t>
      </w:r>
      <w:r w:rsidRPr="00BD4853">
        <w:rPr>
          <w:lang w:val="en-GB"/>
        </w:rPr>
        <w:t xml:space="preserve"> composed of:</w:t>
      </w:r>
    </w:p>
    <w:p w:rsidRPr="00BD4853" w:rsidR="00014566" w:rsidP="00BD4853" w:rsidRDefault="00E0375F">
      <w:pPr>
        <w:pStyle w:val="ECHRDecisionBody"/>
        <w:rPr>
          <w:lang w:val="en-GB"/>
        </w:rPr>
      </w:pPr>
      <w:r w:rsidRPr="00BD4853">
        <w:tab/>
        <w:t>Erik Møse,</w:t>
      </w:r>
      <w:r w:rsidRPr="00BD4853">
        <w:rPr>
          <w:i/>
        </w:rPr>
        <w:t xml:space="preserve"> President,</w:t>
      </w:r>
      <w:r w:rsidRPr="00BD4853">
        <w:rPr>
          <w:i/>
        </w:rPr>
        <w:br/>
      </w:r>
      <w:r w:rsidRPr="00BD4853">
        <w:tab/>
        <w:t>Angelika Nußberger,</w:t>
      </w:r>
      <w:r w:rsidRPr="00BD4853">
        <w:rPr>
          <w:i/>
        </w:rPr>
        <w:br/>
      </w:r>
      <w:r w:rsidRPr="00BD4853">
        <w:tab/>
        <w:t>André Potocki,</w:t>
      </w:r>
      <w:r w:rsidRPr="00BD4853">
        <w:rPr>
          <w:i/>
        </w:rPr>
        <w:br/>
      </w:r>
      <w:r w:rsidRPr="00BD4853">
        <w:tab/>
        <w:t>Faris Vehabović,</w:t>
      </w:r>
      <w:r w:rsidRPr="00BD4853">
        <w:rPr>
          <w:i/>
        </w:rPr>
        <w:br/>
      </w:r>
      <w:r w:rsidRPr="00BD4853">
        <w:tab/>
        <w:t>Yonko Grozev,</w:t>
      </w:r>
      <w:r w:rsidRPr="00BD4853">
        <w:rPr>
          <w:i/>
        </w:rPr>
        <w:br/>
      </w:r>
      <w:r w:rsidRPr="00BD4853">
        <w:tab/>
        <w:t>Carlo Ranzoni,</w:t>
      </w:r>
      <w:r w:rsidRPr="00BD4853">
        <w:rPr>
          <w:i/>
        </w:rPr>
        <w:br/>
      </w:r>
      <w:r w:rsidRPr="00BD4853">
        <w:tab/>
        <w:t>Mārtiņš Mits,</w:t>
      </w:r>
      <w:r w:rsidRPr="00BD4853">
        <w:rPr>
          <w:i/>
        </w:rPr>
        <w:t xml:space="preserve"> judges,</w:t>
      </w:r>
      <w:r w:rsidRPr="00BD4853" w:rsidR="00014566">
        <w:rPr>
          <w:szCs w:val="24"/>
          <w:lang w:val="en-GB"/>
        </w:rPr>
        <w:br/>
      </w:r>
      <w:r w:rsidRPr="00BD4853" w:rsidR="00014566">
        <w:rPr>
          <w:lang w:val="en-GB"/>
        </w:rPr>
        <w:t xml:space="preserve">and </w:t>
      </w:r>
      <w:r w:rsidRPr="00BD4853">
        <w:rPr>
          <w:lang w:val="en-GB"/>
        </w:rPr>
        <w:t>Milan Bla</w:t>
      </w:r>
      <w:r w:rsidRPr="00BD4853">
        <w:rPr>
          <w:rFonts w:cstheme="minorHAnsi"/>
          <w:lang w:val="en-GB"/>
        </w:rPr>
        <w:t>š</w:t>
      </w:r>
      <w:r w:rsidRPr="00BD4853">
        <w:rPr>
          <w:lang w:val="en-GB"/>
        </w:rPr>
        <w:t>ko</w:t>
      </w:r>
      <w:r w:rsidRPr="00BD4853" w:rsidR="00014566">
        <w:rPr>
          <w:lang w:val="en-GB"/>
        </w:rPr>
        <w:t xml:space="preserve">, </w:t>
      </w:r>
      <w:r w:rsidRPr="00BD4853">
        <w:rPr>
          <w:i/>
          <w:lang w:val="en-GB"/>
        </w:rPr>
        <w:t>Deputy</w:t>
      </w:r>
      <w:r w:rsidRPr="00BD4853">
        <w:rPr>
          <w:lang w:val="en-GB"/>
        </w:rPr>
        <w:t xml:space="preserve"> </w:t>
      </w:r>
      <w:r w:rsidRPr="00BD4853" w:rsidR="00177BCB">
        <w:rPr>
          <w:i/>
          <w:lang w:val="en-GB"/>
        </w:rPr>
        <w:t xml:space="preserve">Section </w:t>
      </w:r>
      <w:r w:rsidRPr="00BD4853" w:rsidR="00177BCB">
        <w:rPr>
          <w:i/>
          <w:iCs/>
          <w:lang w:val="en-GB"/>
        </w:rPr>
        <w:t>Registrar</w:t>
      </w:r>
      <w:r w:rsidRPr="00BD4853" w:rsidR="00014566">
        <w:rPr>
          <w:i/>
          <w:lang w:val="en-GB"/>
        </w:rPr>
        <w:t>,</w:t>
      </w:r>
    </w:p>
    <w:p w:rsidRPr="00BD4853" w:rsidR="00014566" w:rsidP="00BD4853" w:rsidRDefault="00014566">
      <w:pPr>
        <w:pStyle w:val="ECHRPara"/>
        <w:rPr>
          <w:lang w:val="en-GB"/>
        </w:rPr>
      </w:pPr>
      <w:r w:rsidRPr="00BD4853">
        <w:rPr>
          <w:lang w:val="en-GB"/>
        </w:rPr>
        <w:t xml:space="preserve">Having deliberated in private on </w:t>
      </w:r>
      <w:r w:rsidRPr="00BD4853" w:rsidR="00E0375F">
        <w:rPr>
          <w:lang w:val="en-GB"/>
        </w:rPr>
        <w:t>28 February 2017</w:t>
      </w:r>
      <w:r w:rsidRPr="00BD4853">
        <w:rPr>
          <w:lang w:val="en-GB"/>
        </w:rPr>
        <w:t>,</w:t>
      </w:r>
    </w:p>
    <w:p w:rsidRPr="00BD4853" w:rsidR="00014566" w:rsidP="00BD4853" w:rsidRDefault="00014566">
      <w:pPr>
        <w:pStyle w:val="ECHRPara"/>
        <w:rPr>
          <w:lang w:val="en-GB"/>
        </w:rPr>
      </w:pPr>
      <w:r w:rsidRPr="00BD4853">
        <w:rPr>
          <w:lang w:val="en-GB"/>
        </w:rPr>
        <w:t>Delivers the following judgment, which was adopted on that date:</w:t>
      </w:r>
    </w:p>
    <w:p w:rsidRPr="00BD4853" w:rsidR="00014566" w:rsidP="00BD4853" w:rsidRDefault="00014566">
      <w:pPr>
        <w:pStyle w:val="ECHRTitle1"/>
        <w:rPr>
          <w:lang w:val="en-GB"/>
        </w:rPr>
      </w:pPr>
      <w:r w:rsidRPr="00BD4853">
        <w:rPr>
          <w:lang w:val="en-GB"/>
        </w:rPr>
        <w:t>PROCEDURE</w:t>
      </w:r>
    </w:p>
    <w:p w:rsidRPr="00BD4853" w:rsidR="00B93452" w:rsidP="00BD4853" w:rsidRDefault="00960DE9">
      <w:pPr>
        <w:pStyle w:val="ECHRPara"/>
        <w:rPr>
          <w:lang w:val="en-GB"/>
        </w:rPr>
      </w:pPr>
      <w:r w:rsidRPr="00BD4853">
        <w:rPr>
          <w:lang w:val="en-GB"/>
        </w:rPr>
        <w:fldChar w:fldCharType="begin"/>
      </w:r>
      <w:r w:rsidRPr="00BD4853">
        <w:rPr>
          <w:lang w:val="en-GB"/>
        </w:rPr>
        <w:instrText xml:space="preserve"> SEQ level0 \*arabic \r1</w:instrText>
      </w:r>
      <w:r w:rsidRPr="00BD4853" w:rsidR="00177BCB">
        <w:rPr>
          <w:lang w:val="en-GB"/>
        </w:rPr>
        <w:fldChar w:fldCharType="begin"/>
      </w:r>
      <w:r w:rsidRPr="00BD4853" w:rsidR="00177BCB">
        <w:rPr>
          <w:lang w:val="en-GB"/>
        </w:rPr>
        <w:instrText xml:space="preserve"> </w:instrText>
      </w:r>
      <w:r w:rsidRPr="00BD4853">
        <w:rPr>
          <w:lang w:val="en-GB"/>
        </w:rPr>
        <w:instrText>.  </w:instrText>
      </w:r>
      <w:r w:rsidRPr="00BD4853" w:rsidR="00177BCB">
        <w:rPr>
          <w:lang w:val="en-GB"/>
        </w:rPr>
        <w:instrText xml:space="preserve">SEQ level0 \*arabic </w:instrText>
      </w:r>
      <w:r w:rsidRPr="00BD4853" w:rsidR="00177BCB">
        <w:rPr>
          <w:lang w:val="en-GB"/>
        </w:rPr>
        <w:fldChar w:fldCharType="separate"/>
      </w:r>
      <w:r w:rsidRPr="00BD4853" w:rsidR="00EF3E6A">
        <w:rPr>
          <w:noProof/>
          <w:lang w:val="en-GB"/>
        </w:rPr>
        <w:instrText>1</w:instrText>
      </w:r>
      <w:r w:rsidRPr="00BD4853" w:rsidR="00177BCB">
        <w:rPr>
          <w:lang w:val="en-GB"/>
        </w:rPr>
        <w:fldChar w:fldCharType="end"/>
      </w:r>
      <w:r w:rsidRPr="00BD4853">
        <w:rPr>
          <w:lang w:val="en-GB"/>
        </w:rPr>
        <w:instrText xml:space="preserve"> </w:instrText>
      </w:r>
      <w:r w:rsidRPr="00BD4853">
        <w:rPr>
          <w:lang w:val="en-GB"/>
        </w:rPr>
        <w:fldChar w:fldCharType="separate"/>
      </w:r>
      <w:r w:rsidRPr="00BD4853" w:rsidR="00BD4853">
        <w:rPr>
          <w:noProof/>
          <w:lang w:val="en-GB"/>
        </w:rPr>
        <w:t>1</w:t>
      </w:r>
      <w:r w:rsidRPr="00BD4853">
        <w:rPr>
          <w:lang w:val="en-GB"/>
        </w:rPr>
        <w:fldChar w:fldCharType="end"/>
      </w:r>
      <w:r w:rsidRPr="00BD4853" w:rsidR="00014566">
        <w:rPr>
          <w:lang w:val="en-GB"/>
        </w:rPr>
        <w:t xml:space="preserve">.  The case originated in </w:t>
      </w:r>
      <w:r w:rsidRPr="00BD4853" w:rsidR="00177BCB">
        <w:rPr>
          <w:lang w:val="en-GB"/>
        </w:rPr>
        <w:t>two applications (nos. 59752/13 and 66277/13)</w:t>
      </w:r>
      <w:r w:rsidRPr="00BD4853" w:rsidR="00014566">
        <w:rPr>
          <w:lang w:val="en-GB"/>
        </w:rPr>
        <w:t xml:space="preserve"> against </w:t>
      </w:r>
      <w:r w:rsidRPr="00BD4853" w:rsidR="00177BCB">
        <w:rPr>
          <w:lang w:val="en-GB"/>
        </w:rPr>
        <w:t>the Federal Republic of Germany</w:t>
      </w:r>
      <w:r w:rsidRPr="00BD4853" w:rsidR="00014566">
        <w:rPr>
          <w:lang w:val="en-GB"/>
        </w:rPr>
        <w:t xml:space="preserve"> lodged with the </w:t>
      </w:r>
      <w:r w:rsidRPr="00BD4853" w:rsidR="00177BCB">
        <w:rPr>
          <w:lang w:val="en-GB"/>
        </w:rPr>
        <w:t>Court under Article 34</w:t>
      </w:r>
      <w:r w:rsidRPr="00BD4853" w:rsidR="00014566">
        <w:rPr>
          <w:lang w:val="en-GB"/>
        </w:rPr>
        <w:t xml:space="preserve"> of the Convention for the Protection of Human Rights and Fundamental Freedoms (“the Convention”) by </w:t>
      </w:r>
      <w:r w:rsidRPr="00BD4853" w:rsidR="00177BCB">
        <w:rPr>
          <w:lang w:val="en-GB"/>
        </w:rPr>
        <w:t>two German nationals, Mr</w:t>
      </w:r>
      <w:r w:rsidRPr="00BD4853" w:rsidR="00847B08">
        <w:rPr>
          <w:lang w:val="en-GB"/>
        </w:rPr>
        <w:t> </w:t>
      </w:r>
      <w:r w:rsidRPr="00BD4853" w:rsidR="00177BCB">
        <w:rPr>
          <w:lang w:val="en-GB"/>
        </w:rPr>
        <w:t>Rolf Wolter (</w:t>
      </w:r>
      <w:r w:rsidRPr="00BD4853" w:rsidR="0062389E">
        <w:rPr>
          <w:lang w:val="en-GB"/>
        </w:rPr>
        <w:t xml:space="preserve">“the </w:t>
      </w:r>
      <w:r w:rsidRPr="00BD4853" w:rsidR="00177BCB">
        <w:rPr>
          <w:lang w:val="en-GB"/>
        </w:rPr>
        <w:t>first applicant</w:t>
      </w:r>
      <w:r w:rsidRPr="00BD4853" w:rsidR="0062389E">
        <w:rPr>
          <w:lang w:val="en-GB"/>
        </w:rPr>
        <w:t>”</w:t>
      </w:r>
      <w:r w:rsidRPr="00BD4853" w:rsidR="00177BCB">
        <w:rPr>
          <w:lang w:val="en-GB"/>
        </w:rPr>
        <w:t xml:space="preserve">) and Mr </w:t>
      </w:r>
      <w:r w:rsidRPr="00BD4853" w:rsidR="00175C88">
        <w:rPr>
          <w:lang w:val="en-GB"/>
        </w:rPr>
        <w:t xml:space="preserve">Jürgen </w:t>
      </w:r>
      <w:r w:rsidRPr="00BD4853" w:rsidR="00177BCB">
        <w:rPr>
          <w:lang w:val="en-GB"/>
        </w:rPr>
        <w:t>Sa</w:t>
      </w:r>
      <w:r w:rsidRPr="00BD4853" w:rsidR="00521DCA">
        <w:rPr>
          <w:lang w:val="en-GB"/>
        </w:rPr>
        <w:t>r</w:t>
      </w:r>
      <w:r w:rsidRPr="00BD4853" w:rsidR="00177BCB">
        <w:rPr>
          <w:lang w:val="en-GB"/>
        </w:rPr>
        <w:t>fert (</w:t>
      </w:r>
      <w:r w:rsidRPr="00BD4853" w:rsidR="0062389E">
        <w:rPr>
          <w:lang w:val="en-GB"/>
        </w:rPr>
        <w:t xml:space="preserve">“the </w:t>
      </w:r>
      <w:r w:rsidRPr="00BD4853" w:rsidR="00177BCB">
        <w:rPr>
          <w:lang w:val="en-GB"/>
        </w:rPr>
        <w:t>second applicant</w:t>
      </w:r>
      <w:r w:rsidRPr="00BD4853" w:rsidR="0062389E">
        <w:rPr>
          <w:lang w:val="en-GB"/>
        </w:rPr>
        <w:t>”</w:t>
      </w:r>
      <w:r w:rsidRPr="00BD4853" w:rsidR="00177BCB">
        <w:rPr>
          <w:lang w:val="en-GB"/>
        </w:rPr>
        <w:t>), on 18 September 2013 and 11 October 2013 respectively</w:t>
      </w:r>
      <w:r w:rsidRPr="00BD4853" w:rsidR="00014566">
        <w:rPr>
          <w:lang w:val="en-GB"/>
        </w:rPr>
        <w:t>.</w:t>
      </w:r>
    </w:p>
    <w:p w:rsidRPr="00BD4853" w:rsidR="00187AF5" w:rsidP="00BD4853" w:rsidRDefault="00177BCB">
      <w:pPr>
        <w:pStyle w:val="ECHRPara"/>
        <w:rPr>
          <w:lang w:val="en-GB"/>
        </w:rPr>
      </w:pPr>
      <w:r w:rsidRPr="00BD4853">
        <w:rPr>
          <w:lang w:val="en-GB"/>
        </w:rPr>
        <w:fldChar w:fldCharType="begin"/>
      </w:r>
      <w:r w:rsidRPr="00BD4853">
        <w:rPr>
          <w:lang w:val="en-GB"/>
        </w:rPr>
        <w:instrText xml:space="preserve"> SEQ level0 \*arabic </w:instrText>
      </w:r>
      <w:r w:rsidRPr="00BD4853">
        <w:rPr>
          <w:lang w:val="en-GB"/>
        </w:rPr>
        <w:fldChar w:fldCharType="separate"/>
      </w:r>
      <w:r w:rsidRPr="00BD4853" w:rsidR="00BD4853">
        <w:rPr>
          <w:noProof/>
          <w:lang w:val="en-GB"/>
        </w:rPr>
        <w:t>2</w:t>
      </w:r>
      <w:r w:rsidRPr="00BD4853">
        <w:rPr>
          <w:lang w:val="en-GB"/>
        </w:rPr>
        <w:fldChar w:fldCharType="end"/>
      </w:r>
      <w:r w:rsidRPr="00BD4853" w:rsidR="00014566">
        <w:rPr>
          <w:lang w:val="en-GB"/>
        </w:rPr>
        <w:t>.  </w:t>
      </w:r>
      <w:r w:rsidRPr="00BD4853">
        <w:rPr>
          <w:lang w:val="en-GB"/>
        </w:rPr>
        <w:t xml:space="preserve">The first applicant was represented by Mr P. Krumbiegel, a lawyer practising in </w:t>
      </w:r>
      <w:r w:rsidRPr="00BD4853" w:rsidR="0062389E">
        <w:rPr>
          <w:lang w:val="en-GB"/>
        </w:rPr>
        <w:t>Cologne</w:t>
      </w:r>
      <w:r w:rsidRPr="00BD4853">
        <w:rPr>
          <w:lang w:val="en-GB"/>
        </w:rPr>
        <w:t xml:space="preserve">, and the second applicant by Mr F. Steinhoff, a lawyer practising in Lennestadt-Grevenbrück. </w:t>
      </w:r>
      <w:r w:rsidRPr="00BD4853" w:rsidR="00187AF5">
        <w:rPr>
          <w:lang w:val="en-GB"/>
        </w:rPr>
        <w:t>The German Government (“the Government”) were represented by one of their Agents, Ms K. Behr, of the</w:t>
      </w:r>
      <w:r w:rsidRPr="00BD4853" w:rsidR="00175C88">
        <w:rPr>
          <w:lang w:val="en-GB"/>
        </w:rPr>
        <w:t xml:space="preserve"> Federal</w:t>
      </w:r>
      <w:r w:rsidRPr="00BD4853" w:rsidR="00187AF5">
        <w:rPr>
          <w:lang w:val="en-GB"/>
        </w:rPr>
        <w:t xml:space="preserve"> Ministry of Justice and Consumer Protection.</w:t>
      </w:r>
    </w:p>
    <w:p w:rsidRPr="00BD4853" w:rsidR="00014566" w:rsidP="00BD4853" w:rsidRDefault="00177BCB">
      <w:pPr>
        <w:pStyle w:val="ECHRPara"/>
        <w:rPr>
          <w:lang w:val="en-GB"/>
        </w:rPr>
      </w:pPr>
      <w:r w:rsidRPr="00BD4853">
        <w:rPr>
          <w:lang w:val="en-GB"/>
        </w:rPr>
        <w:fldChar w:fldCharType="begin"/>
      </w:r>
      <w:r w:rsidRPr="00BD4853">
        <w:rPr>
          <w:lang w:val="en-GB"/>
        </w:rPr>
        <w:instrText xml:space="preserve"> SEQ level0 \*arabic </w:instrText>
      </w:r>
      <w:r w:rsidRPr="00BD4853">
        <w:rPr>
          <w:lang w:val="en-GB"/>
        </w:rPr>
        <w:fldChar w:fldCharType="separate"/>
      </w:r>
      <w:r w:rsidRPr="00BD4853" w:rsidR="00BD4853">
        <w:rPr>
          <w:noProof/>
          <w:lang w:val="en-GB"/>
        </w:rPr>
        <w:t>3</w:t>
      </w:r>
      <w:r w:rsidRPr="00BD4853">
        <w:rPr>
          <w:lang w:val="en-GB"/>
        </w:rPr>
        <w:fldChar w:fldCharType="end"/>
      </w:r>
      <w:r w:rsidRPr="00BD4853">
        <w:rPr>
          <w:lang w:val="en-GB"/>
        </w:rPr>
        <w:t>.  </w:t>
      </w:r>
      <w:r w:rsidRPr="00BD4853" w:rsidR="00F512CB">
        <w:rPr>
          <w:lang w:val="en-GB"/>
        </w:rPr>
        <w:t>Relying</w:t>
      </w:r>
      <w:r w:rsidRPr="00BD4853" w:rsidR="00175C88">
        <w:rPr>
          <w:lang w:val="en-GB"/>
        </w:rPr>
        <w:t xml:space="preserve">, in particular, </w:t>
      </w:r>
      <w:r w:rsidRPr="00BD4853" w:rsidR="00F512CB">
        <w:rPr>
          <w:lang w:val="en-GB"/>
        </w:rPr>
        <w:t xml:space="preserve">on Article 14 of the Convention taken in conjunction with Article 1 </w:t>
      </w:r>
      <w:r w:rsidRPr="00BD4853" w:rsidR="0062389E">
        <w:rPr>
          <w:lang w:val="en-GB"/>
        </w:rPr>
        <w:t xml:space="preserve">of </w:t>
      </w:r>
      <w:r w:rsidRPr="00BD4853" w:rsidR="00F512CB">
        <w:rPr>
          <w:lang w:val="en-GB"/>
        </w:rPr>
        <w:t xml:space="preserve">Protocol </w:t>
      </w:r>
      <w:r w:rsidRPr="00BD4853" w:rsidR="0062389E">
        <w:rPr>
          <w:lang w:val="en-GB"/>
        </w:rPr>
        <w:t xml:space="preserve">No. </w:t>
      </w:r>
      <w:r w:rsidRPr="00BD4853" w:rsidR="00F512CB">
        <w:rPr>
          <w:lang w:val="en-GB"/>
        </w:rPr>
        <w:t>1, t</w:t>
      </w:r>
      <w:r w:rsidRPr="00BD4853">
        <w:rPr>
          <w:lang w:val="en-GB"/>
        </w:rPr>
        <w:t>he applicants</w:t>
      </w:r>
      <w:r w:rsidRPr="00BD4853" w:rsidR="00F512CB">
        <w:rPr>
          <w:lang w:val="en-GB"/>
        </w:rPr>
        <w:t>,</w:t>
      </w:r>
      <w:r w:rsidRPr="00BD4853">
        <w:rPr>
          <w:lang w:val="en-GB"/>
        </w:rPr>
        <w:t xml:space="preserve"> </w:t>
      </w:r>
      <w:r w:rsidRPr="00BD4853" w:rsidR="007868AE">
        <w:rPr>
          <w:lang w:val="en-GB"/>
        </w:rPr>
        <w:t xml:space="preserve">who are </w:t>
      </w:r>
      <w:r w:rsidRPr="00BD4853" w:rsidR="00F512CB">
        <w:rPr>
          <w:lang w:val="en-GB"/>
        </w:rPr>
        <w:t xml:space="preserve">children born outside marriage, </w:t>
      </w:r>
      <w:r w:rsidRPr="00BD4853">
        <w:rPr>
          <w:lang w:val="en-GB"/>
        </w:rPr>
        <w:t xml:space="preserve">alleged </w:t>
      </w:r>
      <w:r w:rsidRPr="00BD4853" w:rsidR="00187AF5">
        <w:rPr>
          <w:lang w:val="en-GB"/>
        </w:rPr>
        <w:t xml:space="preserve">that </w:t>
      </w:r>
      <w:r w:rsidRPr="00BD4853" w:rsidR="00F512CB">
        <w:rPr>
          <w:lang w:val="en-GB"/>
        </w:rPr>
        <w:t>they</w:t>
      </w:r>
      <w:r w:rsidRPr="00BD4853" w:rsidR="00187AF5">
        <w:rPr>
          <w:lang w:val="en-GB"/>
        </w:rPr>
        <w:t xml:space="preserve"> had suffered discrimination on </w:t>
      </w:r>
      <w:r w:rsidRPr="00BD4853" w:rsidR="0062389E">
        <w:rPr>
          <w:lang w:val="en-GB"/>
        </w:rPr>
        <w:t xml:space="preserve">the </w:t>
      </w:r>
      <w:r w:rsidRPr="00BD4853" w:rsidR="00187AF5">
        <w:rPr>
          <w:lang w:val="en-GB"/>
        </w:rPr>
        <w:t xml:space="preserve">grounds of </w:t>
      </w:r>
      <w:r w:rsidRPr="00BD4853" w:rsidR="0062389E">
        <w:rPr>
          <w:lang w:val="en-GB"/>
        </w:rPr>
        <w:t xml:space="preserve">their </w:t>
      </w:r>
      <w:r w:rsidRPr="00BD4853" w:rsidR="00187AF5">
        <w:rPr>
          <w:lang w:val="en-GB"/>
        </w:rPr>
        <w:t xml:space="preserve">birth by the application of the relevant </w:t>
      </w:r>
      <w:r w:rsidRPr="00BD4853" w:rsidR="0021769E">
        <w:rPr>
          <w:lang w:val="en-GB"/>
        </w:rPr>
        <w:t xml:space="preserve">provisions of </w:t>
      </w:r>
      <w:r w:rsidRPr="00BD4853" w:rsidR="00187AF5">
        <w:rPr>
          <w:lang w:val="en-GB"/>
        </w:rPr>
        <w:t>domestic inheritance law by the national courts.</w:t>
      </w:r>
    </w:p>
    <w:p w:rsidRPr="00BD4853" w:rsidR="00014566" w:rsidP="00BD4853" w:rsidRDefault="00177BCB">
      <w:pPr>
        <w:pStyle w:val="ECHRPara"/>
        <w:rPr>
          <w:lang w:val="en-GB"/>
        </w:rPr>
      </w:pPr>
      <w:r w:rsidRPr="00BD4853">
        <w:rPr>
          <w:lang w:val="en-GB"/>
        </w:rPr>
        <w:fldChar w:fldCharType="begin"/>
      </w:r>
      <w:r w:rsidRPr="00BD4853">
        <w:rPr>
          <w:lang w:val="en-GB"/>
        </w:rPr>
        <w:instrText xml:space="preserve"> SEQ level0 \*arabic </w:instrText>
      </w:r>
      <w:r w:rsidRPr="00BD4853">
        <w:rPr>
          <w:lang w:val="en-GB"/>
        </w:rPr>
        <w:fldChar w:fldCharType="separate"/>
      </w:r>
      <w:r w:rsidRPr="00BD4853" w:rsidR="00BD4853">
        <w:rPr>
          <w:noProof/>
          <w:lang w:val="en-GB"/>
        </w:rPr>
        <w:t>4</w:t>
      </w:r>
      <w:r w:rsidRPr="00BD4853">
        <w:rPr>
          <w:lang w:val="en-GB"/>
        </w:rPr>
        <w:fldChar w:fldCharType="end"/>
      </w:r>
      <w:r w:rsidRPr="00BD4853" w:rsidR="00014566">
        <w:rPr>
          <w:lang w:val="en-GB"/>
        </w:rPr>
        <w:t>.  </w:t>
      </w:r>
      <w:r w:rsidRPr="00BD4853">
        <w:rPr>
          <w:lang w:val="en-GB"/>
        </w:rPr>
        <w:t xml:space="preserve">On </w:t>
      </w:r>
      <w:r w:rsidRPr="00BD4853" w:rsidR="00F512CB">
        <w:rPr>
          <w:lang w:val="en-GB"/>
        </w:rPr>
        <w:t>26 May 2015</w:t>
      </w:r>
      <w:r w:rsidRPr="00BD4853">
        <w:rPr>
          <w:lang w:val="en-GB"/>
        </w:rPr>
        <w:t xml:space="preserve"> </w:t>
      </w:r>
      <w:r w:rsidRPr="00BD4853" w:rsidR="00014566">
        <w:rPr>
          <w:lang w:val="en-GB"/>
        </w:rPr>
        <w:t xml:space="preserve">the </w:t>
      </w:r>
      <w:r w:rsidRPr="00BD4853">
        <w:rPr>
          <w:lang w:val="en-GB"/>
        </w:rPr>
        <w:t>applications were communicated to the Government</w:t>
      </w:r>
      <w:r w:rsidRPr="00BD4853" w:rsidR="00F512CB">
        <w:rPr>
          <w:lang w:val="en-GB"/>
        </w:rPr>
        <w:t>.</w:t>
      </w:r>
    </w:p>
    <w:p w:rsidRPr="00BD4853" w:rsidR="00014566" w:rsidP="00BD4853" w:rsidRDefault="00014566">
      <w:pPr>
        <w:pStyle w:val="ECHRTitle1"/>
        <w:rPr>
          <w:lang w:val="en-GB"/>
        </w:rPr>
      </w:pPr>
      <w:r w:rsidRPr="00BD4853">
        <w:rPr>
          <w:lang w:val="en-GB"/>
        </w:rPr>
        <w:t>THE FACTS</w:t>
      </w:r>
    </w:p>
    <w:p w:rsidRPr="00BD4853" w:rsidR="00F512CB" w:rsidP="00BD4853" w:rsidRDefault="00014566">
      <w:pPr>
        <w:pStyle w:val="ECHRHeading1"/>
        <w:rPr>
          <w:lang w:val="en-GB"/>
        </w:rPr>
      </w:pPr>
      <w:r w:rsidRPr="00BD4853">
        <w:rPr>
          <w:lang w:val="en-GB"/>
        </w:rPr>
        <w:t>I.  THE CIRCUMSTANCES OF THE CASE</w:t>
      </w:r>
    </w:p>
    <w:p w:rsidRPr="00BD4853" w:rsidR="00014566" w:rsidP="00BD4853" w:rsidRDefault="00177BCB">
      <w:pPr>
        <w:pStyle w:val="ECHRPara"/>
        <w:rPr>
          <w:lang w:val="en-GB"/>
        </w:rPr>
      </w:pPr>
      <w:r w:rsidRPr="00BD4853">
        <w:rPr>
          <w:lang w:val="en-GB"/>
        </w:rPr>
        <w:fldChar w:fldCharType="begin"/>
      </w:r>
      <w:r w:rsidRPr="00BD4853">
        <w:rPr>
          <w:lang w:val="en-GB"/>
        </w:rPr>
        <w:instrText xml:space="preserve"> SEQ level0 \*arabic </w:instrText>
      </w:r>
      <w:r w:rsidRPr="00BD4853">
        <w:rPr>
          <w:lang w:val="en-GB"/>
        </w:rPr>
        <w:fldChar w:fldCharType="separate"/>
      </w:r>
      <w:r w:rsidRPr="00BD4853" w:rsidR="00BD4853">
        <w:rPr>
          <w:noProof/>
          <w:lang w:val="en-GB"/>
        </w:rPr>
        <w:t>5</w:t>
      </w:r>
      <w:r w:rsidRPr="00BD4853">
        <w:rPr>
          <w:lang w:val="en-GB"/>
        </w:rPr>
        <w:fldChar w:fldCharType="end"/>
      </w:r>
      <w:r w:rsidRPr="00BD4853" w:rsidR="00014566">
        <w:rPr>
          <w:lang w:val="en-GB"/>
        </w:rPr>
        <w:t xml:space="preserve">.  The </w:t>
      </w:r>
      <w:r w:rsidRPr="00BD4853" w:rsidR="00175C88">
        <w:rPr>
          <w:lang w:val="en-GB"/>
        </w:rPr>
        <w:t xml:space="preserve">first </w:t>
      </w:r>
      <w:r w:rsidRPr="00BD4853">
        <w:rPr>
          <w:lang w:val="en-GB"/>
        </w:rPr>
        <w:t xml:space="preserve">applicant </w:t>
      </w:r>
      <w:r w:rsidRPr="00BD4853" w:rsidR="00175C88">
        <w:rPr>
          <w:lang w:val="en-GB"/>
        </w:rPr>
        <w:t xml:space="preserve">was </w:t>
      </w:r>
      <w:r w:rsidRPr="00BD4853">
        <w:rPr>
          <w:lang w:val="en-GB"/>
        </w:rPr>
        <w:t xml:space="preserve">born in 1943 and </w:t>
      </w:r>
      <w:r w:rsidRPr="00BD4853" w:rsidR="00F512CB">
        <w:rPr>
          <w:lang w:val="en-GB"/>
        </w:rPr>
        <w:t>live</w:t>
      </w:r>
      <w:r w:rsidRPr="00BD4853" w:rsidR="00175C88">
        <w:rPr>
          <w:lang w:val="en-GB"/>
        </w:rPr>
        <w:t>s</w:t>
      </w:r>
      <w:r w:rsidRPr="00BD4853" w:rsidR="00014566">
        <w:rPr>
          <w:lang w:val="en-GB"/>
        </w:rPr>
        <w:t xml:space="preserve"> in </w:t>
      </w:r>
      <w:r w:rsidRPr="00BD4853" w:rsidR="0062389E">
        <w:rPr>
          <w:lang w:val="en-GB"/>
        </w:rPr>
        <w:t xml:space="preserve">Cologne </w:t>
      </w:r>
      <w:r w:rsidRPr="00BD4853" w:rsidR="00F512CB">
        <w:rPr>
          <w:lang w:val="en-GB"/>
        </w:rPr>
        <w:t xml:space="preserve">and </w:t>
      </w:r>
      <w:r w:rsidRPr="00BD4853" w:rsidR="00175C88">
        <w:rPr>
          <w:lang w:val="en-GB"/>
        </w:rPr>
        <w:t>the second applicant was born in 19</w:t>
      </w:r>
      <w:r w:rsidRPr="00BD4853" w:rsidR="00F06E86">
        <w:rPr>
          <w:lang w:val="en-GB"/>
        </w:rPr>
        <w:t>4</w:t>
      </w:r>
      <w:r w:rsidRPr="00BD4853" w:rsidR="00521DCA">
        <w:rPr>
          <w:lang w:val="en-GB"/>
        </w:rPr>
        <w:t>0</w:t>
      </w:r>
      <w:r w:rsidRPr="00BD4853" w:rsidR="00175C88">
        <w:rPr>
          <w:lang w:val="en-GB"/>
        </w:rPr>
        <w:t xml:space="preserve"> and lives </w:t>
      </w:r>
      <w:r w:rsidRPr="00BD4853" w:rsidR="00EC6FE3">
        <w:rPr>
          <w:lang w:val="en-GB"/>
        </w:rPr>
        <w:t xml:space="preserve">in </w:t>
      </w:r>
      <w:r w:rsidRPr="00BD4853" w:rsidR="00F512CB">
        <w:rPr>
          <w:lang w:val="en-GB"/>
        </w:rPr>
        <w:t>Stuttgart</w:t>
      </w:r>
      <w:r w:rsidRPr="00BD4853" w:rsidR="00014566">
        <w:rPr>
          <w:lang w:val="en-GB"/>
        </w:rPr>
        <w:t>.</w:t>
      </w:r>
    </w:p>
    <w:p w:rsidRPr="00BD4853" w:rsidR="00F512CB" w:rsidP="00BD4853" w:rsidRDefault="00B93452">
      <w:pPr>
        <w:pStyle w:val="ECHRHeading2"/>
        <w:rPr>
          <w:lang w:val="en-GB"/>
        </w:rPr>
      </w:pPr>
      <w:r w:rsidRPr="00BD4853">
        <w:rPr>
          <w:lang w:val="en-GB"/>
        </w:rPr>
        <w:t>A.</w:t>
      </w:r>
      <w:r w:rsidRPr="00BD4853" w:rsidR="00847B08">
        <w:rPr>
          <w:lang w:val="en-GB"/>
        </w:rPr>
        <w:t>  </w:t>
      </w:r>
      <w:r w:rsidRPr="00BD4853" w:rsidR="00BF3146">
        <w:rPr>
          <w:lang w:val="en-GB"/>
        </w:rPr>
        <w:t>The first applicant</w:t>
      </w:r>
      <w:r w:rsidRPr="00BD4853" w:rsidR="00BD4853">
        <w:rPr>
          <w:lang w:val="en-GB"/>
        </w:rPr>
        <w:t>’</w:t>
      </w:r>
      <w:r w:rsidRPr="00BD4853" w:rsidR="00BF3146">
        <w:rPr>
          <w:lang w:val="en-GB"/>
        </w:rPr>
        <w:t>s proceedings before the civil courts (application no. 59752/13)</w:t>
      </w:r>
    </w:p>
    <w:p w:rsidRPr="00BD4853" w:rsidR="00B93452" w:rsidP="00BD4853" w:rsidRDefault="00BD4853">
      <w:pPr>
        <w:pStyle w:val="ECHRPara"/>
      </w:pPr>
      <w:fldSimple w:instr=" SEQ level0 \*arabic ">
        <w:r w:rsidRPr="00BD4853">
          <w:rPr>
            <w:noProof/>
          </w:rPr>
          <w:t>6</w:t>
        </w:r>
      </w:fldSimple>
      <w:r w:rsidRPr="00BD4853" w:rsidR="0096747A">
        <w:t>.  </w:t>
      </w:r>
      <w:r w:rsidRPr="00BD4853" w:rsidR="00B93452">
        <w:t xml:space="preserve">The </w:t>
      </w:r>
      <w:r w:rsidRPr="00BD4853" w:rsidR="00350A3A">
        <w:t xml:space="preserve">first </w:t>
      </w:r>
      <w:r w:rsidRPr="00BD4853" w:rsidR="00B93452">
        <w:t xml:space="preserve">applicant is the natural son of a Mr H., who recognised paternity several months after his birth. The </w:t>
      </w:r>
      <w:r w:rsidRPr="00BD4853" w:rsidR="00350A3A">
        <w:t xml:space="preserve">first </w:t>
      </w:r>
      <w:r w:rsidRPr="00BD4853" w:rsidR="00B93452">
        <w:t>applicant had a personal relationship with his father and worked in his business. The father died on 23 October 2007.</w:t>
      </w:r>
    </w:p>
    <w:p w:rsidRPr="00BD4853" w:rsidR="00B93452" w:rsidP="00BD4853" w:rsidRDefault="00BD4853">
      <w:pPr>
        <w:pStyle w:val="ECHRPara"/>
      </w:pPr>
      <w:fldSimple w:instr=" SEQ level0 \*arabic ">
        <w:r w:rsidRPr="00BD4853">
          <w:rPr>
            <w:noProof/>
          </w:rPr>
          <w:t>7</w:t>
        </w:r>
      </w:fldSimple>
      <w:r w:rsidRPr="00BD4853" w:rsidR="00B93452">
        <w:t>.  On 6 November 2007</w:t>
      </w:r>
      <w:r w:rsidRPr="00BD4853" w:rsidR="00BF3146">
        <w:t xml:space="preserve"> </w:t>
      </w:r>
      <w:r w:rsidRPr="00BD4853" w:rsidR="00B93452">
        <w:t xml:space="preserve">the </w:t>
      </w:r>
      <w:r w:rsidRPr="00BD4853" w:rsidR="00350A3A">
        <w:t xml:space="preserve">first </w:t>
      </w:r>
      <w:r w:rsidRPr="00BD4853" w:rsidR="00B93452">
        <w:t xml:space="preserve">applicant applied for a certificate of inheritance attesting that he was entitled to 100% of </w:t>
      </w:r>
      <w:r w:rsidRPr="00BD4853" w:rsidR="0062389E">
        <w:t xml:space="preserve">the </w:t>
      </w:r>
      <w:r w:rsidRPr="00BD4853" w:rsidR="00B93452">
        <w:t>estate.</w:t>
      </w:r>
    </w:p>
    <w:p w:rsidRPr="00BD4853" w:rsidR="00B93452" w:rsidP="00BD4853" w:rsidRDefault="00BD4853">
      <w:pPr>
        <w:pStyle w:val="ECHRPara"/>
      </w:pPr>
      <w:fldSimple w:instr=" SEQ level0 \*arabic ">
        <w:r w:rsidRPr="00BD4853">
          <w:rPr>
            <w:noProof/>
          </w:rPr>
          <w:t>8</w:t>
        </w:r>
      </w:fldSimple>
      <w:r w:rsidRPr="00BD4853" w:rsidR="00B93452">
        <w:t xml:space="preserve">.  On 7 November 2007 the Cologne District Court granted the certificate, </w:t>
      </w:r>
      <w:r w:rsidRPr="00BD4853" w:rsidR="00E966C6">
        <w:t xml:space="preserve">upon which the first applicant took the estate into </w:t>
      </w:r>
      <w:r w:rsidRPr="00BD4853" w:rsidR="0062389E">
        <w:t xml:space="preserve">his </w:t>
      </w:r>
      <w:r w:rsidRPr="00BD4853" w:rsidR="00E966C6">
        <w:t>possession and disposed of it</w:t>
      </w:r>
      <w:r w:rsidRPr="00BD4853" w:rsidR="0062389E">
        <w:t>. However</w:t>
      </w:r>
      <w:r w:rsidRPr="00BD4853" w:rsidR="00E966C6">
        <w:t xml:space="preserve">, </w:t>
      </w:r>
      <w:r w:rsidRPr="00BD4853" w:rsidR="00B93452">
        <w:t xml:space="preserve">on 10 December 2007 </w:t>
      </w:r>
      <w:r w:rsidRPr="00BD4853" w:rsidR="0062389E">
        <w:t xml:space="preserve">the </w:t>
      </w:r>
      <w:r w:rsidRPr="00BD4853" w:rsidR="00E966C6">
        <w:t xml:space="preserve">Cologne District Court </w:t>
      </w:r>
      <w:r w:rsidRPr="00BD4853" w:rsidR="00B93452">
        <w:t xml:space="preserve">withdrew </w:t>
      </w:r>
      <w:r w:rsidRPr="00BD4853" w:rsidR="0062389E">
        <w:t xml:space="preserve">the certificate, </w:t>
      </w:r>
      <w:r w:rsidRPr="00BD4853" w:rsidR="00B93452">
        <w:t xml:space="preserve">stating that the </w:t>
      </w:r>
      <w:r w:rsidRPr="00BD4853" w:rsidR="00350A3A">
        <w:t xml:space="preserve">first </w:t>
      </w:r>
      <w:r w:rsidRPr="00BD4853" w:rsidR="00B93452">
        <w:t>applicant, being a child born outside marriage, was not Mr H.</w:t>
      </w:r>
      <w:r w:rsidRPr="00BD4853">
        <w:t>’</w:t>
      </w:r>
      <w:r w:rsidRPr="00BD4853" w:rsidR="00B93452">
        <w:t xml:space="preserve">s statutory heir. The </w:t>
      </w:r>
      <w:r w:rsidRPr="00BD4853" w:rsidR="00350A3A">
        <w:t xml:space="preserve">first </w:t>
      </w:r>
      <w:r w:rsidRPr="00BD4853" w:rsidR="00B93452">
        <w:t>applicant appealed against th</w:t>
      </w:r>
      <w:r w:rsidRPr="00BD4853" w:rsidR="0062389E">
        <w:t xml:space="preserve">at </w:t>
      </w:r>
      <w:r w:rsidRPr="00BD4853" w:rsidR="00B93452">
        <w:t>decision</w:t>
      </w:r>
      <w:r w:rsidRPr="00BD4853" w:rsidR="000770DA">
        <w:t>,</w:t>
      </w:r>
      <w:r w:rsidRPr="00BD4853" w:rsidR="0062389E">
        <w:t xml:space="preserve"> but o</w:t>
      </w:r>
      <w:r w:rsidRPr="00BD4853" w:rsidR="00B93452">
        <w:t xml:space="preserve">n 25 August 2008 the Cologne Regional Court upheld </w:t>
      </w:r>
      <w:r w:rsidRPr="00BD4853" w:rsidR="000770DA">
        <w:t>i</w:t>
      </w:r>
      <w:r w:rsidRPr="00BD4853" w:rsidR="00B93452">
        <w:t>t.</w:t>
      </w:r>
    </w:p>
    <w:p w:rsidRPr="00BD4853" w:rsidR="00B93452" w:rsidP="00BD4853" w:rsidRDefault="00BD4853">
      <w:pPr>
        <w:pStyle w:val="ECHRPara"/>
      </w:pPr>
      <w:fldSimple w:instr=" SEQ level0 \*arabic ">
        <w:r w:rsidRPr="00BD4853">
          <w:rPr>
            <w:noProof/>
          </w:rPr>
          <w:t>9</w:t>
        </w:r>
      </w:fldSimple>
      <w:r w:rsidRPr="00BD4853" w:rsidR="00B93452">
        <w:t xml:space="preserve">.  On 23 July 2009 the </w:t>
      </w:r>
      <w:r w:rsidRPr="00BD4853" w:rsidR="00350A3A">
        <w:t xml:space="preserve">first </w:t>
      </w:r>
      <w:r w:rsidRPr="00BD4853" w:rsidR="00B93452">
        <w:t>applicant again applied for a certificate of inheritance stating that he was entitled to 100% of Mr H</w:t>
      </w:r>
      <w:r w:rsidRPr="00BD4853" w:rsidR="002A1B91">
        <w:t>.</w:t>
      </w:r>
      <w:r w:rsidRPr="00BD4853">
        <w:t>’</w:t>
      </w:r>
      <w:r w:rsidRPr="00BD4853" w:rsidR="00B93452">
        <w:t xml:space="preserve">s estate, referring in particular to the European Court of Human Rights judgment in the case of </w:t>
      </w:r>
      <w:r w:rsidRPr="00BD4853" w:rsidR="00B93452">
        <w:rPr>
          <w:i/>
        </w:rPr>
        <w:t>Brauer v. Germany</w:t>
      </w:r>
      <w:r w:rsidRPr="00BD4853" w:rsidR="002A1B91">
        <w:t xml:space="preserve"> </w:t>
      </w:r>
      <w:r w:rsidRPr="00BD4853" w:rsidR="002A1B91">
        <w:rPr>
          <w:lang w:val="en-GB"/>
        </w:rPr>
        <w:t>(no. 3545/04, 28 May 2009).</w:t>
      </w:r>
    </w:p>
    <w:p w:rsidRPr="00BD4853" w:rsidR="00B93452" w:rsidP="00BD4853" w:rsidRDefault="00BD4853">
      <w:pPr>
        <w:pStyle w:val="ECHRPara"/>
      </w:pPr>
      <w:fldSimple w:instr=" SEQ level0 \*arabic ">
        <w:r w:rsidRPr="00BD4853">
          <w:rPr>
            <w:noProof/>
          </w:rPr>
          <w:t>10</w:t>
        </w:r>
      </w:fldSimple>
      <w:r w:rsidRPr="00BD4853" w:rsidR="00B93452">
        <w:t xml:space="preserve">.  In a decision of 3 November 2009 the Cologne District Court </w:t>
      </w:r>
      <w:r w:rsidRPr="00BD4853" w:rsidR="0021769E">
        <w:t xml:space="preserve">dismissed </w:t>
      </w:r>
      <w:r w:rsidRPr="00BD4853" w:rsidR="00B93452">
        <w:t xml:space="preserve">the </w:t>
      </w:r>
      <w:r w:rsidRPr="00BD4853" w:rsidR="00350A3A">
        <w:t xml:space="preserve">first </w:t>
      </w:r>
      <w:r w:rsidRPr="00BD4853" w:rsidR="00B93452">
        <w:t>applicant</w:t>
      </w:r>
      <w:r w:rsidRPr="00BD4853">
        <w:t>’</w:t>
      </w:r>
      <w:r w:rsidRPr="00BD4853" w:rsidR="00B93452">
        <w:t>s application, holding that the judgment</w:t>
      </w:r>
      <w:r w:rsidRPr="00BD4853" w:rsidR="002A1B91">
        <w:t xml:space="preserve"> in</w:t>
      </w:r>
      <w:r w:rsidRPr="00BD4853" w:rsidR="00B93452">
        <w:t xml:space="preserve"> </w:t>
      </w:r>
      <w:r w:rsidRPr="00BD4853" w:rsidR="00B93452">
        <w:rPr>
          <w:i/>
        </w:rPr>
        <w:t>Brauer</w:t>
      </w:r>
      <w:r w:rsidRPr="00BD4853" w:rsidR="00B93452">
        <w:t xml:space="preserve"> </w:t>
      </w:r>
      <w:r w:rsidRPr="00BD4853" w:rsidR="002A1B91">
        <w:t>(</w:t>
      </w:r>
      <w:r w:rsidRPr="00BD4853" w:rsidR="000770DA">
        <w:t>cited above</w:t>
      </w:r>
      <w:r w:rsidRPr="00BD4853" w:rsidR="002A1B91">
        <w:t xml:space="preserve">) </w:t>
      </w:r>
      <w:r w:rsidRPr="00BD4853" w:rsidR="00B93452">
        <w:t>was not applicable to his case.</w:t>
      </w:r>
      <w:r w:rsidRPr="00BD4853" w:rsidR="003B2247">
        <w:t xml:space="preserve"> Instead, it granted </w:t>
      </w:r>
      <w:r w:rsidRPr="00BD4853" w:rsidR="00557FCD">
        <w:t xml:space="preserve">certificates of partial inheritance to </w:t>
      </w:r>
      <w:r w:rsidRPr="00BD4853" w:rsidR="003B2247">
        <w:t xml:space="preserve">the </w:t>
      </w:r>
      <w:r w:rsidRPr="00BD4853" w:rsidR="00350A3A">
        <w:t xml:space="preserve">first </w:t>
      </w:r>
      <w:r w:rsidRPr="00BD4853" w:rsidR="003B2247">
        <w:t>applicant</w:t>
      </w:r>
      <w:r w:rsidRPr="00BD4853">
        <w:t>’</w:t>
      </w:r>
      <w:r w:rsidRPr="00BD4853" w:rsidR="003B2247">
        <w:t xml:space="preserve">s half-sister and </w:t>
      </w:r>
      <w:r w:rsidRPr="00BD4853" w:rsidR="00557FCD">
        <w:t xml:space="preserve">to </w:t>
      </w:r>
      <w:r w:rsidRPr="00BD4853" w:rsidR="003B2247">
        <w:t>the grandchildren</w:t>
      </w:r>
      <w:r w:rsidRPr="00BD4853" w:rsidR="00557FCD">
        <w:t xml:space="preserve"> of the deceased</w:t>
      </w:r>
      <w:r w:rsidRPr="00BD4853">
        <w:t>’</w:t>
      </w:r>
      <w:r w:rsidRPr="00BD4853" w:rsidR="00557FCD">
        <w:t>s wife</w:t>
      </w:r>
      <w:r w:rsidRPr="00BD4853" w:rsidR="009774CF">
        <w:t>.</w:t>
      </w:r>
    </w:p>
    <w:p w:rsidRPr="00BD4853" w:rsidR="00B93452" w:rsidP="00BD4853" w:rsidRDefault="00BD4853">
      <w:pPr>
        <w:pStyle w:val="ECHRPara"/>
      </w:pPr>
      <w:fldSimple w:instr=" SEQ level0 \*arabic ">
        <w:r w:rsidRPr="00BD4853">
          <w:rPr>
            <w:noProof/>
          </w:rPr>
          <w:t>11</w:t>
        </w:r>
      </w:fldSimple>
      <w:r w:rsidRPr="00BD4853" w:rsidR="00B93452">
        <w:t xml:space="preserve">.  On 16 November 2009 the </w:t>
      </w:r>
      <w:r w:rsidRPr="00BD4853" w:rsidR="00350A3A">
        <w:t xml:space="preserve">first </w:t>
      </w:r>
      <w:r w:rsidRPr="00BD4853" w:rsidR="00B93452">
        <w:t>applicant appealed to the Cologne Regional Court</w:t>
      </w:r>
      <w:r w:rsidRPr="00BD4853" w:rsidR="002A1B91">
        <w:t>,</w:t>
      </w:r>
      <w:r w:rsidRPr="00BD4853" w:rsidR="00B93452">
        <w:t xml:space="preserve"> arguing that under Article 6 § 5 of the Basic Law</w:t>
      </w:r>
      <w:r w:rsidRPr="00BD4853" w:rsidR="000D65CF">
        <w:t xml:space="preserve">, </w:t>
      </w:r>
      <w:r w:rsidRPr="00BD4853" w:rsidR="00175C88">
        <w:t>which st</w:t>
      </w:r>
      <w:r w:rsidRPr="00BD4853" w:rsidR="00CC0641">
        <w:t>ates</w:t>
      </w:r>
      <w:r w:rsidRPr="00BD4853" w:rsidR="00175C88">
        <w:t xml:space="preserve"> that</w:t>
      </w:r>
      <w:r w:rsidRPr="00BD4853" w:rsidR="000D65CF">
        <w:t xml:space="preserve"> children born outside marriage </w:t>
      </w:r>
      <w:r w:rsidRPr="00BD4853" w:rsidR="00CC0641">
        <w:t xml:space="preserve">must </w:t>
      </w:r>
      <w:r w:rsidRPr="00BD4853" w:rsidR="000D65CF">
        <w:t xml:space="preserve">be provided by legislation with the same opportunities as are enjoyed by </w:t>
      </w:r>
      <w:r w:rsidRPr="00BD4853" w:rsidR="00350A3A">
        <w:t>children</w:t>
      </w:r>
      <w:r w:rsidRPr="00BD4853" w:rsidR="000D65CF">
        <w:t xml:space="preserve"> born within marriage, </w:t>
      </w:r>
      <w:r w:rsidRPr="00BD4853" w:rsidR="00B93452">
        <w:t xml:space="preserve">there were no reasons </w:t>
      </w:r>
      <w:r w:rsidRPr="00BD4853" w:rsidR="00B16382">
        <w:t>he</w:t>
      </w:r>
      <w:r w:rsidRPr="00BD4853" w:rsidR="00B93452">
        <w:t xml:space="preserve"> should be treated differently from </w:t>
      </w:r>
      <w:r w:rsidRPr="00BD4853" w:rsidR="00B16382">
        <w:t xml:space="preserve">children </w:t>
      </w:r>
      <w:r w:rsidRPr="00BD4853" w:rsidR="00B93452">
        <w:t>born within marriage.</w:t>
      </w:r>
      <w:r w:rsidRPr="00BD4853" w:rsidR="008D4A40">
        <w:t xml:space="preserve"> </w:t>
      </w:r>
      <w:r w:rsidRPr="00BD4853" w:rsidR="002A1B91">
        <w:t>He stated that i</w:t>
      </w:r>
      <w:r w:rsidRPr="00BD4853" w:rsidR="008D4A40">
        <w:t>f he was refused the certificate the German State would be liable for compensation claims.</w:t>
      </w:r>
    </w:p>
    <w:p w:rsidRPr="00BD4853" w:rsidR="00B93452" w:rsidP="00BD4853" w:rsidRDefault="00BD4853">
      <w:pPr>
        <w:pStyle w:val="ECHRPara"/>
      </w:pPr>
      <w:fldSimple w:instr=" SEQ level0 \*arabic ">
        <w:r w:rsidRPr="00BD4853">
          <w:rPr>
            <w:noProof/>
          </w:rPr>
          <w:t>12</w:t>
        </w:r>
      </w:fldSimple>
      <w:r w:rsidRPr="00BD4853" w:rsidR="00B93452">
        <w:t>.  In a decision of 16 February 2010 the Cologne Regional Court upheld the District Court</w:t>
      </w:r>
      <w:r w:rsidRPr="00BD4853">
        <w:t>’</w:t>
      </w:r>
      <w:r w:rsidRPr="00BD4853" w:rsidR="00B93452">
        <w:t>s decision</w:t>
      </w:r>
      <w:r w:rsidRPr="00BD4853" w:rsidR="002A1B91">
        <w:t>,</w:t>
      </w:r>
      <w:r w:rsidRPr="00BD4853" w:rsidR="00B93452">
        <w:t xml:space="preserve"> holding that the </w:t>
      </w:r>
      <w:r w:rsidRPr="00BD4853" w:rsidR="00350A3A">
        <w:t xml:space="preserve">first </w:t>
      </w:r>
      <w:r w:rsidRPr="00BD4853" w:rsidR="00B93452">
        <w:t xml:space="preserve">applicant was not a statutory heir. The Regional Court referred to </w:t>
      </w:r>
      <w:r w:rsidRPr="00BD4853" w:rsidR="002A1B91">
        <w:t xml:space="preserve">a decision by </w:t>
      </w:r>
      <w:r w:rsidRPr="00BD4853" w:rsidR="00B93452">
        <w:t xml:space="preserve">the Federal Constitutional Court of 8 December 1976, in which section 12(10)(2) of the Children Born outside Marriage (Legal Status) Act had been found to be in conformity with the Basic Law. The principles developed in </w:t>
      </w:r>
      <w:r w:rsidRPr="00BD4853" w:rsidR="00B93452">
        <w:rPr>
          <w:i/>
        </w:rPr>
        <w:t xml:space="preserve">Brauer </w:t>
      </w:r>
      <w:r w:rsidRPr="00BD4853" w:rsidR="002A1B91">
        <w:t>(</w:t>
      </w:r>
      <w:r w:rsidRPr="00BD4853" w:rsidR="00557FCD">
        <w:t>cited above</w:t>
      </w:r>
      <w:r w:rsidRPr="00BD4853" w:rsidR="002A1B91">
        <w:t xml:space="preserve">) </w:t>
      </w:r>
      <w:r w:rsidRPr="00BD4853" w:rsidR="00B93452">
        <w:t xml:space="preserve">were not applicable </w:t>
      </w:r>
      <w:r w:rsidRPr="00BD4853" w:rsidR="00557FCD">
        <w:t xml:space="preserve">to </w:t>
      </w:r>
      <w:r w:rsidRPr="00BD4853" w:rsidR="00B93452">
        <w:t xml:space="preserve">the present case. There was a need to protect the legitimate expectations of the deceased and other heirs. The Cologne Regional Court </w:t>
      </w:r>
      <w:r w:rsidRPr="00BD4853" w:rsidR="0005252C">
        <w:t xml:space="preserve">also </w:t>
      </w:r>
      <w:r w:rsidRPr="00BD4853" w:rsidR="002A1B91">
        <w:t xml:space="preserve">considered </w:t>
      </w:r>
      <w:r w:rsidRPr="00BD4853" w:rsidR="00B93452">
        <w:t xml:space="preserve">that an interpretation of the relevant provision of the Children Born outside Marriage (Legal Status) Act in conformity with the </w:t>
      </w:r>
      <w:r w:rsidRPr="00BD4853" w:rsidR="00CC0641">
        <w:t xml:space="preserve">case-law of the </w:t>
      </w:r>
      <w:r w:rsidRPr="00BD4853" w:rsidR="000D65CF">
        <w:t xml:space="preserve">European </w:t>
      </w:r>
      <w:r w:rsidRPr="00BD4853" w:rsidR="00B93452">
        <w:t>Court</w:t>
      </w:r>
      <w:r w:rsidRPr="00BD4853" w:rsidR="000D65CF">
        <w:t xml:space="preserve"> of Human Right</w:t>
      </w:r>
      <w:r w:rsidRPr="00BD4853" w:rsidR="00B93452">
        <w:t>s was not possible as the domestic law was clear and therefore not open to any interpretation.</w:t>
      </w:r>
    </w:p>
    <w:p w:rsidRPr="00BD4853" w:rsidR="00B93452" w:rsidP="00BD4853" w:rsidRDefault="00BD4853">
      <w:pPr>
        <w:pStyle w:val="ECHRPara"/>
      </w:pPr>
      <w:fldSimple w:instr=" SEQ level0 \*arabic ">
        <w:r w:rsidRPr="00BD4853">
          <w:rPr>
            <w:noProof/>
          </w:rPr>
          <w:t>13</w:t>
        </w:r>
      </w:fldSimple>
      <w:r w:rsidRPr="00BD4853" w:rsidR="00B93452">
        <w:t xml:space="preserve">.  On 18 March 2010 the </w:t>
      </w:r>
      <w:r w:rsidRPr="00BD4853" w:rsidR="00350A3A">
        <w:t xml:space="preserve">first </w:t>
      </w:r>
      <w:r w:rsidRPr="00BD4853" w:rsidR="00B93452">
        <w:t>applicant appealed to the Cologne Court of Appeal, arguing that the application o</w:t>
      </w:r>
      <w:r w:rsidRPr="00BD4853" w:rsidR="003B4061">
        <w:t>f the first sentence of section </w:t>
      </w:r>
      <w:r w:rsidRPr="00BD4853" w:rsidR="00B93452">
        <w:t xml:space="preserve">12(10)(2) of the Children Born outside Marriage (Legal Status) Act would discriminate against him and breach his inheritance rights and therefore violate </w:t>
      </w:r>
      <w:r w:rsidRPr="00BD4853" w:rsidR="00175C88">
        <w:t>his right to equality before the law under A</w:t>
      </w:r>
      <w:r w:rsidRPr="00BD4853" w:rsidR="000D65CF">
        <w:t xml:space="preserve">rticle 3 </w:t>
      </w:r>
      <w:r w:rsidRPr="00BD4853" w:rsidR="00175C88">
        <w:t>a</w:t>
      </w:r>
      <w:r w:rsidRPr="00BD4853" w:rsidR="000D65CF">
        <w:t xml:space="preserve">nd </w:t>
      </w:r>
      <w:r w:rsidRPr="00BD4853" w:rsidR="00175C88">
        <w:t xml:space="preserve">his rights under </w:t>
      </w:r>
      <w:r w:rsidRPr="00BD4853" w:rsidR="000D65CF">
        <w:t>Article 6 § 5 of the Basic Law</w:t>
      </w:r>
      <w:r w:rsidRPr="00BD4853" w:rsidR="00B93452">
        <w:t xml:space="preserve">. The </w:t>
      </w:r>
      <w:r w:rsidRPr="00BD4853" w:rsidR="00350A3A">
        <w:t xml:space="preserve">first </w:t>
      </w:r>
      <w:r w:rsidRPr="00BD4853" w:rsidR="00B93452">
        <w:t>applicant stressed that the Regional Court</w:t>
      </w:r>
      <w:r w:rsidRPr="00BD4853">
        <w:t>’</w:t>
      </w:r>
      <w:r w:rsidRPr="00BD4853" w:rsidR="00B93452">
        <w:t>s reasoning disregarded the Court</w:t>
      </w:r>
      <w:r w:rsidRPr="00BD4853">
        <w:t>’</w:t>
      </w:r>
      <w:r w:rsidRPr="00BD4853" w:rsidR="0005252C">
        <w:t xml:space="preserve">s </w:t>
      </w:r>
      <w:r w:rsidRPr="00BD4853" w:rsidR="00B93452">
        <w:t xml:space="preserve">judgment in </w:t>
      </w:r>
      <w:r w:rsidRPr="00BD4853" w:rsidR="00B93452">
        <w:rPr>
          <w:i/>
        </w:rPr>
        <w:t xml:space="preserve">Brauer </w:t>
      </w:r>
      <w:r w:rsidRPr="00BD4853" w:rsidR="002A1B91">
        <w:t>(</w:t>
      </w:r>
      <w:r w:rsidRPr="00BD4853" w:rsidR="0005252C">
        <w:t>cited above</w:t>
      </w:r>
      <w:r w:rsidRPr="00BD4853" w:rsidR="002A1B91">
        <w:t xml:space="preserve">) </w:t>
      </w:r>
      <w:r w:rsidRPr="00BD4853" w:rsidR="00B93452">
        <w:t xml:space="preserve">and was </w:t>
      </w:r>
      <w:r w:rsidRPr="00BD4853" w:rsidR="002A1B91">
        <w:t xml:space="preserve">therefore </w:t>
      </w:r>
      <w:r w:rsidRPr="00BD4853" w:rsidR="00B93452">
        <w:t xml:space="preserve">unlawful. The </w:t>
      </w:r>
      <w:r w:rsidRPr="00BD4853" w:rsidR="00350A3A">
        <w:t xml:space="preserve">first </w:t>
      </w:r>
      <w:r w:rsidRPr="00BD4853" w:rsidR="00B93452">
        <w:t xml:space="preserve">applicant further noted that he had maintained a close relationship with his father until </w:t>
      </w:r>
      <w:r w:rsidRPr="00BD4853" w:rsidR="0005252C">
        <w:t>the latter</w:t>
      </w:r>
      <w:r w:rsidRPr="00BD4853">
        <w:t>’</w:t>
      </w:r>
      <w:r w:rsidRPr="00BD4853" w:rsidR="0005252C">
        <w:t xml:space="preserve">s </w:t>
      </w:r>
      <w:r w:rsidRPr="00BD4853" w:rsidR="00B93452">
        <w:t xml:space="preserve">death and had even worked in his business. The </w:t>
      </w:r>
      <w:r w:rsidRPr="00BD4853" w:rsidR="00350A3A">
        <w:t xml:space="preserve">first </w:t>
      </w:r>
      <w:r w:rsidRPr="00BD4853" w:rsidR="00B93452">
        <w:t>applicant</w:t>
      </w:r>
      <w:r w:rsidRPr="00BD4853">
        <w:t>’</w:t>
      </w:r>
      <w:r w:rsidRPr="00BD4853" w:rsidR="00B93452">
        <w:t xml:space="preserve">s father had assumed that the </w:t>
      </w:r>
      <w:r w:rsidRPr="00BD4853" w:rsidR="00350A3A">
        <w:t xml:space="preserve">first </w:t>
      </w:r>
      <w:r w:rsidRPr="00BD4853" w:rsidR="00B93452">
        <w:t>applicant would be his sole heir.</w:t>
      </w:r>
    </w:p>
    <w:p w:rsidRPr="00BD4853" w:rsidR="00B93452" w:rsidP="00BD4853" w:rsidRDefault="00BD4853">
      <w:pPr>
        <w:pStyle w:val="ECHRPara"/>
      </w:pPr>
      <w:fldSimple w:instr=" SEQ level0 \*arabic ">
        <w:r w:rsidRPr="00BD4853">
          <w:rPr>
            <w:noProof/>
          </w:rPr>
          <w:t>14</w:t>
        </w:r>
      </w:fldSimple>
      <w:r w:rsidRPr="00BD4853" w:rsidR="00B93452">
        <w:t xml:space="preserve">.  In a decision of 11 October 2010 the Cologne Court of Appeal dismissed the </w:t>
      </w:r>
      <w:r w:rsidRPr="00BD4853" w:rsidR="00350A3A">
        <w:t xml:space="preserve">first </w:t>
      </w:r>
      <w:r w:rsidRPr="00BD4853" w:rsidR="00B93452">
        <w:t>applicant</w:t>
      </w:r>
      <w:r w:rsidRPr="00BD4853">
        <w:t>’</w:t>
      </w:r>
      <w:r w:rsidRPr="00BD4853" w:rsidR="00B93452">
        <w:t>s appeal on the ground</w:t>
      </w:r>
      <w:r w:rsidRPr="00BD4853" w:rsidR="002A1B91">
        <w:t>s</w:t>
      </w:r>
      <w:r w:rsidRPr="00BD4853" w:rsidR="00B93452">
        <w:t xml:space="preserve"> that it was bound by the decisions of the Federal Constitutional Court</w:t>
      </w:r>
      <w:r w:rsidRPr="00BD4853" w:rsidR="00CC0641">
        <w:t xml:space="preserve"> and that it had found that </w:t>
      </w:r>
      <w:r w:rsidRPr="00BD4853" w:rsidR="00B93452">
        <w:t xml:space="preserve">the first sentence of section 12(10)(2) of the Children Born outside Marriage (Legal Status) Act </w:t>
      </w:r>
      <w:r w:rsidRPr="00BD4853" w:rsidR="00CC0641">
        <w:t xml:space="preserve">was </w:t>
      </w:r>
      <w:r w:rsidRPr="00BD4853" w:rsidR="00B93452">
        <w:t xml:space="preserve">in conformity with the Basic Law. The </w:t>
      </w:r>
      <w:r w:rsidRPr="00BD4853" w:rsidR="000D65CF">
        <w:t xml:space="preserve">European </w:t>
      </w:r>
      <w:r w:rsidRPr="00BD4853" w:rsidR="00B93452">
        <w:t>Court</w:t>
      </w:r>
      <w:r w:rsidRPr="00BD4853" w:rsidR="000D65CF">
        <w:t xml:space="preserve"> of Human Right</w:t>
      </w:r>
      <w:r w:rsidRPr="00BD4853" w:rsidR="0005252C">
        <w:t>s</w:t>
      </w:r>
      <w:r w:rsidRPr="00BD4853" w:rsidR="00B93452">
        <w:t xml:space="preserve"> judgment in </w:t>
      </w:r>
      <w:r w:rsidRPr="00BD4853" w:rsidR="00B93452">
        <w:rPr>
          <w:i/>
        </w:rPr>
        <w:t xml:space="preserve">Brauer </w:t>
      </w:r>
      <w:r w:rsidRPr="00BD4853" w:rsidR="002A1B91">
        <w:t>(</w:t>
      </w:r>
      <w:r w:rsidRPr="00BD4853" w:rsidR="0005252C">
        <w:t>cited above</w:t>
      </w:r>
      <w:r w:rsidRPr="00BD4853" w:rsidR="002A1B91">
        <w:t xml:space="preserve">) </w:t>
      </w:r>
      <w:r w:rsidRPr="00BD4853" w:rsidR="00B93452">
        <w:t xml:space="preserve">did not require a </w:t>
      </w:r>
      <w:r w:rsidRPr="00BD4853" w:rsidR="002A1B91">
        <w:t xml:space="preserve">change </w:t>
      </w:r>
      <w:r w:rsidRPr="00BD4853" w:rsidR="00B93452">
        <w:t xml:space="preserve">of </w:t>
      </w:r>
      <w:r w:rsidRPr="00BD4853" w:rsidR="002A1B91">
        <w:t xml:space="preserve">position </w:t>
      </w:r>
      <w:r w:rsidRPr="00BD4853" w:rsidR="00B93452">
        <w:t xml:space="preserve">because German courts were not bound by the decisions of that </w:t>
      </w:r>
      <w:r w:rsidRPr="00BD4853" w:rsidR="000D65CF">
        <w:t>c</w:t>
      </w:r>
      <w:r w:rsidRPr="00BD4853" w:rsidR="00B93452">
        <w:t xml:space="preserve">ourt. The </w:t>
      </w:r>
      <w:r w:rsidRPr="00BD4853" w:rsidR="000D65CF">
        <w:t>C</w:t>
      </w:r>
      <w:r w:rsidRPr="00BD4853" w:rsidR="00B93452">
        <w:t xml:space="preserve">ourt </w:t>
      </w:r>
      <w:r w:rsidRPr="00BD4853" w:rsidR="000D65CF">
        <w:t xml:space="preserve">of Appeal </w:t>
      </w:r>
      <w:r w:rsidRPr="00BD4853" w:rsidR="00B93452">
        <w:t>added that interpret</w:t>
      </w:r>
      <w:r w:rsidRPr="00BD4853" w:rsidR="0005252C">
        <w:t xml:space="preserve">ing </w:t>
      </w:r>
      <w:r w:rsidRPr="00BD4853" w:rsidR="00B93452">
        <w:t>domestic law in the light of the Convention was restricted when domestic law was clear and therefore not open to interpretation. Th</w:t>
      </w:r>
      <w:r w:rsidRPr="00BD4853" w:rsidR="00216652">
        <w:t>at</w:t>
      </w:r>
      <w:r w:rsidRPr="00BD4853" w:rsidR="00B93452">
        <w:t xml:space="preserve"> was the case with the first sentence of section 12(10)(2) of the Children Born outside Marriage (Legal Status) Act. The Cologne Court of Appeal further noted that the </w:t>
      </w:r>
      <w:r w:rsidRPr="00BD4853" w:rsidR="00350A3A">
        <w:t xml:space="preserve">first </w:t>
      </w:r>
      <w:r w:rsidRPr="00BD4853" w:rsidR="00B93452">
        <w:t>applicant</w:t>
      </w:r>
      <w:r w:rsidRPr="00BD4853">
        <w:t>’</w:t>
      </w:r>
      <w:r w:rsidRPr="00BD4853" w:rsidR="00B93452">
        <w:t xml:space="preserve">s appeal </w:t>
      </w:r>
      <w:r w:rsidRPr="00BD4853" w:rsidR="00317FF2">
        <w:t xml:space="preserve">had been </w:t>
      </w:r>
      <w:r w:rsidRPr="00BD4853" w:rsidR="00B93452">
        <w:t xml:space="preserve">an appeal on points of law only. </w:t>
      </w:r>
      <w:r w:rsidRPr="00BD4853" w:rsidR="0021769E">
        <w:t>T</w:t>
      </w:r>
      <w:r w:rsidRPr="00BD4853" w:rsidR="00B93452">
        <w:t xml:space="preserve">he </w:t>
      </w:r>
      <w:r w:rsidRPr="00BD4853" w:rsidR="00F06E86">
        <w:t xml:space="preserve">first </w:t>
      </w:r>
      <w:r w:rsidRPr="00BD4853" w:rsidR="00B93452">
        <w:t>applicant</w:t>
      </w:r>
      <w:r w:rsidRPr="00BD4853">
        <w:t>’</w:t>
      </w:r>
      <w:r w:rsidRPr="00BD4853" w:rsidR="00B93452">
        <w:t>s argument</w:t>
      </w:r>
      <w:r w:rsidRPr="00BD4853" w:rsidR="0021769E">
        <w:t>,</w:t>
      </w:r>
      <w:r w:rsidRPr="00BD4853" w:rsidR="00B93452">
        <w:t xml:space="preserve"> </w:t>
      </w:r>
      <w:r w:rsidRPr="00BD4853" w:rsidR="0021769E">
        <w:t xml:space="preserve">therefore, </w:t>
      </w:r>
      <w:r w:rsidRPr="00BD4853" w:rsidR="00B93452">
        <w:t xml:space="preserve">that he had had a close relationship with his father, which was a statement of fact, could not be taken into account when deciding on the appeal because it </w:t>
      </w:r>
      <w:r w:rsidRPr="00BD4853" w:rsidR="00317FF2">
        <w:t xml:space="preserve">had been </w:t>
      </w:r>
      <w:r w:rsidRPr="00BD4853" w:rsidR="00B93452">
        <w:t>submitted for the first time before the Court of Appeal.</w:t>
      </w:r>
    </w:p>
    <w:p w:rsidRPr="00BD4853" w:rsidR="00B93452" w:rsidP="00BD4853" w:rsidRDefault="00BF3146">
      <w:pPr>
        <w:pStyle w:val="ECHRHeading2"/>
      </w:pPr>
      <w:r w:rsidRPr="00BD4853">
        <w:t>B</w:t>
      </w:r>
      <w:r w:rsidRPr="00BD4853" w:rsidR="00B93452">
        <w:t>.  </w:t>
      </w:r>
      <w:r w:rsidRPr="00BD4853" w:rsidR="00E40B5C">
        <w:rPr>
          <w:lang w:val="en-GB"/>
        </w:rPr>
        <w:t>The second applicant</w:t>
      </w:r>
      <w:r w:rsidRPr="00BD4853" w:rsidR="00BD4853">
        <w:rPr>
          <w:lang w:val="en-GB"/>
        </w:rPr>
        <w:t>’</w:t>
      </w:r>
      <w:r w:rsidRPr="00BD4853" w:rsidR="00E40B5C">
        <w:rPr>
          <w:lang w:val="en-GB"/>
        </w:rPr>
        <w:t xml:space="preserve">s proceedings before the civil courts (application no. </w:t>
      </w:r>
      <w:r w:rsidRPr="00BD4853" w:rsidR="00B93452">
        <w:t>66277/13)</w:t>
      </w:r>
    </w:p>
    <w:p w:rsidRPr="00BD4853" w:rsidR="00B93452" w:rsidP="00BD4853" w:rsidRDefault="00BD4853">
      <w:pPr>
        <w:pStyle w:val="ECHRPara"/>
      </w:pPr>
      <w:fldSimple w:instr=" SEQ level0 \*arabic ">
        <w:r w:rsidRPr="00BD4853">
          <w:rPr>
            <w:noProof/>
          </w:rPr>
          <w:t>15</w:t>
        </w:r>
      </w:fldSimple>
      <w:r w:rsidRPr="00BD4853" w:rsidR="00B16382">
        <w:t>.  </w:t>
      </w:r>
      <w:r w:rsidRPr="00BD4853" w:rsidR="00B93452">
        <w:t xml:space="preserve">The </w:t>
      </w:r>
      <w:r w:rsidRPr="00BD4853" w:rsidR="00350A3A">
        <w:t xml:space="preserve">second </w:t>
      </w:r>
      <w:r w:rsidRPr="00BD4853" w:rsidR="00B93452">
        <w:t xml:space="preserve">applicant is the natural son of a Mr B. and was born in the former GDR, where he lived until his flight </w:t>
      </w:r>
      <w:r w:rsidRPr="00BD4853" w:rsidR="00317FF2">
        <w:t>from the</w:t>
      </w:r>
      <w:r w:rsidRPr="00BD4853" w:rsidR="0005252C">
        <w:t xml:space="preserve"> country</w:t>
      </w:r>
      <w:r w:rsidRPr="00BD4853" w:rsidR="00317FF2">
        <w:t xml:space="preserve"> </w:t>
      </w:r>
      <w:r w:rsidRPr="00BD4853" w:rsidR="003B3BE9">
        <w:t xml:space="preserve">in 1957. In 1949 Mr </w:t>
      </w:r>
      <w:r w:rsidRPr="00BD4853" w:rsidR="00B93452">
        <w:t xml:space="preserve">B. was ordered by the Hamburg-Blankensee District Court to pay maintenance for the applicant. </w:t>
      </w:r>
      <w:r w:rsidRPr="00BD4853" w:rsidR="00CC0641">
        <w:t>H</w:t>
      </w:r>
      <w:r w:rsidRPr="00BD4853" w:rsidR="005725BE">
        <w:t xml:space="preserve">e met his father on four occasions, but was asked by the latter not to </w:t>
      </w:r>
      <w:r w:rsidRPr="00BD4853" w:rsidR="00CC0641">
        <w:t xml:space="preserve">get involved in the lives of </w:t>
      </w:r>
      <w:r w:rsidRPr="00BD4853" w:rsidR="005725BE">
        <w:t xml:space="preserve">his </w:t>
      </w:r>
      <w:r w:rsidRPr="00BD4853" w:rsidR="00657DA7">
        <w:t xml:space="preserve">wife and </w:t>
      </w:r>
      <w:r w:rsidRPr="00BD4853" w:rsidR="00137B09">
        <w:t>daughter</w:t>
      </w:r>
      <w:r w:rsidRPr="00BD4853" w:rsidR="005725BE">
        <w:t xml:space="preserve">. </w:t>
      </w:r>
      <w:r w:rsidRPr="00BD4853" w:rsidR="00B93452">
        <w:t xml:space="preserve">The father died on 26 June 2006, </w:t>
      </w:r>
      <w:r w:rsidRPr="00BD4853" w:rsidR="00CC0641">
        <w:t xml:space="preserve">naming </w:t>
      </w:r>
      <w:r w:rsidRPr="00BD4853" w:rsidR="00B93452">
        <w:t xml:space="preserve">his daughter </w:t>
      </w:r>
      <w:r w:rsidRPr="00BD4853" w:rsidR="00CC0641">
        <w:t>as sole heir in his will</w:t>
      </w:r>
      <w:r w:rsidRPr="00BD4853" w:rsidR="00B93452">
        <w:t>.</w:t>
      </w:r>
    </w:p>
    <w:p w:rsidRPr="00BD4853" w:rsidR="00B93452" w:rsidP="00BD4853" w:rsidRDefault="00BD4853">
      <w:pPr>
        <w:pStyle w:val="ECHRPara"/>
        <w:rPr>
          <w:i/>
          <w:lang w:val="en-GB"/>
        </w:rPr>
      </w:pPr>
      <w:fldSimple w:instr=" SEQ level0 \*arabic ">
        <w:r w:rsidRPr="00BD4853">
          <w:rPr>
            <w:noProof/>
          </w:rPr>
          <w:t>16</w:t>
        </w:r>
      </w:fldSimple>
      <w:r w:rsidRPr="00BD4853" w:rsidR="00B93452">
        <w:t>.  In 2009</w:t>
      </w:r>
      <w:r w:rsidRPr="00BD4853" w:rsidR="0008721C">
        <w:t xml:space="preserve">, after the </w:t>
      </w:r>
      <w:r w:rsidRPr="00BD4853" w:rsidR="00E40B5C">
        <w:t xml:space="preserve">European </w:t>
      </w:r>
      <w:r w:rsidRPr="00BD4853" w:rsidR="0008721C">
        <w:t xml:space="preserve">Court </w:t>
      </w:r>
      <w:r w:rsidRPr="00BD4853" w:rsidR="00E40B5C">
        <w:t>of Human Right</w:t>
      </w:r>
      <w:r w:rsidRPr="00BD4853" w:rsidR="00B16382">
        <w:t>s</w:t>
      </w:r>
      <w:r w:rsidRPr="00BD4853" w:rsidR="00E40B5C">
        <w:t xml:space="preserve"> </w:t>
      </w:r>
      <w:r w:rsidRPr="00BD4853" w:rsidR="0008721C">
        <w:t xml:space="preserve">had issued its judgment in </w:t>
      </w:r>
      <w:r w:rsidRPr="00BD4853" w:rsidR="0008721C">
        <w:rPr>
          <w:i/>
          <w:lang w:val="en-GB"/>
        </w:rPr>
        <w:t>Brauer</w:t>
      </w:r>
      <w:r w:rsidRPr="00BD4853" w:rsidR="00317FF2">
        <w:rPr>
          <w:i/>
          <w:lang w:val="en-GB"/>
        </w:rPr>
        <w:t xml:space="preserve"> </w:t>
      </w:r>
      <w:r w:rsidRPr="00BD4853" w:rsidR="00317FF2">
        <w:rPr>
          <w:lang w:val="en-GB"/>
        </w:rPr>
        <w:t>(</w:t>
      </w:r>
      <w:r w:rsidRPr="00BD4853" w:rsidR="0005252C">
        <w:rPr>
          <w:lang w:val="en-GB"/>
        </w:rPr>
        <w:t>cited above</w:t>
      </w:r>
      <w:r w:rsidRPr="00BD4853" w:rsidR="00317FF2">
        <w:rPr>
          <w:lang w:val="en-GB"/>
        </w:rPr>
        <w:t>)</w:t>
      </w:r>
      <w:r w:rsidRPr="00BD4853" w:rsidR="0008721C">
        <w:rPr>
          <w:lang w:val="en-GB"/>
        </w:rPr>
        <w:t xml:space="preserve">, </w:t>
      </w:r>
      <w:r w:rsidRPr="00BD4853" w:rsidR="00B93452">
        <w:t xml:space="preserve">the </w:t>
      </w:r>
      <w:r w:rsidRPr="00BD4853" w:rsidR="00350A3A">
        <w:t xml:space="preserve">second </w:t>
      </w:r>
      <w:r w:rsidRPr="00BD4853" w:rsidR="00B93452">
        <w:t xml:space="preserve">applicant </w:t>
      </w:r>
      <w:r w:rsidRPr="00BD4853" w:rsidR="008D0D4E">
        <w:t xml:space="preserve">brought </w:t>
      </w:r>
      <w:r w:rsidRPr="00BD4853" w:rsidR="00F67323">
        <w:t xml:space="preserve">an </w:t>
      </w:r>
      <w:r w:rsidRPr="00BD4853" w:rsidR="00EF5808">
        <w:t xml:space="preserve">action for </w:t>
      </w:r>
      <w:r w:rsidRPr="00BD4853" w:rsidR="00317FF2">
        <w:t>a</w:t>
      </w:r>
      <w:r w:rsidRPr="00BD4853" w:rsidR="00EF5808">
        <w:t xml:space="preserve"> </w:t>
      </w:r>
      <w:r w:rsidRPr="00BD4853" w:rsidR="0002262A">
        <w:t xml:space="preserve">compulsory </w:t>
      </w:r>
      <w:r w:rsidRPr="00BD4853" w:rsidR="00F67323">
        <w:t>portion of the dece</w:t>
      </w:r>
      <w:r w:rsidRPr="00BD4853" w:rsidR="008D0D4E">
        <w:t>ase</w:t>
      </w:r>
      <w:r w:rsidRPr="00BD4853" w:rsidR="00F67323">
        <w:t>d</w:t>
      </w:r>
      <w:r w:rsidRPr="00BD4853">
        <w:t>’</w:t>
      </w:r>
      <w:r w:rsidRPr="00BD4853" w:rsidR="00F67323">
        <w:t>s estate (</w:t>
      </w:r>
      <w:r w:rsidRPr="00BD4853" w:rsidR="00F67323">
        <w:rPr>
          <w:i/>
        </w:rPr>
        <w:t>Plichtteils</w:t>
      </w:r>
      <w:r w:rsidRPr="00BD4853" w:rsidR="00B93452">
        <w:rPr>
          <w:i/>
        </w:rPr>
        <w:t xml:space="preserve">klage) </w:t>
      </w:r>
      <w:r w:rsidRPr="00BD4853" w:rsidR="00B93452">
        <w:t>with the Hamburg Regional Court.</w:t>
      </w:r>
    </w:p>
    <w:p w:rsidRPr="00BD4853" w:rsidR="00B93452" w:rsidP="00BD4853" w:rsidRDefault="00BD4853">
      <w:pPr>
        <w:pStyle w:val="ECHRPara"/>
      </w:pPr>
      <w:fldSimple w:instr=" SEQ level0 \*arabic ">
        <w:r w:rsidRPr="00BD4853">
          <w:rPr>
            <w:noProof/>
          </w:rPr>
          <w:t>17</w:t>
        </w:r>
      </w:fldSimple>
      <w:r w:rsidRPr="00BD4853" w:rsidR="00B93452">
        <w:t xml:space="preserve">.  On 21 January 2010 the Hamburg Regional Court </w:t>
      </w:r>
      <w:r w:rsidRPr="00BD4853" w:rsidR="008D0D4E">
        <w:t xml:space="preserve">dismissed </w:t>
      </w:r>
      <w:r w:rsidRPr="00BD4853" w:rsidR="00B93452">
        <w:t>the</w:t>
      </w:r>
      <w:r w:rsidRPr="00BD4853" w:rsidR="00350A3A">
        <w:t xml:space="preserve"> second</w:t>
      </w:r>
      <w:r w:rsidRPr="00BD4853" w:rsidR="00B93452">
        <w:t xml:space="preserve"> applicant</w:t>
      </w:r>
      <w:r w:rsidRPr="00BD4853">
        <w:t>’</w:t>
      </w:r>
      <w:r w:rsidRPr="00BD4853" w:rsidR="00B93452">
        <w:t>s claim</w:t>
      </w:r>
      <w:r w:rsidRPr="00BD4853" w:rsidR="008D0D4E">
        <w:t>,</w:t>
      </w:r>
      <w:r w:rsidRPr="00BD4853" w:rsidR="00B93452">
        <w:t xml:space="preserve"> holding that unde</w:t>
      </w:r>
      <w:r w:rsidRPr="00BD4853" w:rsidR="003B4061">
        <w:t>r the first sentence of section </w:t>
      </w:r>
      <w:r w:rsidRPr="00BD4853" w:rsidR="00B93452">
        <w:t xml:space="preserve">12(10)(2) of the Children Born outside Marriage (Legal Status) Act the </w:t>
      </w:r>
      <w:r w:rsidRPr="00BD4853" w:rsidR="00350A3A">
        <w:t xml:space="preserve">second </w:t>
      </w:r>
      <w:r w:rsidRPr="00BD4853" w:rsidR="00B93452">
        <w:t>applicant was not a statutory heir. Th</w:t>
      </w:r>
      <w:r w:rsidRPr="00BD4853" w:rsidR="008D0D4E">
        <w:t>at</w:t>
      </w:r>
      <w:r w:rsidRPr="00BD4853" w:rsidR="00B93452">
        <w:t xml:space="preserve"> provision was in conformity with the Basic Law. The Regional Court referred to the Federal Constitutional Court</w:t>
      </w:r>
      <w:r w:rsidRPr="00BD4853">
        <w:t>’</w:t>
      </w:r>
      <w:r w:rsidRPr="00BD4853" w:rsidR="00B93452">
        <w:t xml:space="preserve">s judgment of 8 December 1976. It noted that </w:t>
      </w:r>
      <w:r w:rsidRPr="00BD4853" w:rsidR="00B93452">
        <w:rPr>
          <w:i/>
        </w:rPr>
        <w:t xml:space="preserve">Brauer </w:t>
      </w:r>
      <w:r w:rsidRPr="00BD4853" w:rsidR="008D0D4E">
        <w:t>(</w:t>
      </w:r>
      <w:r w:rsidRPr="00BD4853" w:rsidR="0005252C">
        <w:t>cited above</w:t>
      </w:r>
      <w:r w:rsidRPr="00BD4853" w:rsidR="008D0D4E">
        <w:t>)</w:t>
      </w:r>
      <w:r w:rsidRPr="00BD4853" w:rsidR="008D0D4E">
        <w:rPr>
          <w:i/>
        </w:rPr>
        <w:t xml:space="preserve"> </w:t>
      </w:r>
      <w:r w:rsidRPr="00BD4853" w:rsidR="00B93452">
        <w:t xml:space="preserve">was not applicable </w:t>
      </w:r>
      <w:r w:rsidRPr="00BD4853" w:rsidR="0005255B">
        <w:t xml:space="preserve">to </w:t>
      </w:r>
      <w:r w:rsidRPr="00BD4853" w:rsidR="00B93452">
        <w:t xml:space="preserve">the case </w:t>
      </w:r>
      <w:r w:rsidRPr="00BD4853" w:rsidR="00B16382">
        <w:t>at</w:t>
      </w:r>
      <w:r w:rsidRPr="00BD4853" w:rsidR="0021769E">
        <w:t xml:space="preserve"> hand </w:t>
      </w:r>
      <w:r w:rsidRPr="00BD4853" w:rsidR="00B93452">
        <w:t xml:space="preserve">because there had been no regular contact between the </w:t>
      </w:r>
      <w:r w:rsidRPr="00BD4853" w:rsidR="00350A3A">
        <w:t xml:space="preserve">second </w:t>
      </w:r>
      <w:r w:rsidRPr="00BD4853" w:rsidR="00B93452">
        <w:t xml:space="preserve">applicant and his father, the deceased had a natural daughter and the </w:t>
      </w:r>
      <w:r w:rsidRPr="00BD4853" w:rsidR="00350A3A">
        <w:t xml:space="preserve">second </w:t>
      </w:r>
      <w:r w:rsidRPr="00BD4853" w:rsidR="00B93452">
        <w:t>applicant had not lived in the former GDR</w:t>
      </w:r>
      <w:r w:rsidRPr="00BD4853" w:rsidR="00AD62A7">
        <w:t xml:space="preserve"> for most of his life</w:t>
      </w:r>
      <w:r w:rsidRPr="00BD4853" w:rsidR="00B93452">
        <w:t>.</w:t>
      </w:r>
    </w:p>
    <w:p w:rsidRPr="00BD4853" w:rsidR="00B93452" w:rsidP="00BD4853" w:rsidRDefault="00BD4853">
      <w:pPr>
        <w:pStyle w:val="ECHRPara"/>
      </w:pPr>
      <w:fldSimple w:instr=" SEQ level0 \*arabic ">
        <w:r w:rsidRPr="00BD4853">
          <w:rPr>
            <w:noProof/>
          </w:rPr>
          <w:t>18</w:t>
        </w:r>
      </w:fldSimple>
      <w:r w:rsidRPr="00BD4853" w:rsidR="00B93452">
        <w:t xml:space="preserve">.  The </w:t>
      </w:r>
      <w:r w:rsidRPr="00BD4853" w:rsidR="00350A3A">
        <w:t xml:space="preserve">second </w:t>
      </w:r>
      <w:r w:rsidRPr="00BD4853" w:rsidR="00B93452">
        <w:t xml:space="preserve">applicant appealed to the Hamburg Court of Appeal, arguing that the </w:t>
      </w:r>
      <w:r w:rsidRPr="00BD4853" w:rsidR="00E40B5C">
        <w:t xml:space="preserve">European </w:t>
      </w:r>
      <w:r w:rsidRPr="00BD4853" w:rsidR="008D0D4E">
        <w:t>Court</w:t>
      </w:r>
      <w:r w:rsidRPr="00BD4853" w:rsidR="00E40B5C">
        <w:t xml:space="preserve"> of Human Right</w:t>
      </w:r>
      <w:r w:rsidRPr="00BD4853" w:rsidR="008D0D4E">
        <w:t xml:space="preserve">s </w:t>
      </w:r>
      <w:r w:rsidRPr="00BD4853" w:rsidR="00B93452">
        <w:t xml:space="preserve">judgment </w:t>
      </w:r>
      <w:r w:rsidRPr="00BD4853" w:rsidR="008D0D4E">
        <w:t xml:space="preserve">in </w:t>
      </w:r>
      <w:r w:rsidRPr="00BD4853" w:rsidR="00B93452">
        <w:rPr>
          <w:i/>
        </w:rPr>
        <w:t xml:space="preserve">Brauer </w:t>
      </w:r>
      <w:r w:rsidRPr="00BD4853" w:rsidR="0005255B">
        <w:t xml:space="preserve">(cited above) </w:t>
      </w:r>
      <w:r w:rsidRPr="00BD4853" w:rsidR="00B93452">
        <w:t xml:space="preserve">obliged the German courts to grant children born outside marriage the same inheritance rights as those born within marriage. The special circumstances of </w:t>
      </w:r>
      <w:r w:rsidRPr="00BD4853" w:rsidR="00B93452">
        <w:rPr>
          <w:i/>
        </w:rPr>
        <w:t>Brauer</w:t>
      </w:r>
      <w:r w:rsidRPr="00BD4853" w:rsidR="0005255B">
        <w:rPr>
          <w:i/>
        </w:rPr>
        <w:t xml:space="preserve"> </w:t>
      </w:r>
      <w:r w:rsidRPr="00BD4853" w:rsidR="0005255B">
        <w:t>(cited above)</w:t>
      </w:r>
      <w:r w:rsidRPr="00BD4853" w:rsidR="00B93452">
        <w:t xml:space="preserve">, which were referred to by the Regional Court, were not conditions </w:t>
      </w:r>
      <w:r w:rsidRPr="00BD4853" w:rsidR="0005255B">
        <w:t xml:space="preserve">that had to be present in order to </w:t>
      </w:r>
      <w:r w:rsidRPr="00BD4853" w:rsidR="00B93452">
        <w:t>apply the principles laid down in that judgment.</w:t>
      </w:r>
    </w:p>
    <w:p w:rsidRPr="00BD4853" w:rsidR="00B93452" w:rsidP="00BD4853" w:rsidRDefault="00BD4853">
      <w:pPr>
        <w:pStyle w:val="ECHRPara"/>
      </w:pPr>
      <w:fldSimple w:instr=" SEQ level0 \*arabic ">
        <w:r w:rsidRPr="00BD4853">
          <w:rPr>
            <w:noProof/>
          </w:rPr>
          <w:t>19</w:t>
        </w:r>
      </w:fldSimple>
      <w:r w:rsidRPr="00BD4853" w:rsidR="00B93452">
        <w:t>.  In a decision of 15 June 2010 the Hamburg Court of Appeal upheld the Regional Court</w:t>
      </w:r>
      <w:r w:rsidRPr="00BD4853">
        <w:t>’</w:t>
      </w:r>
      <w:r w:rsidRPr="00BD4853" w:rsidR="00B93452">
        <w:t>s decision, endorsing its reasoning. It referred to the Federal Constitutional Court</w:t>
      </w:r>
      <w:r w:rsidRPr="00BD4853">
        <w:t>’</w:t>
      </w:r>
      <w:r w:rsidRPr="00BD4853" w:rsidR="00B93452">
        <w:t>s case-law, arguing that there was a need to protect the legitimate expectations of the deceased.</w:t>
      </w:r>
    </w:p>
    <w:p w:rsidRPr="00BD4853" w:rsidR="003B4061" w:rsidP="00BD4853" w:rsidRDefault="00BD4853">
      <w:pPr>
        <w:pStyle w:val="ECHRPara"/>
      </w:pPr>
      <w:fldSimple w:instr=" SEQ level0 \*arabic ">
        <w:r w:rsidRPr="00BD4853">
          <w:rPr>
            <w:noProof/>
          </w:rPr>
          <w:t>20</w:t>
        </w:r>
      </w:fldSimple>
      <w:r w:rsidRPr="00BD4853" w:rsidR="00B93452">
        <w:t xml:space="preserve">.  The </w:t>
      </w:r>
      <w:r w:rsidRPr="00BD4853" w:rsidR="00350A3A">
        <w:t xml:space="preserve">second </w:t>
      </w:r>
      <w:r w:rsidRPr="00BD4853" w:rsidR="00B93452">
        <w:t>applicant appealed to the Federal Court of Justice, which confirmed the Hamburg Court of Appeal</w:t>
      </w:r>
      <w:r w:rsidRPr="00BD4853">
        <w:t>’</w:t>
      </w:r>
      <w:r w:rsidRPr="00BD4853" w:rsidR="00B93452">
        <w:t xml:space="preserve">s reasoning in a decision on 26 October 2011. The Federal Court of Justice argued that neither the old nor the amended first sentence of section 12(10)(2) of the Children Born outside Marriage (Legal Status) Act discriminated against children born outside marriage before 1 July 1949 because the difference in treatment was based on legitimate grounds. Regarding the amended first sentence of section 12(10)(2) of the Children Born outside Marriage (Legal Status) Act, </w:t>
      </w:r>
      <w:r w:rsidRPr="00BD4853" w:rsidR="0005255B">
        <w:t xml:space="preserve">expanding the </w:t>
      </w:r>
      <w:r w:rsidRPr="00BD4853" w:rsidR="00B93452">
        <w:t>retroactiv</w:t>
      </w:r>
      <w:r w:rsidRPr="00BD4853" w:rsidR="0005255B">
        <w:t xml:space="preserve">e scope </w:t>
      </w:r>
      <w:r w:rsidRPr="00BD4853" w:rsidR="00B93452">
        <w:t xml:space="preserve">of the reform beyond the one adopted was not necessary as the basic principles of legal certainty and legitimate expectations </w:t>
      </w:r>
      <w:r w:rsidRPr="00BD4853" w:rsidR="008D0D4E">
        <w:t xml:space="preserve">had </w:t>
      </w:r>
      <w:r w:rsidRPr="00BD4853" w:rsidR="00B93452">
        <w:t>to be respected. Th</w:t>
      </w:r>
      <w:r w:rsidRPr="00BD4853" w:rsidR="008D0D4E">
        <w:t>o</w:t>
      </w:r>
      <w:r w:rsidRPr="00BD4853" w:rsidR="00B93452">
        <w:t xml:space="preserve">se principles were </w:t>
      </w:r>
      <w:r w:rsidRPr="00BD4853" w:rsidR="008D0D4E">
        <w:t xml:space="preserve">also </w:t>
      </w:r>
      <w:r w:rsidRPr="00BD4853" w:rsidR="00B93452">
        <w:t xml:space="preserve">necessarily inherent in the Convention, </w:t>
      </w:r>
      <w:r w:rsidRPr="00BD4853" w:rsidR="008D0D4E">
        <w:t xml:space="preserve">meaning </w:t>
      </w:r>
      <w:r w:rsidRPr="00BD4853" w:rsidR="00B93452">
        <w:t xml:space="preserve">that even though the inheritance rights of children born outside marriage fell within the scope of </w:t>
      </w:r>
      <w:r w:rsidRPr="00BD4853" w:rsidR="0005255B">
        <w:t xml:space="preserve">the </w:t>
      </w:r>
      <w:r w:rsidRPr="00BD4853" w:rsidR="00B93452">
        <w:t xml:space="preserve">protection of Article 8 of the Convention, a State was dispensed from reopening legal acts or </w:t>
      </w:r>
      <w:r w:rsidRPr="00BD4853" w:rsidR="0005255B">
        <w:t xml:space="preserve">reviewing </w:t>
      </w:r>
      <w:r w:rsidRPr="00BD4853" w:rsidR="00B93452">
        <w:t>situations that pre</w:t>
      </w:r>
      <w:r w:rsidRPr="00BD4853" w:rsidR="008D0D4E">
        <w:t>-</w:t>
      </w:r>
      <w:r w:rsidRPr="00BD4853" w:rsidR="00B93452">
        <w:t xml:space="preserve">dated the delivery of a court judgment. The Federal Court of Justice </w:t>
      </w:r>
      <w:r w:rsidRPr="00BD4853" w:rsidR="0005255B">
        <w:t xml:space="preserve">also </w:t>
      </w:r>
      <w:r w:rsidRPr="00BD4853" w:rsidR="00B93452">
        <w:t xml:space="preserve">noted that the facts </w:t>
      </w:r>
      <w:r w:rsidRPr="00BD4853" w:rsidR="0005255B">
        <w:t>at</w:t>
      </w:r>
      <w:r w:rsidRPr="00BD4853" w:rsidR="00B93452">
        <w:t xml:space="preserve"> issue </w:t>
      </w:r>
      <w:r w:rsidRPr="00BD4853" w:rsidR="008D0D4E">
        <w:t xml:space="preserve">did not </w:t>
      </w:r>
      <w:r w:rsidRPr="00BD4853" w:rsidR="00B93452">
        <w:t>f</w:t>
      </w:r>
      <w:r w:rsidRPr="00BD4853" w:rsidR="008D0D4E">
        <w:t>a</w:t>
      </w:r>
      <w:r w:rsidRPr="00BD4853" w:rsidR="00B93452">
        <w:t xml:space="preserve">ll </w:t>
      </w:r>
      <w:r w:rsidRPr="00BD4853" w:rsidR="008D0D4E">
        <w:t xml:space="preserve">within </w:t>
      </w:r>
      <w:r w:rsidRPr="00BD4853" w:rsidR="00B93452">
        <w:t>the ambit of Article 8 or that of Article 14 of the Convention.</w:t>
      </w:r>
    </w:p>
    <w:p w:rsidRPr="00BD4853" w:rsidR="0096747A" w:rsidP="00BD4853" w:rsidRDefault="00BF3146">
      <w:pPr>
        <w:pStyle w:val="ECHRHeading2"/>
      </w:pPr>
      <w:r w:rsidRPr="00BD4853">
        <w:t>C</w:t>
      </w:r>
      <w:r w:rsidRPr="00BD4853" w:rsidR="0096747A">
        <w:t>.</w:t>
      </w:r>
      <w:r w:rsidRPr="00BD4853" w:rsidR="00847B08">
        <w:t>  </w:t>
      </w:r>
      <w:r w:rsidRPr="00BD4853" w:rsidR="0096747A">
        <w:t xml:space="preserve">The </w:t>
      </w:r>
      <w:r w:rsidRPr="00BD4853" w:rsidR="00DC504B">
        <w:t>proceedings before</w:t>
      </w:r>
      <w:r w:rsidRPr="00BD4853" w:rsidR="0096747A">
        <w:t xml:space="preserve"> the Federal Constitutional Court</w:t>
      </w:r>
    </w:p>
    <w:p w:rsidRPr="00BD4853" w:rsidR="00B16382" w:rsidP="00BD4853" w:rsidRDefault="00BD4853">
      <w:pPr>
        <w:pStyle w:val="ECHRPara"/>
      </w:pPr>
      <w:fldSimple w:instr=" SEQ level0 \*arabic ">
        <w:r w:rsidRPr="00BD4853">
          <w:rPr>
            <w:noProof/>
          </w:rPr>
          <w:t>21</w:t>
        </w:r>
      </w:fldSimple>
      <w:r w:rsidRPr="00BD4853" w:rsidR="00B16382">
        <w:t xml:space="preserve">.  On 18 November 2010 the first applicant lodged a constitutional complaint with the Federal Constitutional Court. He claimed discrimination and therefore a violation of Article 3 and Article 6 § 5 of the Basic Law by applying the first sentence of section 12(10)(2) of the Children Born outside Marriage (Legal Status) Act because there were no reasons why children born outside marriage should be treated differently from those born within marriage. The case-law of the Federal Constitutional Court, which considered that provision to be valid, disregarded the European Court of Human Rights judgment in </w:t>
      </w:r>
      <w:r w:rsidRPr="00BD4853" w:rsidR="00B16382">
        <w:rPr>
          <w:i/>
        </w:rPr>
        <w:t xml:space="preserve">Brauer </w:t>
      </w:r>
      <w:r w:rsidRPr="00BD4853" w:rsidR="00B16382">
        <w:t>(cited above)</w:t>
      </w:r>
      <w:r w:rsidRPr="00BD4853" w:rsidR="00B16382">
        <w:rPr>
          <w:i/>
        </w:rPr>
        <w:t xml:space="preserve"> </w:t>
      </w:r>
      <w:r w:rsidRPr="00BD4853" w:rsidR="00B16382">
        <w:t>and was therefore unlawful. That led to a violation of Article 8 and Article 14 of the Convention.</w:t>
      </w:r>
    </w:p>
    <w:p w:rsidRPr="00BD4853" w:rsidR="00B16382" w:rsidP="00BD4853" w:rsidRDefault="00BD4853">
      <w:pPr>
        <w:pStyle w:val="ECHRPara"/>
      </w:pPr>
      <w:fldSimple w:instr=" SEQ level0 \*arabic ">
        <w:r w:rsidRPr="00BD4853">
          <w:rPr>
            <w:noProof/>
          </w:rPr>
          <w:t>22</w:t>
        </w:r>
      </w:fldSimple>
      <w:r w:rsidRPr="00BD4853" w:rsidR="00B16382">
        <w:t xml:space="preserve">.  The second applicant </w:t>
      </w:r>
      <w:r w:rsidRPr="00BD4853" w:rsidR="00ED4C59">
        <w:t xml:space="preserve">also </w:t>
      </w:r>
      <w:r w:rsidRPr="00BD4853" w:rsidR="00B16382">
        <w:t xml:space="preserve">lodged a constitutional complaint with the Federal Constitutional Court. Relying on the judgment in </w:t>
      </w:r>
      <w:r w:rsidRPr="00BD4853" w:rsidR="00B16382">
        <w:rPr>
          <w:i/>
        </w:rPr>
        <w:t xml:space="preserve">Brauer </w:t>
      </w:r>
      <w:r w:rsidRPr="00BD4853" w:rsidR="00B16382">
        <w:t xml:space="preserve">(cited above), he complained that the application of the amended version of the first sentence of section 12(10)(2) of the Children Born outside Marriage (Legal Status) Act discriminated against him compared to children born within marriage. As a consequence he </w:t>
      </w:r>
      <w:r w:rsidRPr="00BD4853" w:rsidR="00ED4C59">
        <w:t xml:space="preserve">had been </w:t>
      </w:r>
      <w:r w:rsidRPr="00BD4853" w:rsidR="00B16382">
        <w:t>denied his inheritance rights.</w:t>
      </w:r>
    </w:p>
    <w:p w:rsidRPr="00BD4853" w:rsidR="006B4FFF" w:rsidP="00BD4853" w:rsidRDefault="00BD4853">
      <w:pPr>
        <w:pStyle w:val="ECHRPara"/>
      </w:pPr>
      <w:fldSimple w:instr=" SEQ level0 \*arabic ">
        <w:r w:rsidRPr="00BD4853">
          <w:rPr>
            <w:noProof/>
          </w:rPr>
          <w:t>23</w:t>
        </w:r>
      </w:fldSimple>
      <w:r w:rsidRPr="00BD4853" w:rsidR="00B16382">
        <w:t>.  </w:t>
      </w:r>
      <w:r w:rsidRPr="00BD4853" w:rsidR="0096747A">
        <w:t xml:space="preserve">In a decision of 18 March 2013 the Federal Constitutional Court </w:t>
      </w:r>
      <w:r w:rsidRPr="00BD4853" w:rsidR="002807F7">
        <w:t>dismissed</w:t>
      </w:r>
      <w:r w:rsidRPr="00BD4853" w:rsidR="00F46044">
        <w:t xml:space="preserve"> </w:t>
      </w:r>
      <w:r w:rsidRPr="00BD4853" w:rsidR="00ED4C59">
        <w:t>both applicants</w:t>
      </w:r>
      <w:r w:rsidRPr="00BD4853">
        <w:t>’</w:t>
      </w:r>
      <w:r w:rsidRPr="00BD4853" w:rsidR="00ED4C59">
        <w:t xml:space="preserve"> </w:t>
      </w:r>
      <w:r w:rsidRPr="00BD4853" w:rsidR="0096747A">
        <w:t>constitutional complaints</w:t>
      </w:r>
      <w:r w:rsidRPr="00BD4853" w:rsidR="00F46044">
        <w:t xml:space="preserve"> </w:t>
      </w:r>
      <w:r w:rsidRPr="00BD4853" w:rsidR="0096747A">
        <w:t>(file nos.</w:t>
      </w:r>
      <w:r w:rsidRPr="00BD4853" w:rsidR="00847B08">
        <w:t> </w:t>
      </w:r>
      <w:r w:rsidRPr="00BD4853" w:rsidR="0096747A">
        <w:t>1</w:t>
      </w:r>
      <w:r w:rsidRPr="00BD4853" w:rsidR="00847B08">
        <w:t> </w:t>
      </w:r>
      <w:r w:rsidRPr="00BD4853" w:rsidR="0096747A">
        <w:t>BvR</w:t>
      </w:r>
      <w:r w:rsidRPr="00BD4853" w:rsidR="00847B08">
        <w:t> </w:t>
      </w:r>
      <w:r w:rsidRPr="00BD4853" w:rsidR="0096747A">
        <w:t>2436/11 and 3155/11).</w:t>
      </w:r>
    </w:p>
    <w:p w:rsidRPr="00BD4853" w:rsidR="006B4FFF" w:rsidP="00BD4853" w:rsidRDefault="00BD4853">
      <w:pPr>
        <w:pStyle w:val="ECHRPara"/>
      </w:pPr>
      <w:fldSimple w:instr=" SEQ level0 \*arabic ">
        <w:r w:rsidRPr="00BD4853">
          <w:rPr>
            <w:noProof/>
          </w:rPr>
          <w:t>24</w:t>
        </w:r>
      </w:fldSimple>
      <w:r w:rsidRPr="00BD4853" w:rsidR="0096747A">
        <w:t xml:space="preserve">.  The Federal Constitutional Court noted that the judgment in </w:t>
      </w:r>
      <w:r w:rsidRPr="00BD4853" w:rsidR="0096747A">
        <w:rPr>
          <w:i/>
        </w:rPr>
        <w:t>Brauer</w:t>
      </w:r>
      <w:r w:rsidRPr="00BD4853" w:rsidR="0005255B">
        <w:rPr>
          <w:i/>
        </w:rPr>
        <w:t xml:space="preserve"> </w:t>
      </w:r>
      <w:r w:rsidRPr="00BD4853" w:rsidR="0005255B">
        <w:t>(cited above)</w:t>
      </w:r>
      <w:r w:rsidRPr="00BD4853" w:rsidR="002807F7">
        <w:t xml:space="preserve"> had led </w:t>
      </w:r>
      <w:r w:rsidRPr="00BD4853" w:rsidR="0096747A">
        <w:t>the German legislat</w:t>
      </w:r>
      <w:r w:rsidRPr="00BD4853" w:rsidR="0026462A">
        <w:t>ure</w:t>
      </w:r>
      <w:r w:rsidRPr="00BD4853" w:rsidR="0096747A">
        <w:t xml:space="preserve"> </w:t>
      </w:r>
      <w:r w:rsidRPr="00BD4853" w:rsidR="002807F7">
        <w:t xml:space="preserve">to </w:t>
      </w:r>
      <w:r w:rsidRPr="00BD4853" w:rsidR="0026462A">
        <w:t xml:space="preserve">pass </w:t>
      </w:r>
      <w:r w:rsidRPr="00BD4853" w:rsidR="0096747A">
        <w:t xml:space="preserve">the Second Inheritance Rights </w:t>
      </w:r>
      <w:r w:rsidRPr="00BD4853" w:rsidR="0096747A">
        <w:rPr>
          <w:lang w:val="en-GB"/>
        </w:rPr>
        <w:t>Equalisation</w:t>
      </w:r>
      <w:r w:rsidRPr="00BD4853" w:rsidR="0096747A">
        <w:t xml:space="preserve"> Act of 12 April 2011 (</w:t>
      </w:r>
      <w:r w:rsidRPr="00BD4853" w:rsidR="0096747A">
        <w:rPr>
          <w:i/>
        </w:rPr>
        <w:t>Zweites Gesetz zur erbrechtlichen Gleichstellung nichtehelicher Kinder</w:t>
      </w:r>
      <w:r w:rsidRPr="00BD4853" w:rsidR="0096747A">
        <w:t xml:space="preserve">). The first sentence of section 12(10)(2) of the Children Born outside Marriage (Legal Status) Act of 19 August 1969 </w:t>
      </w:r>
      <w:r w:rsidRPr="00BD4853" w:rsidR="0026462A">
        <w:t xml:space="preserve">had been </w:t>
      </w:r>
      <w:r w:rsidRPr="00BD4853" w:rsidR="0096747A">
        <w:t xml:space="preserve">changed retroactively, </w:t>
      </w:r>
      <w:r w:rsidRPr="00BD4853" w:rsidR="0005255B">
        <w:t xml:space="preserve">with </w:t>
      </w:r>
      <w:r w:rsidRPr="00BD4853" w:rsidR="0096747A">
        <w:t xml:space="preserve">the effect that the difference between children born outside marriage before and after 1 July 1949 </w:t>
      </w:r>
      <w:r w:rsidRPr="00BD4853" w:rsidR="00ED4C59">
        <w:t xml:space="preserve">had been </w:t>
      </w:r>
      <w:r w:rsidRPr="00BD4853" w:rsidR="0096747A">
        <w:t>set aside in cases of successions after 28 May 2009 (see paragraph </w:t>
      </w:r>
      <w:r w:rsidRPr="00BD4853" w:rsidR="00882F59">
        <w:t>3</w:t>
      </w:r>
      <w:r w:rsidRPr="00BD4853" w:rsidR="00B93C93">
        <w:t>7</w:t>
      </w:r>
      <w:r w:rsidRPr="00BD4853" w:rsidR="0096747A">
        <w:t xml:space="preserve"> below).</w:t>
      </w:r>
    </w:p>
    <w:p w:rsidRPr="00BD4853" w:rsidR="006B4FFF" w:rsidP="00BD4853" w:rsidRDefault="00BD4853">
      <w:pPr>
        <w:pStyle w:val="ECHRPara"/>
      </w:pPr>
      <w:fldSimple w:instr=" SEQ level0 \*arabic ">
        <w:r w:rsidRPr="00BD4853">
          <w:rPr>
            <w:noProof/>
          </w:rPr>
          <w:t>25</w:t>
        </w:r>
      </w:fldSimple>
      <w:r w:rsidRPr="00BD4853" w:rsidR="00003497">
        <w:t>.  </w:t>
      </w:r>
      <w:r w:rsidRPr="00BD4853" w:rsidR="00C5693C">
        <w:t xml:space="preserve">Even though </w:t>
      </w:r>
      <w:r w:rsidRPr="00BD4853" w:rsidR="0096747A">
        <w:t xml:space="preserve">the </w:t>
      </w:r>
      <w:r w:rsidRPr="00BD4853" w:rsidR="00F46044">
        <w:t xml:space="preserve">first </w:t>
      </w:r>
      <w:r w:rsidRPr="00BD4853" w:rsidR="0096747A">
        <w:t>applicant</w:t>
      </w:r>
      <w:r w:rsidRPr="00BD4853">
        <w:t>’</w:t>
      </w:r>
      <w:r w:rsidRPr="00BD4853" w:rsidR="00C5693C">
        <w:t xml:space="preserve">s claim of </w:t>
      </w:r>
      <w:r w:rsidRPr="00BD4853" w:rsidR="0096747A">
        <w:t xml:space="preserve">a close relationship with his father </w:t>
      </w:r>
      <w:r w:rsidRPr="00BD4853" w:rsidR="00C5693C">
        <w:t xml:space="preserve">had only been made </w:t>
      </w:r>
      <w:r w:rsidRPr="00BD4853" w:rsidR="0096747A">
        <w:t>for the first time in his appeal to the Cologne Court of Appeal, the Federal Constitutional Court noted that th</w:t>
      </w:r>
      <w:r w:rsidRPr="00BD4853" w:rsidR="0026462A">
        <w:t>at</w:t>
      </w:r>
      <w:r w:rsidRPr="00BD4853" w:rsidR="0096747A">
        <w:t xml:space="preserve"> statement of fact was not relevant for the issue before it</w:t>
      </w:r>
      <w:r w:rsidRPr="00BD4853" w:rsidR="00B16382">
        <w:t>. It</w:t>
      </w:r>
      <w:r w:rsidRPr="00BD4853" w:rsidR="00C5693C">
        <w:t xml:space="preserve"> declared </w:t>
      </w:r>
      <w:r w:rsidRPr="00BD4853" w:rsidR="00B16382">
        <w:t>both applicants</w:t>
      </w:r>
      <w:r w:rsidRPr="00BD4853">
        <w:t>’</w:t>
      </w:r>
      <w:r w:rsidRPr="00BD4853" w:rsidR="00B16382">
        <w:t xml:space="preserve"> </w:t>
      </w:r>
      <w:r w:rsidRPr="00BD4853" w:rsidR="0096747A">
        <w:t>constitutional complaint</w:t>
      </w:r>
      <w:r w:rsidRPr="00BD4853" w:rsidR="003328D6">
        <w:t>s</w:t>
      </w:r>
      <w:r w:rsidRPr="00BD4853" w:rsidR="0096747A">
        <w:t xml:space="preserve"> admissible.</w:t>
      </w:r>
    </w:p>
    <w:p w:rsidRPr="00BD4853" w:rsidR="006B4FFF" w:rsidP="00BD4853" w:rsidRDefault="00BD4853">
      <w:pPr>
        <w:pStyle w:val="ECHRPara"/>
      </w:pPr>
      <w:fldSimple w:instr=" SEQ level0 \*arabic ">
        <w:r w:rsidRPr="00BD4853">
          <w:rPr>
            <w:noProof/>
          </w:rPr>
          <w:t>26</w:t>
        </w:r>
      </w:fldSimple>
      <w:r w:rsidRPr="00BD4853" w:rsidR="00882F59">
        <w:t>.  </w:t>
      </w:r>
      <w:r w:rsidRPr="00BD4853" w:rsidR="0096747A">
        <w:t xml:space="preserve">The Federal Constitutional Court confirmed the conformity of the amended first sentence of section 12(10)(2) of the Children Born outside Marriage (Legal Status) Act with the Basic Law. </w:t>
      </w:r>
      <w:r w:rsidRPr="00BD4853" w:rsidR="0026462A">
        <w:t xml:space="preserve">It </w:t>
      </w:r>
      <w:r w:rsidRPr="00BD4853" w:rsidR="0096747A">
        <w:t xml:space="preserve">reiterated that the cases </w:t>
      </w:r>
      <w:r w:rsidRPr="00BD4853" w:rsidR="00B909D3">
        <w:t xml:space="preserve">at hand </w:t>
      </w:r>
      <w:r w:rsidRPr="00BD4853" w:rsidR="0096747A">
        <w:t xml:space="preserve">only </w:t>
      </w:r>
      <w:r w:rsidRPr="00BD4853" w:rsidR="0026462A">
        <w:t xml:space="preserve">needed </w:t>
      </w:r>
      <w:r w:rsidRPr="00BD4853" w:rsidR="0096747A">
        <w:t xml:space="preserve">to be examined under Article 6 § 5 </w:t>
      </w:r>
      <w:r w:rsidRPr="00BD4853" w:rsidR="00ED4C59">
        <w:t xml:space="preserve">of the Basic Law </w:t>
      </w:r>
      <w:r w:rsidRPr="00BD4853" w:rsidR="0096747A">
        <w:t>and not under Article 14</w:t>
      </w:r>
      <w:r w:rsidRPr="00BD4853" w:rsidR="00882F59">
        <w:t>, which contained the right to protection of property</w:t>
      </w:r>
      <w:r w:rsidRPr="00BD4853" w:rsidR="0096747A">
        <w:t xml:space="preserve">. The difference between children born outside marriage before and after 1 July 1949 had been abolished by the Second Inheritance Rights </w:t>
      </w:r>
      <w:r w:rsidRPr="00BD4853" w:rsidR="0096747A">
        <w:rPr>
          <w:lang w:val="en-GB"/>
        </w:rPr>
        <w:t xml:space="preserve">Equalisation </w:t>
      </w:r>
      <w:r w:rsidRPr="00BD4853" w:rsidR="0096747A">
        <w:t>Act of 12 April 2011</w:t>
      </w:r>
      <w:r w:rsidRPr="00BD4853" w:rsidR="0026462A">
        <w:t xml:space="preserve">. </w:t>
      </w:r>
      <w:r w:rsidRPr="00BD4853" w:rsidR="00C5693C">
        <w:t>T</w:t>
      </w:r>
      <w:r w:rsidRPr="00BD4853" w:rsidR="0096747A">
        <w:t>he general discrimination against children born before and after th</w:t>
      </w:r>
      <w:r w:rsidRPr="00BD4853" w:rsidR="0026462A">
        <w:t>at</w:t>
      </w:r>
      <w:r w:rsidRPr="00BD4853" w:rsidR="0096747A">
        <w:t xml:space="preserve"> date </w:t>
      </w:r>
      <w:r w:rsidRPr="00BD4853" w:rsidR="00C5693C">
        <w:t xml:space="preserve">therefore </w:t>
      </w:r>
      <w:r w:rsidRPr="00BD4853" w:rsidR="0096747A">
        <w:t>no longer exist</w:t>
      </w:r>
      <w:r w:rsidRPr="00BD4853" w:rsidR="0026462A">
        <w:t>ed</w:t>
      </w:r>
      <w:r w:rsidRPr="00BD4853" w:rsidR="0096747A">
        <w:t xml:space="preserve">. The time-limit in the new provision was not linked to personal characteristics but to a coincidental external </w:t>
      </w:r>
      <w:r w:rsidRPr="00BD4853" w:rsidR="0026462A">
        <w:t>event</w:t>
      </w:r>
      <w:r w:rsidRPr="00BD4853" w:rsidR="0096747A">
        <w:t xml:space="preserve"> (</w:t>
      </w:r>
      <w:r w:rsidRPr="00BD4853" w:rsidR="0096747A">
        <w:rPr>
          <w:i/>
        </w:rPr>
        <w:t>zufälliges, von außen kommendes Ereignis)</w:t>
      </w:r>
      <w:r w:rsidRPr="00BD4853" w:rsidR="0096747A">
        <w:t>.</w:t>
      </w:r>
      <w:r w:rsidRPr="00BD4853" w:rsidR="00C5693C">
        <w:t xml:space="preserve"> A</w:t>
      </w:r>
      <w:r w:rsidRPr="00BD4853" w:rsidR="0096747A">
        <w:t xml:space="preserve">ny discriminatory treatment was </w:t>
      </w:r>
      <w:r w:rsidRPr="00BD4853" w:rsidR="00C5693C">
        <w:t xml:space="preserve">therefore </w:t>
      </w:r>
      <w:r w:rsidRPr="00BD4853" w:rsidR="0096747A">
        <w:t xml:space="preserve">of a lesser </w:t>
      </w:r>
      <w:r w:rsidRPr="00BD4853" w:rsidR="00ED4C59">
        <w:t>degree</w:t>
      </w:r>
      <w:r w:rsidRPr="00BD4853" w:rsidR="0096747A">
        <w:t>.</w:t>
      </w:r>
    </w:p>
    <w:p w:rsidRPr="00BD4853" w:rsidR="006B4FFF" w:rsidP="00BD4853" w:rsidRDefault="00BD4853">
      <w:pPr>
        <w:pStyle w:val="ECHRPara"/>
      </w:pPr>
      <w:fldSimple w:instr=" SEQ level0 \*arabic ">
        <w:r w:rsidRPr="00BD4853">
          <w:rPr>
            <w:noProof/>
          </w:rPr>
          <w:t>27</w:t>
        </w:r>
      </w:fldSimple>
      <w:r w:rsidRPr="00BD4853" w:rsidR="00882F59">
        <w:t>.  </w:t>
      </w:r>
      <w:r w:rsidRPr="00BD4853" w:rsidR="0026462A">
        <w:t xml:space="preserve">Making </w:t>
      </w:r>
      <w:r w:rsidRPr="00BD4853" w:rsidR="0096747A">
        <w:t xml:space="preserve">the reform </w:t>
      </w:r>
      <w:r w:rsidRPr="00BD4853" w:rsidR="0026462A">
        <w:t xml:space="preserve">retroactive </w:t>
      </w:r>
      <w:r w:rsidRPr="00BD4853" w:rsidR="0096747A">
        <w:t xml:space="preserve">was not necessary as the conformity of the relevant provision of the Children Born outside Marriage (Legal Status) Act had been repeatedly confirmed by the Federal Constitutional Court. </w:t>
      </w:r>
      <w:r w:rsidRPr="00BD4853" w:rsidR="0026462A">
        <w:t xml:space="preserve">The </w:t>
      </w:r>
      <w:r w:rsidRPr="00BD4853" w:rsidR="0026462A">
        <w:rPr>
          <w:i/>
        </w:rPr>
        <w:t xml:space="preserve">Brauer </w:t>
      </w:r>
      <w:r w:rsidRPr="00BD4853" w:rsidR="0026462A">
        <w:t xml:space="preserve">case </w:t>
      </w:r>
      <w:r w:rsidRPr="00BD4853" w:rsidR="0016514F">
        <w:t xml:space="preserve">(cited above) </w:t>
      </w:r>
      <w:r w:rsidRPr="00BD4853" w:rsidR="00ED4C59">
        <w:t xml:space="preserve">had </w:t>
      </w:r>
      <w:r w:rsidRPr="00BD4853" w:rsidR="00573CC8">
        <w:t>not change</w:t>
      </w:r>
      <w:r w:rsidRPr="00BD4853" w:rsidR="00ED4C59">
        <w:t>d</w:t>
      </w:r>
      <w:r w:rsidRPr="00BD4853" w:rsidR="00573CC8">
        <w:t xml:space="preserve"> that position </w:t>
      </w:r>
      <w:r w:rsidRPr="00BD4853" w:rsidR="0096747A">
        <w:t xml:space="preserve">because the European Court of Human Rights had clarified in </w:t>
      </w:r>
      <w:r w:rsidRPr="00BD4853" w:rsidR="0096747A">
        <w:rPr>
          <w:i/>
        </w:rPr>
        <w:t>Marckx</w:t>
      </w:r>
      <w:r w:rsidRPr="00BD4853" w:rsidR="00573CC8">
        <w:rPr>
          <w:i/>
          <w:lang w:val="en-GB"/>
        </w:rPr>
        <w:t xml:space="preserve"> v. Belgium</w:t>
      </w:r>
      <w:r w:rsidRPr="00BD4853" w:rsidR="00573CC8">
        <w:rPr>
          <w:lang w:val="en-GB"/>
        </w:rPr>
        <w:t xml:space="preserve"> (13 June 1979, Series A no. 31</w:t>
      </w:r>
      <w:r w:rsidRPr="00BD4853" w:rsidR="0096747A">
        <w:t xml:space="preserve">) that the principle of legal certainty, which was necessarily inherent in the law of the Convention as in European Law, dispensed a State from reopening legal acts or </w:t>
      </w:r>
      <w:r w:rsidRPr="00BD4853" w:rsidR="0016514F">
        <w:t xml:space="preserve">reviewing </w:t>
      </w:r>
      <w:r w:rsidRPr="00BD4853" w:rsidR="0096747A">
        <w:t>situations that predated the delivery of a judgment</w:t>
      </w:r>
      <w:r w:rsidRPr="00BD4853" w:rsidR="0016514F">
        <w:t xml:space="preserve"> by th</w:t>
      </w:r>
      <w:r w:rsidRPr="00BD4853" w:rsidR="00537E1C">
        <w:t>e European Court of Human Rights</w:t>
      </w:r>
      <w:r w:rsidRPr="00BD4853" w:rsidR="0096747A">
        <w:t>.</w:t>
      </w:r>
    </w:p>
    <w:p w:rsidRPr="00BD4853" w:rsidR="00014566" w:rsidP="00BD4853" w:rsidRDefault="00BD4853">
      <w:pPr>
        <w:pStyle w:val="ECHRPara"/>
        <w:rPr>
          <w:lang w:val="en-GB"/>
        </w:rPr>
      </w:pPr>
      <w:fldSimple w:instr=" SEQ level0 \*arabic ">
        <w:r w:rsidRPr="00BD4853">
          <w:rPr>
            <w:noProof/>
          </w:rPr>
          <w:t>28</w:t>
        </w:r>
      </w:fldSimple>
      <w:r w:rsidRPr="00BD4853" w:rsidR="00537E1C">
        <w:t>.  </w:t>
      </w:r>
      <w:r w:rsidRPr="00BD4853" w:rsidR="0096747A">
        <w:t xml:space="preserve">The Federal Constitutional Court concluded </w:t>
      </w:r>
      <w:r w:rsidRPr="00BD4853" w:rsidR="00FA12AB">
        <w:t>that the domestic courts in the proceedings at issue</w:t>
      </w:r>
      <w:r w:rsidRPr="00BD4853" w:rsidR="0096747A">
        <w:t xml:space="preserve"> had interpreted the relevant provision in accordance with the Basic Law</w:t>
      </w:r>
      <w:r w:rsidRPr="00BD4853" w:rsidR="003328D6">
        <w:t>. T</w:t>
      </w:r>
      <w:r w:rsidRPr="00BD4853" w:rsidR="0096747A">
        <w:t xml:space="preserve">he </w:t>
      </w:r>
      <w:r w:rsidRPr="00BD4853" w:rsidR="00EF4F3C">
        <w:t xml:space="preserve">European </w:t>
      </w:r>
      <w:r w:rsidRPr="00BD4853" w:rsidR="0096747A">
        <w:t>Court</w:t>
      </w:r>
      <w:r w:rsidRPr="00BD4853" w:rsidR="00EF4F3C">
        <w:t xml:space="preserve"> of Human Right</w:t>
      </w:r>
      <w:r w:rsidRPr="00BD4853" w:rsidR="0016514F">
        <w:t>s</w:t>
      </w:r>
      <w:r w:rsidRPr="00BD4853">
        <w:t>’</w:t>
      </w:r>
      <w:r w:rsidRPr="00BD4853" w:rsidR="0016514F">
        <w:t xml:space="preserve"> </w:t>
      </w:r>
      <w:r w:rsidRPr="00BD4853" w:rsidR="0096747A">
        <w:t xml:space="preserve">judgment in </w:t>
      </w:r>
      <w:r w:rsidRPr="00BD4853" w:rsidR="0096747A">
        <w:rPr>
          <w:i/>
        </w:rPr>
        <w:t xml:space="preserve">Brauer </w:t>
      </w:r>
      <w:r w:rsidRPr="00BD4853" w:rsidR="00573CC8">
        <w:t xml:space="preserve">(cited above) </w:t>
      </w:r>
      <w:r w:rsidRPr="00BD4853" w:rsidR="0096747A">
        <w:t xml:space="preserve">did not necessitate a different interpretation, </w:t>
      </w:r>
      <w:r w:rsidRPr="00BD4853" w:rsidR="0016514F">
        <w:t xml:space="preserve">particularly because </w:t>
      </w:r>
      <w:r w:rsidRPr="00BD4853" w:rsidR="0096747A">
        <w:t xml:space="preserve">the </w:t>
      </w:r>
      <w:r w:rsidRPr="00BD4853" w:rsidR="00FA12AB">
        <w:t xml:space="preserve">first </w:t>
      </w:r>
      <w:r w:rsidRPr="00BD4853" w:rsidR="0096747A">
        <w:t>applicant</w:t>
      </w:r>
      <w:r w:rsidRPr="00BD4853">
        <w:t>’</w:t>
      </w:r>
      <w:r w:rsidRPr="00BD4853" w:rsidR="0096747A">
        <w:t xml:space="preserve">s </w:t>
      </w:r>
      <w:r w:rsidRPr="00BD4853" w:rsidR="0016514F">
        <w:t xml:space="preserve">submission about </w:t>
      </w:r>
      <w:r w:rsidRPr="00BD4853" w:rsidR="0096747A">
        <w:t xml:space="preserve">a close relationship with his father had been </w:t>
      </w:r>
      <w:r w:rsidRPr="00BD4853" w:rsidR="0016514F">
        <w:t xml:space="preserve">made </w:t>
      </w:r>
      <w:r w:rsidRPr="00BD4853" w:rsidR="0096747A">
        <w:t>belatedly</w:t>
      </w:r>
      <w:r w:rsidRPr="00BD4853" w:rsidR="00FA12AB">
        <w:t xml:space="preserve"> </w:t>
      </w:r>
      <w:r w:rsidRPr="00BD4853" w:rsidR="00ED4C59">
        <w:t xml:space="preserve">while </w:t>
      </w:r>
      <w:r w:rsidRPr="00BD4853" w:rsidR="00FA12AB">
        <w:t xml:space="preserve">the </w:t>
      </w:r>
      <w:r w:rsidRPr="00BD4853" w:rsidR="00537E1C">
        <w:t xml:space="preserve">second applicant </w:t>
      </w:r>
      <w:r w:rsidRPr="00BD4853" w:rsidR="00FA12AB">
        <w:t>had</w:t>
      </w:r>
      <w:r w:rsidRPr="00BD4853" w:rsidR="00537E1C">
        <w:t xml:space="preserve"> </w:t>
      </w:r>
      <w:r w:rsidRPr="00BD4853" w:rsidR="00FA12AB">
        <w:t>not</w:t>
      </w:r>
      <w:r w:rsidRPr="00BD4853" w:rsidR="00537E1C">
        <w:t xml:space="preserve"> claim</w:t>
      </w:r>
      <w:r w:rsidRPr="00BD4853" w:rsidR="00FA12AB">
        <w:t>ed</w:t>
      </w:r>
      <w:r w:rsidRPr="00BD4853" w:rsidR="00537E1C">
        <w:t xml:space="preserve"> any relationship with his father at all.</w:t>
      </w:r>
    </w:p>
    <w:p w:rsidRPr="00BD4853" w:rsidR="00014566" w:rsidP="00BD4853" w:rsidRDefault="00014566">
      <w:pPr>
        <w:pStyle w:val="ECHRHeading1"/>
        <w:rPr>
          <w:lang w:val="en-GB"/>
        </w:rPr>
      </w:pPr>
      <w:r w:rsidRPr="00BD4853">
        <w:rPr>
          <w:lang w:val="en-GB"/>
        </w:rPr>
        <w:t xml:space="preserve">II.  RELEVANT DOMESTIC </w:t>
      </w:r>
      <w:r w:rsidRPr="00BD4853" w:rsidR="007A429B">
        <w:rPr>
          <w:lang w:val="en-GB"/>
        </w:rPr>
        <w:t xml:space="preserve">AND INTERNATIONAL </w:t>
      </w:r>
      <w:r w:rsidRPr="00BD4853">
        <w:rPr>
          <w:lang w:val="en-GB"/>
        </w:rPr>
        <w:t>LAW AND PRACTICE</w:t>
      </w:r>
    </w:p>
    <w:p w:rsidRPr="00BD4853" w:rsidR="00CB4157" w:rsidP="00BD4853" w:rsidRDefault="00CB4157">
      <w:pPr>
        <w:pStyle w:val="ECHRHeading2"/>
      </w:pPr>
      <w:r w:rsidRPr="00BD4853">
        <w:t>A.</w:t>
      </w:r>
      <w:r w:rsidRPr="00BD4853" w:rsidR="00847B08">
        <w:t>  </w:t>
      </w:r>
      <w:r w:rsidRPr="00BD4853">
        <w:t>Relevant provisions of the Civil Code</w:t>
      </w:r>
    </w:p>
    <w:p w:rsidRPr="00BD4853" w:rsidR="0056048C" w:rsidP="00BD4853" w:rsidRDefault="00BD4853">
      <w:pPr>
        <w:pStyle w:val="ECHRPara"/>
      </w:pPr>
      <w:fldSimple w:instr=" SEQ level0 \*arabic ">
        <w:r w:rsidRPr="00BD4853">
          <w:rPr>
            <w:noProof/>
          </w:rPr>
          <w:t>29</w:t>
        </w:r>
      </w:fldSimple>
      <w:r w:rsidRPr="00BD4853" w:rsidR="00CB4157">
        <w:t>.  </w:t>
      </w:r>
      <w:r w:rsidRPr="00BD4853" w:rsidR="0008367C">
        <w:t xml:space="preserve">Pursuant to </w:t>
      </w:r>
      <w:r w:rsidRPr="00BD4853" w:rsidR="00ED4C59">
        <w:t xml:space="preserve">Article </w:t>
      </w:r>
      <w:r w:rsidRPr="00BD4853" w:rsidR="0008367C">
        <w:t xml:space="preserve">195 </w:t>
      </w:r>
      <w:r w:rsidRPr="00BD4853" w:rsidR="001A559F">
        <w:t xml:space="preserve">of the Civil Code </w:t>
      </w:r>
      <w:r w:rsidRPr="00BD4853" w:rsidR="0008367C">
        <w:t xml:space="preserve">the </w:t>
      </w:r>
      <w:bookmarkStart w:name="p0569" w:id="1"/>
      <w:bookmarkEnd w:id="1"/>
      <w:r w:rsidRPr="00BD4853" w:rsidR="00B93C93">
        <w:t>general statutory time</w:t>
      </w:r>
      <w:r w:rsidRPr="00BD4853" w:rsidR="00EC07F8">
        <w:noBreakHyphen/>
      </w:r>
      <w:r w:rsidRPr="00BD4853" w:rsidR="00B93C93">
        <w:t>limit</w:t>
      </w:r>
      <w:r w:rsidRPr="00BD4853" w:rsidR="005C680C">
        <w:t xml:space="preserve"> for bringing claims</w:t>
      </w:r>
      <w:r w:rsidRPr="00BD4853" w:rsidR="0008367C">
        <w:t xml:space="preserve"> is three years.</w:t>
      </w:r>
    </w:p>
    <w:p w:rsidRPr="00BD4853" w:rsidR="00AB3E7B" w:rsidP="00BD4853" w:rsidRDefault="00BD4853">
      <w:pPr>
        <w:pStyle w:val="ECHRPara"/>
        <w:rPr>
          <w:lang w:val="en-GB"/>
        </w:rPr>
      </w:pPr>
      <w:fldSimple w:instr=" SEQ level0 \*arabic ">
        <w:r w:rsidRPr="00BD4853">
          <w:rPr>
            <w:noProof/>
          </w:rPr>
          <w:t>30</w:t>
        </w:r>
      </w:fldSimple>
      <w:r w:rsidRPr="00BD4853" w:rsidR="00AB3E7B">
        <w:t>.  </w:t>
      </w:r>
      <w:r w:rsidRPr="00BD4853" w:rsidR="0056048C">
        <w:t xml:space="preserve">Pursuant to </w:t>
      </w:r>
      <w:r w:rsidRPr="00BD4853" w:rsidR="00ED4C59">
        <w:t xml:space="preserve">Article </w:t>
      </w:r>
      <w:r w:rsidRPr="00BD4853" w:rsidR="0056048C">
        <w:t>197 §</w:t>
      </w:r>
      <w:r w:rsidRPr="00BD4853" w:rsidR="00FC4EE1">
        <w:t xml:space="preserve"> </w:t>
      </w:r>
      <w:r w:rsidRPr="00BD4853" w:rsidR="0056048C">
        <w:t>1</w:t>
      </w:r>
      <w:r w:rsidRPr="00BD4853" w:rsidR="00ED4C59">
        <w:t xml:space="preserve"> </w:t>
      </w:r>
      <w:r w:rsidRPr="00BD4853" w:rsidR="0056048C">
        <w:t>(2) of the Civil Code, u</w:t>
      </w:r>
      <w:r w:rsidRPr="00BD4853" w:rsidR="00AB3E7B">
        <w:t xml:space="preserve">nless otherwise provided, </w:t>
      </w:r>
      <w:r w:rsidRPr="00BD4853" w:rsidR="0056048C">
        <w:t xml:space="preserve">claims under </w:t>
      </w:r>
      <w:r w:rsidRPr="00BD4853" w:rsidR="00ED4C59">
        <w:t xml:space="preserve">Articles </w:t>
      </w:r>
      <w:r w:rsidRPr="00BD4853" w:rsidR="005C680C">
        <w:t xml:space="preserve">2018 </w:t>
      </w:r>
      <w:r w:rsidRPr="00BD4853" w:rsidR="00E0375F">
        <w:t>...</w:t>
      </w:r>
      <w:r w:rsidRPr="00BD4853" w:rsidR="005C680C">
        <w:t xml:space="preserve"> </w:t>
      </w:r>
      <w:r w:rsidRPr="00BD4853" w:rsidR="0056048C">
        <w:t>are time-</w:t>
      </w:r>
      <w:r w:rsidRPr="00BD4853" w:rsidR="00AB3E7B">
        <w:t>barred after thirty years</w:t>
      </w:r>
      <w:bookmarkStart w:name="p0574" w:id="2"/>
      <w:bookmarkStart w:name="p0575" w:id="3"/>
      <w:bookmarkEnd w:id="2"/>
      <w:bookmarkEnd w:id="3"/>
      <w:r w:rsidRPr="00BD4853" w:rsidR="0056048C">
        <w:rPr>
          <w:rFonts w:ascii="Times New Roman" w:hAnsi="Times New Roman" w:cs="Times New Roman"/>
          <w:szCs w:val="24"/>
          <w:lang w:val="en-GB" w:eastAsia="en-GB"/>
        </w:rPr>
        <w:t>.</w:t>
      </w:r>
    </w:p>
    <w:p w:rsidRPr="00BD4853" w:rsidR="00CB4157" w:rsidP="00BD4853" w:rsidRDefault="00BD4853">
      <w:pPr>
        <w:pStyle w:val="ECHRPara"/>
      </w:pPr>
      <w:fldSimple w:instr=" SEQ level0 \*arabic ">
        <w:r w:rsidRPr="00BD4853">
          <w:rPr>
            <w:noProof/>
          </w:rPr>
          <w:t>31</w:t>
        </w:r>
      </w:fldSimple>
      <w:r w:rsidRPr="00BD4853" w:rsidR="0008367C">
        <w:t>.  </w:t>
      </w:r>
      <w:r w:rsidRPr="00BD4853" w:rsidR="006555B7">
        <w:t xml:space="preserve">Pursuant </w:t>
      </w:r>
      <w:r w:rsidRPr="00BD4853" w:rsidR="0008367C">
        <w:t xml:space="preserve">to </w:t>
      </w:r>
      <w:r w:rsidRPr="00BD4853" w:rsidR="00ED4C59">
        <w:t xml:space="preserve">Article </w:t>
      </w:r>
      <w:r w:rsidRPr="00BD4853" w:rsidR="0008367C">
        <w:t xml:space="preserve">1922 of the Civil Code, </w:t>
      </w:r>
      <w:r w:rsidRPr="00BD4853" w:rsidR="0016514F">
        <w:t xml:space="preserve">a </w:t>
      </w:r>
      <w:r w:rsidRPr="00BD4853" w:rsidR="0008367C">
        <w:t>person</w:t>
      </w:r>
      <w:r w:rsidRPr="00BD4853">
        <w:t>’</w:t>
      </w:r>
      <w:r w:rsidRPr="00BD4853" w:rsidR="0008367C">
        <w:t>s property</w:t>
      </w:r>
      <w:r w:rsidRPr="00BD4853" w:rsidR="00CB4157">
        <w:t xml:space="preserve"> </w:t>
      </w:r>
      <w:r w:rsidRPr="00BD4853" w:rsidR="0016514F">
        <w:t xml:space="preserve">after death </w:t>
      </w:r>
      <w:r w:rsidRPr="00BD4853" w:rsidR="00CB4157">
        <w:t xml:space="preserve">passes as a whole to one </w:t>
      </w:r>
      <w:r w:rsidRPr="00BD4853" w:rsidR="0008367C">
        <w:t xml:space="preserve">or </w:t>
      </w:r>
      <w:r w:rsidRPr="00BD4853" w:rsidR="007F07CE">
        <w:t xml:space="preserve">several </w:t>
      </w:r>
      <w:r w:rsidRPr="00BD4853" w:rsidR="00CB4157">
        <w:t>heirs.</w:t>
      </w:r>
    </w:p>
    <w:p w:rsidRPr="00BD4853" w:rsidR="003B4061" w:rsidP="00BD4853" w:rsidRDefault="00BD4853">
      <w:pPr>
        <w:pStyle w:val="ECHRPara"/>
      </w:pPr>
      <w:fldSimple w:instr=" SEQ level0 \*arabic ">
        <w:r w:rsidRPr="00BD4853">
          <w:rPr>
            <w:noProof/>
          </w:rPr>
          <w:t>32</w:t>
        </w:r>
      </w:fldSimple>
      <w:r w:rsidRPr="00BD4853" w:rsidR="00AB3E7B">
        <w:t xml:space="preserve">.  Pursuant to </w:t>
      </w:r>
      <w:r w:rsidRPr="00BD4853" w:rsidR="00ED4C59">
        <w:t xml:space="preserve">Article </w:t>
      </w:r>
      <w:r w:rsidRPr="00BD4853" w:rsidR="00AB3E7B">
        <w:t xml:space="preserve">2018 of the Civil Code </w:t>
      </w:r>
      <w:bookmarkStart w:name="p6862" w:id="4"/>
      <w:bookmarkEnd w:id="4"/>
      <w:r w:rsidRPr="00BD4853" w:rsidR="00ED4C59">
        <w:t xml:space="preserve">an </w:t>
      </w:r>
      <w:r w:rsidRPr="00BD4853" w:rsidR="00AB3E7B">
        <w:t xml:space="preserve">heir may request </w:t>
      </w:r>
      <w:r w:rsidRPr="00BD4853" w:rsidR="007572C3">
        <w:t xml:space="preserve">that anyone </w:t>
      </w:r>
      <w:r w:rsidRPr="00BD4853" w:rsidR="00AB3E7B">
        <w:t xml:space="preserve">who has acquired something from </w:t>
      </w:r>
      <w:r w:rsidRPr="00BD4853" w:rsidR="00ED4C59">
        <w:t xml:space="preserve">an </w:t>
      </w:r>
      <w:r w:rsidRPr="00BD4853" w:rsidR="00AB3E7B">
        <w:t xml:space="preserve">inheritance </w:t>
      </w:r>
      <w:r w:rsidRPr="00BD4853" w:rsidR="00ED4C59">
        <w:t xml:space="preserve">on the basis of a right of succession that he </w:t>
      </w:r>
      <w:r w:rsidRPr="00BD4853" w:rsidR="007572C3">
        <w:t xml:space="preserve">or she </w:t>
      </w:r>
      <w:r w:rsidRPr="00BD4853" w:rsidR="00ED4C59">
        <w:t xml:space="preserve">does not legally have </w:t>
      </w:r>
      <w:r w:rsidRPr="00BD4853" w:rsidR="00AB3E7B">
        <w:t>surrender the item or items acquired.</w:t>
      </w:r>
    </w:p>
    <w:p w:rsidRPr="00BD4853" w:rsidR="0008367C" w:rsidP="00BD4853" w:rsidRDefault="00BD4853">
      <w:pPr>
        <w:pStyle w:val="ECHRPara"/>
      </w:pPr>
      <w:fldSimple w:instr=" SEQ level0 \*arabic ">
        <w:r w:rsidRPr="00BD4853">
          <w:rPr>
            <w:noProof/>
          </w:rPr>
          <w:t>33</w:t>
        </w:r>
      </w:fldSimple>
      <w:r w:rsidRPr="00BD4853" w:rsidR="0008367C">
        <w:t>.  </w:t>
      </w:r>
      <w:r w:rsidRPr="00BD4853" w:rsidR="00ED4C59">
        <w:t xml:space="preserve">Article </w:t>
      </w:r>
      <w:r w:rsidRPr="00BD4853" w:rsidR="0008367C">
        <w:t xml:space="preserve">2303 </w:t>
      </w:r>
      <w:r w:rsidRPr="00BD4853" w:rsidR="007F07CE">
        <w:t xml:space="preserve">provides </w:t>
      </w:r>
      <w:r w:rsidRPr="00BD4853" w:rsidR="0008367C">
        <w:t xml:space="preserve">that </w:t>
      </w:r>
      <w:bookmarkStart w:name="p7612" w:id="5"/>
      <w:bookmarkEnd w:id="5"/>
      <w:r w:rsidRPr="00BD4853" w:rsidR="0008367C">
        <w:t xml:space="preserve">if a descendant of </w:t>
      </w:r>
      <w:r w:rsidRPr="00BD4853" w:rsidR="007F07CE">
        <w:t xml:space="preserve">a </w:t>
      </w:r>
      <w:r w:rsidRPr="00BD4853" w:rsidR="0008367C">
        <w:t>dece</w:t>
      </w:r>
      <w:r w:rsidRPr="00BD4853" w:rsidR="007F07CE">
        <w:t>ase</w:t>
      </w:r>
      <w:r w:rsidRPr="00BD4853" w:rsidR="0008367C">
        <w:t xml:space="preserve">d </w:t>
      </w:r>
      <w:r w:rsidRPr="00BD4853" w:rsidR="007F07CE">
        <w:t xml:space="preserve">person </w:t>
      </w:r>
      <w:r w:rsidRPr="00BD4853" w:rsidR="0008367C">
        <w:t xml:space="preserve">is excluded by will from succession, he may </w:t>
      </w:r>
      <w:r w:rsidRPr="00BD4853" w:rsidR="004205E4">
        <w:t xml:space="preserve">claim </w:t>
      </w:r>
      <w:r w:rsidRPr="00BD4853" w:rsidR="007F07CE">
        <w:t>a</w:t>
      </w:r>
      <w:r w:rsidRPr="00BD4853" w:rsidR="0008367C">
        <w:t xml:space="preserve"> </w:t>
      </w:r>
      <w:r w:rsidRPr="00BD4853" w:rsidR="004205E4">
        <w:t xml:space="preserve">compulsory portion </w:t>
      </w:r>
      <w:r w:rsidRPr="00BD4853" w:rsidR="0008367C">
        <w:t>from the heir</w:t>
      </w:r>
      <w:r w:rsidRPr="00BD4853" w:rsidR="004205E4">
        <w:t xml:space="preserve"> (</w:t>
      </w:r>
      <w:r w:rsidRPr="00BD4853" w:rsidR="004205E4">
        <w:rPr>
          <w:i/>
        </w:rPr>
        <w:t>Pflichtteilsanspruch</w:t>
      </w:r>
      <w:r w:rsidRPr="00BD4853" w:rsidR="004205E4">
        <w:t>)</w:t>
      </w:r>
      <w:r w:rsidRPr="00BD4853" w:rsidR="0008367C">
        <w:t xml:space="preserve">. </w:t>
      </w:r>
      <w:r w:rsidRPr="00BD4853" w:rsidR="007F07CE">
        <w:t>A</w:t>
      </w:r>
      <w:r w:rsidRPr="00BD4853" w:rsidR="0008367C">
        <w:t xml:space="preserve"> </w:t>
      </w:r>
      <w:r w:rsidRPr="00BD4853" w:rsidR="0002262A">
        <w:t>compulsory portion</w:t>
      </w:r>
      <w:r w:rsidRPr="00BD4853" w:rsidR="0008367C">
        <w:t xml:space="preserve"> is half the value of the share of the inheritance on intestacy.</w:t>
      </w:r>
    </w:p>
    <w:p w:rsidRPr="00BD4853" w:rsidR="006B4FFF" w:rsidP="00BD4853" w:rsidRDefault="0008367C">
      <w:pPr>
        <w:pStyle w:val="ECHRHeading2"/>
      </w:pPr>
      <w:r w:rsidRPr="00BD4853">
        <w:t>B.</w:t>
      </w:r>
      <w:r w:rsidRPr="00BD4853" w:rsidR="00847B08">
        <w:t>  </w:t>
      </w:r>
      <w:r w:rsidRPr="00BD4853">
        <w:t>Rules of succession</w:t>
      </w:r>
    </w:p>
    <w:p w:rsidRPr="00BD4853" w:rsidR="00971DAF" w:rsidP="00BD4853" w:rsidRDefault="00BD4853">
      <w:pPr>
        <w:pStyle w:val="ECHRPara"/>
      </w:pPr>
      <w:fldSimple w:instr=" SEQ level0 \*arabic ">
        <w:r w:rsidRPr="00BD4853">
          <w:rPr>
            <w:noProof/>
          </w:rPr>
          <w:t>34</w:t>
        </w:r>
      </w:fldSimple>
      <w:r w:rsidRPr="00BD4853" w:rsidR="002F1E93">
        <w:t>.  </w:t>
      </w:r>
      <w:r w:rsidRPr="00BD4853" w:rsidR="00971DAF">
        <w:t>The Children Born outside Marriage (Legal Status) Act of 19 August 1969, which came into force on 1 July 1970, provided that on the father</w:t>
      </w:r>
      <w:r w:rsidRPr="00BD4853">
        <w:t>’</w:t>
      </w:r>
      <w:r w:rsidRPr="00BD4853" w:rsidR="00971DAF">
        <w:t>s death, children born outside marriage after 1 July 1949 – shortly after the entry into force of the Basic Law – were entitled to compensation from the heirs in an amount equivalent to their share of the estate (</w:t>
      </w:r>
      <w:r w:rsidRPr="00BD4853" w:rsidR="00971DAF">
        <w:rPr>
          <w:i/>
        </w:rPr>
        <w:t>Erbersatzanspruch</w:t>
      </w:r>
      <w:r w:rsidRPr="00BD4853" w:rsidR="00971DAF">
        <w:t>). In contrast, children born outside marriage before 1 July 1949</w:t>
      </w:r>
      <w:bookmarkStart w:name="_ftnref1" w:id="6"/>
      <w:bookmarkEnd w:id="6"/>
      <w:r w:rsidRPr="00BD4853" w:rsidR="00971DAF">
        <w:t xml:space="preserve"> were excluded from any statutory entitlement to the estate and from the right to financial compensation under the first sentence of section 12(10)(2) of the Act.</w:t>
      </w:r>
    </w:p>
    <w:p w:rsidRPr="00BD4853" w:rsidR="006B4FFF" w:rsidP="00BD4853" w:rsidRDefault="00BD4853">
      <w:pPr>
        <w:pStyle w:val="ECHRPara"/>
      </w:pPr>
      <w:fldSimple w:instr=" SEQ level0 \*arabic ">
        <w:r w:rsidRPr="00BD4853">
          <w:rPr>
            <w:noProof/>
          </w:rPr>
          <w:t>35</w:t>
        </w:r>
      </w:fldSimple>
      <w:r w:rsidRPr="00BD4853" w:rsidR="002F1E93">
        <w:t>.  </w:t>
      </w:r>
      <w:r w:rsidRPr="00BD4853" w:rsidR="00971DAF">
        <w:t>During the passing of the Children</w:t>
      </w:r>
      <w:r w:rsidRPr="00BD4853">
        <w:t>’</w:t>
      </w:r>
      <w:r w:rsidRPr="00BD4853" w:rsidR="00971DAF">
        <w:t>s Rights Improvement Act (</w:t>
      </w:r>
      <w:r w:rsidRPr="00BD4853" w:rsidR="00971DAF">
        <w:rPr>
          <w:i/>
        </w:rPr>
        <w:t>Kinderrechteverbesserungsgesetz</w:t>
      </w:r>
      <w:r w:rsidRPr="00BD4853" w:rsidR="00971DAF">
        <w:t>) of 9 April 2002, the legislat</w:t>
      </w:r>
      <w:r w:rsidRPr="00BD4853" w:rsidR="007F07CE">
        <w:t xml:space="preserve">ure </w:t>
      </w:r>
      <w:r w:rsidRPr="00BD4853" w:rsidR="00971DAF">
        <w:t>upheld the exception in the first sentence of section 12(10)(2) of the Children Born outside Marriage (Legal Status) Act.</w:t>
      </w:r>
    </w:p>
    <w:p w:rsidRPr="00BD4853" w:rsidR="00971DAF" w:rsidP="00BD4853" w:rsidRDefault="00BD4853">
      <w:pPr>
        <w:pStyle w:val="ECHRPara"/>
      </w:pPr>
      <w:fldSimple w:instr=" SEQ level0 \*arabic ">
        <w:r w:rsidRPr="00BD4853">
          <w:rPr>
            <w:noProof/>
          </w:rPr>
          <w:t>36</w:t>
        </w:r>
      </w:fldSimple>
      <w:r w:rsidRPr="00BD4853" w:rsidR="00971DAF">
        <w:t>.  </w:t>
      </w:r>
      <w:r w:rsidRPr="00BD4853" w:rsidR="007F07CE">
        <w:t>In</w:t>
      </w:r>
      <w:r w:rsidRPr="00BD4853" w:rsidR="00F908FB">
        <w:t xml:space="preserve"> </w:t>
      </w:r>
      <w:r w:rsidRPr="00BD4853" w:rsidR="00175C88">
        <w:t>a</w:t>
      </w:r>
      <w:r w:rsidRPr="00BD4853" w:rsidR="00F908FB">
        <w:t xml:space="preserve"> judgment of 28 May 2009</w:t>
      </w:r>
      <w:r w:rsidRPr="00BD4853" w:rsidR="00971DAF">
        <w:rPr>
          <w:i/>
        </w:rPr>
        <w:t xml:space="preserve"> </w:t>
      </w:r>
      <w:r w:rsidRPr="00BD4853" w:rsidR="00175C88">
        <w:t xml:space="preserve">in the case of </w:t>
      </w:r>
      <w:r w:rsidRPr="00BD4853" w:rsidR="00175C88">
        <w:rPr>
          <w:i/>
        </w:rPr>
        <w:t>Brauer v. Germany</w:t>
      </w:r>
      <w:r w:rsidRPr="00BD4853" w:rsidR="00175C88">
        <w:t xml:space="preserve"> </w:t>
      </w:r>
      <w:r w:rsidRPr="00BD4853" w:rsidR="007F07CE">
        <w:t xml:space="preserve">(cited above) </w:t>
      </w:r>
      <w:r w:rsidRPr="00BD4853" w:rsidR="00971DAF">
        <w:t>the European Court of Human Rights found a violation of Article 14 of the Convention taken in conjunction with Article 8 by the application of the first sentence of section 12(10)(2) of the Children Born outside Marriage (Legal Status) Act by the domestic courts. The Court reasoned that protecting the legitimate expectation</w:t>
      </w:r>
      <w:r w:rsidRPr="00BD4853" w:rsidR="007F07CE">
        <w:t>s</w:t>
      </w:r>
      <w:r w:rsidRPr="00BD4853" w:rsidR="00971DAF">
        <w:t xml:space="preserve"> of the deceased and their families must be subordinate to the imperative of equal treatment between children born outside and within marriage.</w:t>
      </w:r>
    </w:p>
    <w:p w:rsidRPr="00BD4853" w:rsidR="003B4061" w:rsidP="00BD4853" w:rsidRDefault="00BD4853">
      <w:pPr>
        <w:pStyle w:val="ECHRPara"/>
        <w:rPr>
          <w:lang w:val="en-GB"/>
        </w:rPr>
      </w:pPr>
      <w:fldSimple w:instr=" SEQ level0 \*arabic ">
        <w:r w:rsidRPr="00BD4853">
          <w:rPr>
            <w:noProof/>
          </w:rPr>
          <w:t>37</w:t>
        </w:r>
      </w:fldSimple>
      <w:r w:rsidRPr="00BD4853" w:rsidR="00971DAF">
        <w:t xml:space="preserve">.  As a result, the German legislature </w:t>
      </w:r>
      <w:r w:rsidRPr="00BD4853" w:rsidR="009337D4">
        <w:t xml:space="preserve">passed </w:t>
      </w:r>
      <w:r w:rsidRPr="00BD4853" w:rsidR="00971DAF">
        <w:t>the Second Inheritance Rights Equalisation Act of 12 April 2011</w:t>
      </w:r>
      <w:r w:rsidRPr="00BD4853" w:rsidR="003B4061">
        <w:t>. The first sentence of section </w:t>
      </w:r>
      <w:r w:rsidRPr="00BD4853" w:rsidR="00971DAF">
        <w:t xml:space="preserve">12(10)(2) of the Children Born outside Marriage (Legal Status) Act of 19 August 1969 was changed retroactively to the effect that the difference </w:t>
      </w:r>
      <w:r w:rsidRPr="00BD4853" w:rsidR="00ED4C59">
        <w:t xml:space="preserve">in treatment </w:t>
      </w:r>
      <w:r w:rsidRPr="00BD4853" w:rsidR="00971DAF">
        <w:t>between children born outside marriage before and after 1 July 1949 was set aside in cases whe</w:t>
      </w:r>
      <w:r w:rsidRPr="00BD4853" w:rsidR="009337D4">
        <w:t>re</w:t>
      </w:r>
      <w:r w:rsidRPr="00BD4853" w:rsidR="00971DAF">
        <w:t xml:space="preserve"> the deceased had died </w:t>
      </w:r>
      <w:r w:rsidRPr="00BD4853" w:rsidR="00F908FB">
        <w:t xml:space="preserve">on or </w:t>
      </w:r>
      <w:r w:rsidRPr="00BD4853" w:rsidR="00971DAF">
        <w:t xml:space="preserve">after 28 May 2009. </w:t>
      </w:r>
      <w:r w:rsidRPr="00BD4853" w:rsidR="00971DAF">
        <w:rPr>
          <w:lang w:val="en-GB"/>
        </w:rPr>
        <w:t>In cases where the deceased had died before 28 May 2009 the difference remained in force.</w:t>
      </w:r>
    </w:p>
    <w:p w:rsidRPr="00BD4853" w:rsidR="002F1E93" w:rsidP="00BD4853" w:rsidRDefault="007A429B">
      <w:pPr>
        <w:pStyle w:val="ECHRPara"/>
        <w:rPr>
          <w:lang w:val="en-GB"/>
        </w:rPr>
      </w:pPr>
      <w:r w:rsidRPr="00BD4853">
        <w:rPr>
          <w:lang w:val="en-GB"/>
        </w:rPr>
        <w:fldChar w:fldCharType="begin"/>
      </w:r>
      <w:r w:rsidRPr="00BD4853">
        <w:rPr>
          <w:lang w:val="en-GB"/>
        </w:rPr>
        <w:instrText xml:space="preserve"> SEQ level0 \*arabic </w:instrText>
      </w:r>
      <w:r w:rsidRPr="00BD4853">
        <w:rPr>
          <w:lang w:val="en-GB"/>
        </w:rPr>
        <w:fldChar w:fldCharType="separate"/>
      </w:r>
      <w:r w:rsidRPr="00BD4853" w:rsidR="00BD4853">
        <w:rPr>
          <w:noProof/>
          <w:lang w:val="en-GB"/>
        </w:rPr>
        <w:t>38</w:t>
      </w:r>
      <w:r w:rsidRPr="00BD4853">
        <w:rPr>
          <w:lang w:val="en-GB"/>
        </w:rPr>
        <w:fldChar w:fldCharType="end"/>
      </w:r>
      <w:r w:rsidRPr="00BD4853">
        <w:rPr>
          <w:lang w:val="en-GB"/>
        </w:rPr>
        <w:t>.  </w:t>
      </w:r>
      <w:r w:rsidRPr="00BD4853" w:rsidR="00487B5F">
        <w:t>A summary of further</w:t>
      </w:r>
      <w:r w:rsidRPr="00BD4853" w:rsidR="002F1E93">
        <w:t xml:space="preserve"> relevant domestic law and practice</w:t>
      </w:r>
      <w:r w:rsidRPr="00BD4853" w:rsidR="00487B5F">
        <w:t xml:space="preserve"> is contained in th</w:t>
      </w:r>
      <w:r w:rsidRPr="00BD4853" w:rsidR="00ED4C59">
        <w:t>e</w:t>
      </w:r>
      <w:r w:rsidRPr="00BD4853" w:rsidR="00487B5F">
        <w:t xml:space="preserve"> Court</w:t>
      </w:r>
      <w:r w:rsidRPr="00BD4853" w:rsidR="00BD4853">
        <w:t>’</w:t>
      </w:r>
      <w:r w:rsidRPr="00BD4853" w:rsidR="00487B5F">
        <w:t xml:space="preserve">s </w:t>
      </w:r>
      <w:r w:rsidRPr="00BD4853" w:rsidR="00E7349F">
        <w:t>judgment in</w:t>
      </w:r>
      <w:r w:rsidRPr="00BD4853" w:rsidR="002F1E93">
        <w:t xml:space="preserve"> </w:t>
      </w:r>
      <w:r w:rsidRPr="00BD4853" w:rsidR="002F1E93">
        <w:rPr>
          <w:i/>
          <w:lang w:val="en-GB"/>
        </w:rPr>
        <w:t xml:space="preserve">Brauer </w:t>
      </w:r>
      <w:r w:rsidRPr="00BD4853" w:rsidR="002F1E93">
        <w:rPr>
          <w:lang w:val="en-GB"/>
        </w:rPr>
        <w:t>(</w:t>
      </w:r>
      <w:r w:rsidRPr="00BD4853" w:rsidR="007F07CE">
        <w:rPr>
          <w:lang w:val="en-GB"/>
        </w:rPr>
        <w:t>cited above</w:t>
      </w:r>
      <w:r w:rsidRPr="00BD4853" w:rsidR="00487B5F">
        <w:rPr>
          <w:lang w:val="en-GB"/>
        </w:rPr>
        <w:t xml:space="preserve">, </w:t>
      </w:r>
      <w:r w:rsidRPr="00BD4853" w:rsidR="00EC6FE3">
        <w:rPr>
          <w:lang w:val="en-GB"/>
        </w:rPr>
        <w:t xml:space="preserve">§§ </w:t>
      </w:r>
      <w:r w:rsidRPr="00BD4853" w:rsidR="00487B5F">
        <w:rPr>
          <w:lang w:val="en-GB"/>
        </w:rPr>
        <w:t xml:space="preserve">17 </w:t>
      </w:r>
      <w:r w:rsidRPr="00BD4853" w:rsidR="00EC6FE3">
        <w:rPr>
          <w:lang w:val="en-GB"/>
        </w:rPr>
        <w:t xml:space="preserve">to </w:t>
      </w:r>
      <w:r w:rsidRPr="00BD4853" w:rsidR="00487B5F">
        <w:rPr>
          <w:lang w:val="en-GB"/>
        </w:rPr>
        <w:t>24</w:t>
      </w:r>
      <w:r w:rsidRPr="00BD4853" w:rsidR="002F1E93">
        <w:rPr>
          <w:lang w:val="en-GB"/>
        </w:rPr>
        <w:t>).</w:t>
      </w:r>
    </w:p>
    <w:p w:rsidRPr="00BD4853" w:rsidR="007A429B" w:rsidP="00BD4853" w:rsidRDefault="007A429B">
      <w:pPr>
        <w:pStyle w:val="ECHRHeading2"/>
      </w:pPr>
      <w:r w:rsidRPr="00BD4853">
        <w:rPr>
          <w:lang w:val="en-GB"/>
        </w:rPr>
        <w:t>C.</w:t>
      </w:r>
      <w:r w:rsidRPr="00BD4853" w:rsidR="00847B08">
        <w:rPr>
          <w:lang w:val="en-GB"/>
        </w:rPr>
        <w:t>  </w:t>
      </w:r>
      <w:r w:rsidRPr="00BD4853">
        <w:t>Resolution of the Committee of Ministers of the Council of Europe of 6 June 2012</w:t>
      </w:r>
    </w:p>
    <w:p w:rsidRPr="00BD4853" w:rsidR="007A429B" w:rsidP="00BD4853" w:rsidRDefault="007A429B">
      <w:pPr>
        <w:pStyle w:val="ECHRPara"/>
      </w:pPr>
      <w:r w:rsidRPr="00BD4853">
        <w:rPr>
          <w:lang w:val="en-GB"/>
        </w:rPr>
        <w:fldChar w:fldCharType="begin"/>
      </w:r>
      <w:r w:rsidRPr="00BD4853">
        <w:rPr>
          <w:lang w:val="en-GB"/>
        </w:rPr>
        <w:instrText xml:space="preserve"> SEQ level0 \*arabic </w:instrText>
      </w:r>
      <w:r w:rsidRPr="00BD4853">
        <w:rPr>
          <w:lang w:val="en-GB"/>
        </w:rPr>
        <w:fldChar w:fldCharType="separate"/>
      </w:r>
      <w:r w:rsidRPr="00BD4853" w:rsidR="00BD4853">
        <w:rPr>
          <w:noProof/>
          <w:lang w:val="en-GB"/>
        </w:rPr>
        <w:t>39</w:t>
      </w:r>
      <w:r w:rsidRPr="00BD4853">
        <w:rPr>
          <w:lang w:val="en-GB"/>
        </w:rPr>
        <w:fldChar w:fldCharType="end"/>
      </w:r>
      <w:r w:rsidRPr="00BD4853">
        <w:rPr>
          <w:lang w:val="en-GB"/>
        </w:rPr>
        <w:t>.  On 6 June 2012 the Committee of Ministers</w:t>
      </w:r>
      <w:r w:rsidRPr="00BD4853" w:rsidR="00C66FED">
        <w:rPr>
          <w:lang w:val="en-GB"/>
        </w:rPr>
        <w:t xml:space="preserve"> adopted</w:t>
      </w:r>
      <w:r w:rsidRPr="00BD4853">
        <w:rPr>
          <w:lang w:val="en-GB"/>
        </w:rPr>
        <w:t xml:space="preserve"> </w:t>
      </w:r>
      <w:r w:rsidRPr="00BD4853" w:rsidR="00ED4C59">
        <w:rPr>
          <w:lang w:val="en-GB"/>
        </w:rPr>
        <w:t xml:space="preserve">Resolution CM/ResDH(2012)83 </w:t>
      </w:r>
      <w:r w:rsidRPr="00BD4853" w:rsidR="00C66FED">
        <w:t xml:space="preserve">in the case of </w:t>
      </w:r>
      <w:r w:rsidRPr="00BD4853" w:rsidR="00C66FED">
        <w:rPr>
          <w:i/>
        </w:rPr>
        <w:t>Brauer v. Germany</w:t>
      </w:r>
      <w:r w:rsidRPr="00BD4853" w:rsidR="00C66FED">
        <w:t xml:space="preserve"> </w:t>
      </w:r>
      <w:r w:rsidRPr="00BD4853">
        <w:rPr>
          <w:lang w:val="en-GB"/>
        </w:rPr>
        <w:t>and, after examin</w:t>
      </w:r>
      <w:r w:rsidRPr="00BD4853" w:rsidR="00ED4C59">
        <w:rPr>
          <w:lang w:val="en-GB"/>
        </w:rPr>
        <w:t xml:space="preserve">ing </w:t>
      </w:r>
      <w:r w:rsidRPr="00BD4853">
        <w:rPr>
          <w:lang w:val="en-GB"/>
        </w:rPr>
        <w:t xml:space="preserve">the general measures taken by Germany in order to prevent similar violations, decided to close </w:t>
      </w:r>
      <w:r w:rsidRPr="00BD4853" w:rsidR="00ED4C59">
        <w:rPr>
          <w:lang w:val="en-GB"/>
        </w:rPr>
        <w:t xml:space="preserve">its </w:t>
      </w:r>
      <w:r w:rsidRPr="00BD4853">
        <w:rPr>
          <w:lang w:val="en-GB"/>
        </w:rPr>
        <w:t>examination of the case.</w:t>
      </w:r>
    </w:p>
    <w:p w:rsidRPr="00BD4853" w:rsidR="00014566" w:rsidP="00BD4853" w:rsidRDefault="00014566">
      <w:pPr>
        <w:pStyle w:val="ECHRTitle1"/>
        <w:rPr>
          <w:lang w:val="en-GB"/>
        </w:rPr>
      </w:pPr>
      <w:r w:rsidRPr="00BD4853">
        <w:rPr>
          <w:lang w:val="en-GB"/>
        </w:rPr>
        <w:t>THE LAW</w:t>
      </w:r>
    </w:p>
    <w:p w:rsidRPr="00BD4853" w:rsidR="006B4FFF" w:rsidP="00BD4853" w:rsidRDefault="002913E6">
      <w:pPr>
        <w:pStyle w:val="ECHRHeading1"/>
        <w:rPr>
          <w:lang w:val="en-GB"/>
        </w:rPr>
      </w:pPr>
      <w:r w:rsidRPr="00BD4853">
        <w:rPr>
          <w:lang w:val="en-GB"/>
        </w:rPr>
        <w:t>I.</w:t>
      </w:r>
      <w:r w:rsidRPr="00BD4853" w:rsidR="00847B08">
        <w:rPr>
          <w:lang w:val="en-GB"/>
        </w:rPr>
        <w:t>  </w:t>
      </w:r>
      <w:r w:rsidRPr="00BD4853">
        <w:rPr>
          <w:lang w:val="en-GB"/>
        </w:rPr>
        <w:t>JOINDER OF THE APPLICATIONS</w:t>
      </w:r>
    </w:p>
    <w:p w:rsidRPr="00BD4853" w:rsidR="002913E6" w:rsidP="00BD4853" w:rsidRDefault="002913E6">
      <w:pPr>
        <w:pStyle w:val="ECHRPara"/>
        <w:rPr>
          <w:lang w:val="en-GB"/>
        </w:rPr>
      </w:pPr>
      <w:r w:rsidRPr="00BD4853">
        <w:rPr>
          <w:lang w:val="en-GB"/>
        </w:rPr>
        <w:fldChar w:fldCharType="begin"/>
      </w:r>
      <w:r w:rsidRPr="00BD4853">
        <w:rPr>
          <w:lang w:val="en-GB"/>
        </w:rPr>
        <w:instrText xml:space="preserve"> SEQ level0 \*arabic </w:instrText>
      </w:r>
      <w:r w:rsidRPr="00BD4853">
        <w:rPr>
          <w:lang w:val="en-GB"/>
        </w:rPr>
        <w:fldChar w:fldCharType="separate"/>
      </w:r>
      <w:r w:rsidRPr="00BD4853" w:rsidR="00BD4853">
        <w:rPr>
          <w:noProof/>
          <w:lang w:val="en-GB"/>
        </w:rPr>
        <w:t>40</w:t>
      </w:r>
      <w:r w:rsidRPr="00BD4853">
        <w:rPr>
          <w:lang w:val="en-GB"/>
        </w:rPr>
        <w:fldChar w:fldCharType="end"/>
      </w:r>
      <w:r w:rsidRPr="00BD4853">
        <w:rPr>
          <w:lang w:val="en-GB"/>
        </w:rPr>
        <w:t>.  Given their similar factual and legal background, the Court decides that the two applications shall be joined by virtue of Rule 42 § 1 of the Rules of Court.</w:t>
      </w:r>
    </w:p>
    <w:p w:rsidRPr="00BD4853" w:rsidR="006B4FFF" w:rsidP="00BD4853" w:rsidRDefault="002913E6">
      <w:pPr>
        <w:pStyle w:val="ECHRHeading1"/>
        <w:rPr>
          <w:lang w:val="en-GB"/>
        </w:rPr>
      </w:pPr>
      <w:r w:rsidRPr="00BD4853">
        <w:rPr>
          <w:lang w:val="en-GB"/>
        </w:rPr>
        <w:t>I</w:t>
      </w:r>
      <w:r w:rsidRPr="00BD4853" w:rsidR="00014566">
        <w:rPr>
          <w:lang w:val="en-GB"/>
        </w:rPr>
        <w:t xml:space="preserve">I.  ALLEGED VIOLATION OF ARTICLE </w:t>
      </w:r>
      <w:r w:rsidRPr="00BD4853" w:rsidR="002F1E93">
        <w:rPr>
          <w:lang w:val="en-GB"/>
        </w:rPr>
        <w:t>14 OF THE CONVENTION TAKEN IN CONJUNCTION WITH ARTICLE</w:t>
      </w:r>
      <w:r w:rsidRPr="00BD4853" w:rsidR="002A06EC">
        <w:rPr>
          <w:lang w:val="en-GB"/>
        </w:rPr>
        <w:t xml:space="preserve"> 1 </w:t>
      </w:r>
      <w:r w:rsidRPr="00BD4853" w:rsidR="00E7349F">
        <w:rPr>
          <w:lang w:val="en-GB"/>
        </w:rPr>
        <w:t xml:space="preserve">OF </w:t>
      </w:r>
      <w:r w:rsidRPr="00BD4853" w:rsidR="002A06EC">
        <w:rPr>
          <w:lang w:val="en-GB"/>
        </w:rPr>
        <w:t xml:space="preserve">PROTOCOL </w:t>
      </w:r>
      <w:r w:rsidRPr="00BD4853" w:rsidR="00E7349F">
        <w:rPr>
          <w:lang w:val="en-GB"/>
        </w:rPr>
        <w:t xml:space="preserve">NO. </w:t>
      </w:r>
      <w:r w:rsidRPr="00BD4853">
        <w:rPr>
          <w:lang w:val="en-GB"/>
        </w:rPr>
        <w:t> </w:t>
      </w:r>
      <w:r w:rsidRPr="00BD4853" w:rsidR="002A06EC">
        <w:rPr>
          <w:lang w:val="en-GB"/>
        </w:rPr>
        <w:t>1</w:t>
      </w:r>
    </w:p>
    <w:p w:rsidRPr="00BD4853" w:rsidR="002A06EC" w:rsidP="00BD4853" w:rsidRDefault="00177BCB">
      <w:pPr>
        <w:pStyle w:val="ECHRPara"/>
        <w:rPr>
          <w:lang w:val="en-GB"/>
        </w:rPr>
      </w:pPr>
      <w:r w:rsidRPr="00BD4853">
        <w:rPr>
          <w:lang w:val="en-GB"/>
        </w:rPr>
        <w:fldChar w:fldCharType="begin"/>
      </w:r>
      <w:r w:rsidRPr="00BD4853">
        <w:rPr>
          <w:lang w:val="en-GB"/>
        </w:rPr>
        <w:instrText xml:space="preserve"> SEQ level0 \*arabic </w:instrText>
      </w:r>
      <w:r w:rsidRPr="00BD4853">
        <w:rPr>
          <w:lang w:val="en-GB"/>
        </w:rPr>
        <w:fldChar w:fldCharType="separate"/>
      </w:r>
      <w:r w:rsidRPr="00BD4853" w:rsidR="00BD4853">
        <w:rPr>
          <w:noProof/>
          <w:lang w:val="en-GB"/>
        </w:rPr>
        <w:t>41</w:t>
      </w:r>
      <w:r w:rsidRPr="00BD4853">
        <w:rPr>
          <w:lang w:val="en-GB"/>
        </w:rPr>
        <w:fldChar w:fldCharType="end"/>
      </w:r>
      <w:r w:rsidRPr="00BD4853" w:rsidR="00014566">
        <w:rPr>
          <w:lang w:val="en-GB"/>
        </w:rPr>
        <w:t>.  </w:t>
      </w:r>
      <w:r w:rsidRPr="00BD4853" w:rsidR="002A06EC">
        <w:rPr>
          <w:lang w:val="en-GB"/>
        </w:rPr>
        <w:t>The</w:t>
      </w:r>
      <w:r w:rsidRPr="00BD4853" w:rsidR="004C0618">
        <w:rPr>
          <w:lang w:val="en-GB"/>
        </w:rPr>
        <w:t xml:space="preserve"> applicants complained that as</w:t>
      </w:r>
      <w:r w:rsidRPr="00BD4853" w:rsidR="002A06EC">
        <w:rPr>
          <w:lang w:val="en-GB"/>
        </w:rPr>
        <w:t xml:space="preserve"> children born outside marriage they </w:t>
      </w:r>
      <w:r w:rsidRPr="00BD4853" w:rsidR="007F07CE">
        <w:rPr>
          <w:lang w:val="en-GB"/>
        </w:rPr>
        <w:t xml:space="preserve">had been </w:t>
      </w:r>
      <w:r w:rsidRPr="00BD4853" w:rsidR="002A06EC">
        <w:rPr>
          <w:lang w:val="en-GB"/>
        </w:rPr>
        <w:t xml:space="preserve">unable to assert their inheritance rights and </w:t>
      </w:r>
      <w:r w:rsidRPr="00BD4853" w:rsidR="00F908FB">
        <w:rPr>
          <w:lang w:val="en-GB"/>
        </w:rPr>
        <w:t xml:space="preserve">had thus been discriminated </w:t>
      </w:r>
      <w:r w:rsidRPr="00BD4853" w:rsidR="009653BE">
        <w:rPr>
          <w:lang w:val="en-GB"/>
        </w:rPr>
        <w:t xml:space="preserve">against when </w:t>
      </w:r>
      <w:r w:rsidRPr="00BD4853" w:rsidR="00487B5F">
        <w:rPr>
          <w:lang w:val="en-GB"/>
        </w:rPr>
        <w:t>compared to</w:t>
      </w:r>
      <w:r w:rsidRPr="00BD4853" w:rsidR="00F908FB">
        <w:rPr>
          <w:lang w:val="en-GB"/>
        </w:rPr>
        <w:t xml:space="preserve"> children born </w:t>
      </w:r>
      <w:r w:rsidRPr="00BD4853" w:rsidR="00487B5F">
        <w:rPr>
          <w:lang w:val="en-GB"/>
        </w:rPr>
        <w:t>within</w:t>
      </w:r>
      <w:r w:rsidRPr="00BD4853" w:rsidR="00F908FB">
        <w:rPr>
          <w:lang w:val="en-GB"/>
        </w:rPr>
        <w:t xml:space="preserve"> marriage. The Court considers that their complaint falls to be examined under </w:t>
      </w:r>
      <w:r w:rsidRPr="00BD4853" w:rsidR="002A06EC">
        <w:rPr>
          <w:lang w:val="en-GB"/>
        </w:rPr>
        <w:t xml:space="preserve">Article 14 of the Convention taken in conjunction with Article 1 </w:t>
      </w:r>
      <w:r w:rsidRPr="00BD4853" w:rsidR="00981273">
        <w:rPr>
          <w:lang w:val="en-GB"/>
        </w:rPr>
        <w:t xml:space="preserve">of </w:t>
      </w:r>
      <w:r w:rsidRPr="00BD4853" w:rsidR="002A06EC">
        <w:rPr>
          <w:lang w:val="en-GB"/>
        </w:rPr>
        <w:t xml:space="preserve">Protocol </w:t>
      </w:r>
      <w:r w:rsidRPr="00BD4853" w:rsidR="007F07CE">
        <w:rPr>
          <w:lang w:val="en-GB"/>
        </w:rPr>
        <w:t xml:space="preserve">No. </w:t>
      </w:r>
      <w:r w:rsidRPr="00BD4853" w:rsidR="002A06EC">
        <w:rPr>
          <w:lang w:val="en-GB"/>
        </w:rPr>
        <w:t>1, which read respectively as follows:</w:t>
      </w:r>
    </w:p>
    <w:p w:rsidRPr="00BD4853" w:rsidR="002A06EC" w:rsidP="00BD4853" w:rsidRDefault="002A06EC">
      <w:pPr>
        <w:pStyle w:val="ECHRTitleCentre3"/>
        <w:rPr>
          <w:lang w:val="en-GB"/>
        </w:rPr>
      </w:pPr>
      <w:r w:rsidRPr="00BD4853">
        <w:rPr>
          <w:lang w:val="en-GB"/>
        </w:rPr>
        <w:t>Article 14</w:t>
      </w:r>
    </w:p>
    <w:p w:rsidRPr="00BD4853" w:rsidR="002A06EC" w:rsidP="00BD4853" w:rsidRDefault="002A06EC">
      <w:pPr>
        <w:pStyle w:val="ECHRParaQuote"/>
      </w:pPr>
      <w:r w:rsidRPr="00BD4853">
        <w:t xml:space="preserve">“The enjoyment of the rights and freedoms set forth in [the] Convention shall be secured without discrimination on any ground such as </w:t>
      </w:r>
      <w:r w:rsidRPr="00BD4853" w:rsidR="006B4FFF">
        <w:t>...</w:t>
      </w:r>
      <w:r w:rsidRPr="00BD4853">
        <w:t xml:space="preserve"> birth ...”</w:t>
      </w:r>
    </w:p>
    <w:p w:rsidRPr="00BD4853" w:rsidR="002A06EC" w:rsidP="00BD4853" w:rsidRDefault="002A06EC">
      <w:pPr>
        <w:pStyle w:val="ECHRTitleCentre3"/>
        <w:rPr>
          <w:lang w:val="en-GB"/>
        </w:rPr>
      </w:pPr>
      <w:r w:rsidRPr="00BD4853">
        <w:rPr>
          <w:lang w:val="en-GB"/>
        </w:rPr>
        <w:t xml:space="preserve">Article 1 </w:t>
      </w:r>
      <w:r w:rsidRPr="00BD4853" w:rsidR="00F908FB">
        <w:rPr>
          <w:lang w:val="en-GB"/>
        </w:rPr>
        <w:t xml:space="preserve">of </w:t>
      </w:r>
      <w:r w:rsidRPr="00BD4853">
        <w:rPr>
          <w:lang w:val="en-GB"/>
        </w:rPr>
        <w:t xml:space="preserve">Protocol </w:t>
      </w:r>
      <w:r w:rsidRPr="00BD4853" w:rsidR="00F908FB">
        <w:rPr>
          <w:lang w:val="en-GB"/>
        </w:rPr>
        <w:t xml:space="preserve">No. </w:t>
      </w:r>
      <w:r w:rsidRPr="00BD4853">
        <w:rPr>
          <w:lang w:val="en-GB"/>
        </w:rPr>
        <w:t>1</w:t>
      </w:r>
    </w:p>
    <w:p w:rsidRPr="00BD4853" w:rsidR="002A06EC" w:rsidP="00BD4853" w:rsidRDefault="002A06EC">
      <w:pPr>
        <w:pStyle w:val="ECHRParaQuote"/>
      </w:pPr>
      <w:r w:rsidRPr="00BD4853">
        <w:t>“Every natural or legal person is entitled to the peaceful enjoyment of his possessions. No one shall be deprived of his possessions except in the public interest and subject to the conditions provided for by law and by the general principles of international law.</w:t>
      </w:r>
    </w:p>
    <w:p w:rsidRPr="00BD4853" w:rsidR="00014566" w:rsidP="00BD4853" w:rsidRDefault="002A06EC">
      <w:pPr>
        <w:pStyle w:val="ECHRParaQuote"/>
        <w:rPr>
          <w:lang w:val="en-GB"/>
        </w:rPr>
      </w:pPr>
      <w:r w:rsidRPr="00BD4853">
        <w:t>The preceding provisions shall not, however, in any way impair the right of a State to enforce such laws as it deems necessary to control the use of property in accordance with the general interest or to secure the payment of taxes or other contributions or penalties.”</w:t>
      </w:r>
    </w:p>
    <w:p w:rsidRPr="00BD4853" w:rsidR="00014566" w:rsidP="00BD4853" w:rsidRDefault="00177BCB">
      <w:pPr>
        <w:pStyle w:val="ECHRPara"/>
        <w:rPr>
          <w:lang w:val="en-GB"/>
        </w:rPr>
      </w:pPr>
      <w:r w:rsidRPr="00BD4853">
        <w:rPr>
          <w:lang w:val="en-GB"/>
        </w:rPr>
        <w:fldChar w:fldCharType="begin"/>
      </w:r>
      <w:r w:rsidRPr="00BD4853">
        <w:rPr>
          <w:lang w:val="en-GB"/>
        </w:rPr>
        <w:instrText xml:space="preserve"> SEQ level0 \*arabic </w:instrText>
      </w:r>
      <w:r w:rsidRPr="00BD4853">
        <w:rPr>
          <w:lang w:val="en-GB"/>
        </w:rPr>
        <w:fldChar w:fldCharType="separate"/>
      </w:r>
      <w:r w:rsidRPr="00BD4853" w:rsidR="00BD4853">
        <w:rPr>
          <w:noProof/>
          <w:lang w:val="en-GB"/>
        </w:rPr>
        <w:t>42</w:t>
      </w:r>
      <w:r w:rsidRPr="00BD4853">
        <w:rPr>
          <w:lang w:val="en-GB"/>
        </w:rPr>
        <w:fldChar w:fldCharType="end"/>
      </w:r>
      <w:r w:rsidRPr="00BD4853" w:rsidR="00014566">
        <w:rPr>
          <w:lang w:val="en-GB"/>
        </w:rPr>
        <w:t>.  The Government contested that argument.</w:t>
      </w:r>
    </w:p>
    <w:p w:rsidRPr="00BD4853" w:rsidR="00014566" w:rsidP="00BD4853" w:rsidRDefault="00014566">
      <w:pPr>
        <w:pStyle w:val="ECHRHeading2"/>
        <w:rPr>
          <w:lang w:val="en-GB"/>
        </w:rPr>
      </w:pPr>
      <w:r w:rsidRPr="00BD4853">
        <w:rPr>
          <w:lang w:val="en-GB"/>
        </w:rPr>
        <w:t>A.  Admissibility</w:t>
      </w:r>
    </w:p>
    <w:p w:rsidRPr="00BD4853" w:rsidR="002200A0" w:rsidP="00BD4853" w:rsidRDefault="002200A0">
      <w:pPr>
        <w:pStyle w:val="ECHRHeading3"/>
        <w:rPr>
          <w:lang w:val="en-GB"/>
        </w:rPr>
      </w:pPr>
      <w:r w:rsidRPr="00BD4853">
        <w:rPr>
          <w:lang w:val="en-GB"/>
        </w:rPr>
        <w:t>1.</w:t>
      </w:r>
      <w:r w:rsidRPr="00BD4853" w:rsidR="00847B08">
        <w:rPr>
          <w:lang w:val="en-GB"/>
        </w:rPr>
        <w:t>  </w:t>
      </w:r>
      <w:r w:rsidRPr="00BD4853">
        <w:rPr>
          <w:lang w:val="en-GB"/>
        </w:rPr>
        <w:t>Exhaustion of domestic remedies</w:t>
      </w:r>
      <w:r w:rsidRPr="00BD4853" w:rsidR="000A399F">
        <w:rPr>
          <w:lang w:val="en-GB"/>
        </w:rPr>
        <w:t xml:space="preserve"> by</w:t>
      </w:r>
      <w:r w:rsidRPr="00BD4853">
        <w:rPr>
          <w:lang w:val="en-GB"/>
        </w:rPr>
        <w:t xml:space="preserve"> the first applicant</w:t>
      </w:r>
    </w:p>
    <w:p w:rsidRPr="00BD4853" w:rsidR="006B4FFF" w:rsidP="00BD4853" w:rsidRDefault="00177BCB">
      <w:pPr>
        <w:pStyle w:val="ECHRPara"/>
      </w:pPr>
      <w:r w:rsidRPr="00BD4853">
        <w:rPr>
          <w:lang w:val="en-GB"/>
        </w:rPr>
        <w:fldChar w:fldCharType="begin"/>
      </w:r>
      <w:r w:rsidRPr="00BD4853">
        <w:rPr>
          <w:lang w:val="en-GB"/>
        </w:rPr>
        <w:instrText xml:space="preserve"> SEQ level0 \*arabic </w:instrText>
      </w:r>
      <w:r w:rsidRPr="00BD4853">
        <w:rPr>
          <w:lang w:val="en-GB"/>
        </w:rPr>
        <w:fldChar w:fldCharType="separate"/>
      </w:r>
      <w:r w:rsidRPr="00BD4853" w:rsidR="00BD4853">
        <w:rPr>
          <w:noProof/>
          <w:lang w:val="en-GB"/>
        </w:rPr>
        <w:t>43</w:t>
      </w:r>
      <w:r w:rsidRPr="00BD4853">
        <w:rPr>
          <w:lang w:val="en-GB"/>
        </w:rPr>
        <w:fldChar w:fldCharType="end"/>
      </w:r>
      <w:r w:rsidRPr="00BD4853" w:rsidR="00014566">
        <w:rPr>
          <w:lang w:val="en-GB"/>
        </w:rPr>
        <w:t>.  </w:t>
      </w:r>
      <w:r w:rsidRPr="00BD4853" w:rsidR="007F07CE">
        <w:t>T</w:t>
      </w:r>
      <w:r w:rsidRPr="00BD4853" w:rsidR="002200A0">
        <w:t>he Government</w:t>
      </w:r>
      <w:r w:rsidRPr="00BD4853" w:rsidR="007F07CE">
        <w:t xml:space="preserve"> submitted that</w:t>
      </w:r>
      <w:r w:rsidRPr="00BD4853" w:rsidR="002200A0">
        <w:t xml:space="preserve"> the first applicant had not exhausted domestic remedies in respect of his complaint </w:t>
      </w:r>
      <w:r w:rsidRPr="00BD4853" w:rsidR="008553A3">
        <w:t xml:space="preserve">as he </w:t>
      </w:r>
      <w:r w:rsidRPr="00BD4853" w:rsidR="00487B5F">
        <w:t xml:space="preserve">had </w:t>
      </w:r>
      <w:r w:rsidRPr="00BD4853" w:rsidR="007572C3">
        <w:t xml:space="preserve">belatedly </w:t>
      </w:r>
      <w:r w:rsidRPr="00BD4853" w:rsidR="008553A3">
        <w:t xml:space="preserve">presented </w:t>
      </w:r>
      <w:r w:rsidRPr="00BD4853" w:rsidR="009653BE">
        <w:t xml:space="preserve">facts to the Court of Appeal </w:t>
      </w:r>
      <w:r w:rsidRPr="00BD4853" w:rsidR="008553A3">
        <w:t>with regard to his relationship to his father and thus to family ties in the meaning of Article 8 of the Convention. Submissions in th</w:t>
      </w:r>
      <w:r w:rsidRPr="00BD4853" w:rsidR="009653BE">
        <w:t>at</w:t>
      </w:r>
      <w:r w:rsidRPr="00BD4853" w:rsidR="008553A3">
        <w:t xml:space="preserve"> regard would </w:t>
      </w:r>
      <w:r w:rsidRPr="00BD4853" w:rsidR="009653BE">
        <w:t xml:space="preserve">also </w:t>
      </w:r>
      <w:r w:rsidRPr="00BD4853" w:rsidR="008553A3">
        <w:t>have been relevant for examin</w:t>
      </w:r>
      <w:r w:rsidRPr="00BD4853" w:rsidR="009653BE">
        <w:t xml:space="preserve">ing </w:t>
      </w:r>
      <w:r w:rsidRPr="00BD4853" w:rsidR="008553A3">
        <w:t xml:space="preserve">whether his rights </w:t>
      </w:r>
      <w:r w:rsidRPr="00BD4853" w:rsidR="002200A0">
        <w:t xml:space="preserve">under Article 14 of the Convention taken in conjunction with Article 1 </w:t>
      </w:r>
      <w:r w:rsidRPr="00BD4853" w:rsidR="00981273">
        <w:t xml:space="preserve">of </w:t>
      </w:r>
      <w:r w:rsidRPr="00BD4853" w:rsidR="002200A0">
        <w:t xml:space="preserve">Protocol </w:t>
      </w:r>
      <w:r w:rsidRPr="00BD4853" w:rsidR="00981273">
        <w:t xml:space="preserve">No. </w:t>
      </w:r>
      <w:r w:rsidRPr="00BD4853" w:rsidR="00B0558F">
        <w:t xml:space="preserve">1 </w:t>
      </w:r>
      <w:r w:rsidRPr="00BD4853" w:rsidR="008553A3">
        <w:t>were concerned.</w:t>
      </w:r>
    </w:p>
    <w:p w:rsidRPr="00BD4853" w:rsidR="006B4FFF" w:rsidP="00BD4853" w:rsidRDefault="00BD4853">
      <w:pPr>
        <w:pStyle w:val="ECHRPara"/>
      </w:pPr>
      <w:fldSimple w:instr=" SEQ level0 \*arabic ">
        <w:r w:rsidRPr="00BD4853">
          <w:rPr>
            <w:noProof/>
          </w:rPr>
          <w:t>44</w:t>
        </w:r>
      </w:fldSimple>
      <w:r w:rsidRPr="00BD4853" w:rsidR="002200A0">
        <w:t xml:space="preserve">.  The </w:t>
      </w:r>
      <w:r w:rsidRPr="00BD4853" w:rsidR="00F7687D">
        <w:t xml:space="preserve">first </w:t>
      </w:r>
      <w:r w:rsidRPr="00BD4853" w:rsidR="002200A0">
        <w:t>applicant contested that argument.</w:t>
      </w:r>
    </w:p>
    <w:p w:rsidRPr="00BD4853" w:rsidR="002200A0" w:rsidP="00BD4853" w:rsidRDefault="00BD4853">
      <w:pPr>
        <w:pStyle w:val="ECHRPara"/>
      </w:pPr>
      <w:fldSimple w:instr=" SEQ level0 \*arabic ">
        <w:r w:rsidRPr="00BD4853">
          <w:rPr>
            <w:noProof/>
          </w:rPr>
          <w:t>45</w:t>
        </w:r>
      </w:fldSimple>
      <w:r w:rsidRPr="00BD4853" w:rsidR="002200A0">
        <w:t>.  </w:t>
      </w:r>
      <w:r w:rsidRPr="00BD4853" w:rsidR="00B0558F">
        <w:t xml:space="preserve">In determining whether </w:t>
      </w:r>
      <w:r w:rsidRPr="00BD4853" w:rsidR="002200A0">
        <w:t xml:space="preserve">the </w:t>
      </w:r>
      <w:r w:rsidRPr="00BD4853" w:rsidR="00F7687D">
        <w:t xml:space="preserve">first </w:t>
      </w:r>
      <w:r w:rsidRPr="00BD4853" w:rsidR="002200A0">
        <w:t xml:space="preserve">applicant can be considered to have exhausted domestic remedies, the Court reiterates that the purpose of the requirement </w:t>
      </w:r>
      <w:r w:rsidRPr="00BD4853" w:rsidR="003E4F27">
        <w:t xml:space="preserve">under Article 35 § 1 of the Convention </w:t>
      </w:r>
      <w:r w:rsidRPr="00BD4853" w:rsidR="002200A0">
        <w:t>that domestic remedies must be exhausted is to afford the Contracting States the opportunit</w:t>
      </w:r>
      <w:r w:rsidRPr="00BD4853" w:rsidR="005C680C">
        <w:t>y of preventing or putting right</w:t>
      </w:r>
      <w:r w:rsidRPr="00BD4853" w:rsidR="002200A0">
        <w:t xml:space="preserve"> </w:t>
      </w:r>
      <w:r w:rsidRPr="00BD4853" w:rsidR="005C680C">
        <w:t>–</w:t>
      </w:r>
      <w:r w:rsidRPr="00BD4853" w:rsidR="002200A0">
        <w:t xml:space="preserve"> normally through the courts </w:t>
      </w:r>
      <w:r w:rsidRPr="00BD4853" w:rsidR="005C680C">
        <w:t>–</w:t>
      </w:r>
      <w:r w:rsidRPr="00BD4853" w:rsidR="002200A0">
        <w:t xml:space="preserve"> the violations alleged against them before those allegations are submitted to the Convention institutions (see </w:t>
      </w:r>
      <w:r w:rsidRPr="00BD4853" w:rsidR="002200A0">
        <w:rPr>
          <w:i/>
        </w:rPr>
        <w:t>Kudła v. Poland</w:t>
      </w:r>
      <w:r w:rsidRPr="00BD4853" w:rsidR="002200A0">
        <w:t xml:space="preserve"> [GC], no. </w:t>
      </w:r>
      <w:hyperlink w:tgtFrame="_blank" w:history="1" w:anchor="{&quot;appno&quot;:[&quot;30210/96&quot;]}" r:id="rId11">
        <w:r w:rsidRPr="00BD4853" w:rsidR="002200A0">
          <w:t>30210/96</w:t>
        </w:r>
      </w:hyperlink>
      <w:r w:rsidRPr="00BD4853" w:rsidR="002200A0">
        <w:t>, § 152, ECHR 2000-XI</w:t>
      </w:r>
      <w:r w:rsidRPr="00BD4853" w:rsidR="00F7687D">
        <w:rPr>
          <w:lang w:val="en-GB"/>
        </w:rPr>
        <w:t>;</w:t>
      </w:r>
      <w:r w:rsidRPr="00BD4853" w:rsidR="00981273">
        <w:t xml:space="preserve"> and </w:t>
      </w:r>
      <w:r w:rsidRPr="00BD4853" w:rsidR="002200A0">
        <w:rPr>
          <w:i/>
          <w:lang w:val="en-GB"/>
        </w:rPr>
        <w:t>Gasus Dosier</w:t>
      </w:r>
      <w:r w:rsidRPr="00BD4853" w:rsidR="003B4061">
        <w:rPr>
          <w:i/>
          <w:lang w:val="en-GB"/>
        </w:rPr>
        <w:t>- und Fördertechnik GmbH v. the </w:t>
      </w:r>
      <w:r w:rsidRPr="00BD4853" w:rsidR="002200A0">
        <w:rPr>
          <w:i/>
          <w:lang w:val="en-GB"/>
        </w:rPr>
        <w:t>Netherlands</w:t>
      </w:r>
      <w:r w:rsidRPr="00BD4853" w:rsidR="002200A0">
        <w:rPr>
          <w:lang w:val="en-GB"/>
        </w:rPr>
        <w:t>, 23 February 1995, § 48, Series A no. 306</w:t>
      </w:r>
      <w:r w:rsidRPr="00BD4853" w:rsidR="002200A0">
        <w:rPr>
          <w:lang w:val="en-GB"/>
        </w:rPr>
        <w:noBreakHyphen/>
        <w:t>B).</w:t>
      </w:r>
      <w:r w:rsidRPr="00BD4853" w:rsidR="002200A0">
        <w:t xml:space="preserve"> If the complaint presented before the Court (for example, unjustified interference with the right of property) has not been put, either explicitly or in substance, to the national courts when it could have been raised in the exercise of a remedy available to the applicant, the national legal order has been denied the opportunity to address the Convention issue which the rule on exhaustion of domestic remedies is intended to give it (see </w:t>
      </w:r>
      <w:r w:rsidRPr="00BD4853" w:rsidR="002200A0">
        <w:rPr>
          <w:i/>
          <w:lang w:val="en-GB"/>
        </w:rPr>
        <w:t>Azinas v. Cyprus</w:t>
      </w:r>
      <w:r w:rsidRPr="00BD4853" w:rsidR="002200A0">
        <w:rPr>
          <w:lang w:val="en-GB"/>
        </w:rPr>
        <w:t xml:space="preserve"> [GC], no.</w:t>
      </w:r>
      <w:r w:rsidRPr="00BD4853" w:rsidR="00847B08">
        <w:rPr>
          <w:lang w:val="en-GB"/>
        </w:rPr>
        <w:t> </w:t>
      </w:r>
      <w:r w:rsidRPr="00BD4853" w:rsidR="002200A0">
        <w:rPr>
          <w:lang w:val="en-GB"/>
        </w:rPr>
        <w:t>56679/00, § 38, ECHR 2004</w:t>
      </w:r>
      <w:r w:rsidRPr="00BD4853" w:rsidR="002200A0">
        <w:rPr>
          <w:lang w:val="en-GB"/>
        </w:rPr>
        <w:noBreakHyphen/>
        <w:t>III)</w:t>
      </w:r>
      <w:r w:rsidRPr="00BD4853" w:rsidR="002200A0">
        <w:t>.</w:t>
      </w:r>
    </w:p>
    <w:p w:rsidRPr="00BD4853" w:rsidR="008D4A40" w:rsidP="00BD4853" w:rsidRDefault="00BD4853">
      <w:pPr>
        <w:pStyle w:val="ECHRPara"/>
      </w:pPr>
      <w:fldSimple w:instr=" SEQ level0 \*arabic ">
        <w:r w:rsidRPr="00BD4853">
          <w:rPr>
            <w:noProof/>
          </w:rPr>
          <w:t>46</w:t>
        </w:r>
      </w:fldSimple>
      <w:r w:rsidRPr="00BD4853" w:rsidR="008D4A40">
        <w:t xml:space="preserve">.  In the case of the first applicant the Court notes that on 23 July 2009 </w:t>
      </w:r>
      <w:r w:rsidRPr="00BD4853" w:rsidR="00322958">
        <w:t>he</w:t>
      </w:r>
      <w:r w:rsidRPr="00BD4853" w:rsidR="008D4A40">
        <w:t xml:space="preserve"> applied for the second time for a certificate of inheritance</w:t>
      </w:r>
      <w:r w:rsidRPr="00BD4853" w:rsidR="00981273">
        <w:t xml:space="preserve">, </w:t>
      </w:r>
      <w:r w:rsidRPr="00BD4853" w:rsidR="00E7349F">
        <w:t xml:space="preserve">arguing </w:t>
      </w:r>
      <w:r w:rsidRPr="00BD4853" w:rsidR="008D4A40">
        <w:t>that he was entitled to 100% of Mr H</w:t>
      </w:r>
      <w:r w:rsidRPr="00BD4853" w:rsidR="00981273">
        <w:t>.</w:t>
      </w:r>
      <w:r w:rsidRPr="00BD4853">
        <w:t>’</w:t>
      </w:r>
      <w:r w:rsidRPr="00BD4853" w:rsidR="008D4A40">
        <w:t>s estate</w:t>
      </w:r>
      <w:r w:rsidRPr="00BD4853" w:rsidR="00981273">
        <w:t xml:space="preserve">. He </w:t>
      </w:r>
      <w:r w:rsidRPr="00BD4853" w:rsidR="008D4A40">
        <w:t>referr</w:t>
      </w:r>
      <w:r w:rsidRPr="00BD4853" w:rsidR="00981273">
        <w:t xml:space="preserve">ed </w:t>
      </w:r>
      <w:r w:rsidRPr="00BD4853" w:rsidR="008D4A40">
        <w:t>in particular to</w:t>
      </w:r>
      <w:r w:rsidRPr="00BD4853" w:rsidR="00981273">
        <w:t xml:space="preserve"> the Court</w:t>
      </w:r>
      <w:r w:rsidRPr="00BD4853">
        <w:t>’</w:t>
      </w:r>
      <w:r w:rsidRPr="00BD4853" w:rsidR="00981273">
        <w:t>s ruling in</w:t>
      </w:r>
      <w:r w:rsidRPr="00BD4853" w:rsidR="008D4A40">
        <w:t xml:space="preserve"> </w:t>
      </w:r>
      <w:r w:rsidRPr="00BD4853" w:rsidR="008D4A40">
        <w:rPr>
          <w:i/>
        </w:rPr>
        <w:t xml:space="preserve">Brauer </w:t>
      </w:r>
      <w:r w:rsidRPr="00BD4853" w:rsidR="00981273">
        <w:t>(cited above)</w:t>
      </w:r>
      <w:r w:rsidRPr="00BD4853" w:rsidR="008D4A40">
        <w:t xml:space="preserve">. In his appeal </w:t>
      </w:r>
      <w:r w:rsidRPr="00BD4853" w:rsidR="00981273">
        <w:t xml:space="preserve">of </w:t>
      </w:r>
      <w:r w:rsidRPr="00BD4853" w:rsidR="008D4A40">
        <w:t xml:space="preserve">16 November 2009 he argued that under Article 6 § 5 of the Basic Law, according to which children born outside marriage </w:t>
      </w:r>
      <w:r w:rsidRPr="00BD4853" w:rsidR="00981273">
        <w:t xml:space="preserve">are to </w:t>
      </w:r>
      <w:r w:rsidRPr="00BD4853" w:rsidR="008D4A40">
        <w:t xml:space="preserve">be provided by legislation with the same opportunities for physical and mental development and for their position in society as </w:t>
      </w:r>
      <w:r w:rsidRPr="00BD4853" w:rsidR="00E7349F">
        <w:t xml:space="preserve">those </w:t>
      </w:r>
      <w:r w:rsidRPr="00BD4853" w:rsidR="008D4A40">
        <w:t xml:space="preserve">enjoyed by </w:t>
      </w:r>
      <w:r w:rsidRPr="00BD4853" w:rsidR="00487B5F">
        <w:t xml:space="preserve">children </w:t>
      </w:r>
      <w:r w:rsidRPr="00BD4853" w:rsidR="008D4A40">
        <w:t>born within marriage, there were no reasons why children born outside marriage should be treated differently from those born within marriage. If he was refused the certificate the German State would be liable for comp</w:t>
      </w:r>
      <w:r w:rsidRPr="00BD4853" w:rsidR="003B3BE9">
        <w:t>ensation claims (see paragraphs </w:t>
      </w:r>
      <w:r w:rsidRPr="00BD4853" w:rsidR="008D4A40">
        <w:t>9 and 11 above).</w:t>
      </w:r>
    </w:p>
    <w:p w:rsidRPr="00BD4853" w:rsidR="008F6C43" w:rsidP="00BD4853" w:rsidRDefault="00BD4853">
      <w:pPr>
        <w:pStyle w:val="ECHRPara"/>
      </w:pPr>
      <w:fldSimple w:instr=" SEQ level0 \*arabic ">
        <w:r w:rsidRPr="00BD4853">
          <w:rPr>
            <w:noProof/>
          </w:rPr>
          <w:t>47</w:t>
        </w:r>
      </w:fldSimple>
      <w:r w:rsidRPr="00BD4853" w:rsidR="00B0558F">
        <w:t>.  </w:t>
      </w:r>
      <w:r w:rsidRPr="00BD4853" w:rsidR="000F7900">
        <w:t>I</w:t>
      </w:r>
      <w:r w:rsidRPr="00BD4853" w:rsidR="000A399F">
        <w:t xml:space="preserve">t is true that the first applicant </w:t>
      </w:r>
      <w:r w:rsidRPr="00BD4853" w:rsidR="00481848">
        <w:t xml:space="preserve">neither </w:t>
      </w:r>
      <w:r w:rsidRPr="00BD4853" w:rsidR="000A399F">
        <w:t>explicitly refer</w:t>
      </w:r>
      <w:r w:rsidRPr="00BD4853" w:rsidR="00487B5F">
        <w:t>red</w:t>
      </w:r>
      <w:r w:rsidRPr="00BD4853" w:rsidR="003B4061">
        <w:t xml:space="preserve"> to Article </w:t>
      </w:r>
      <w:r w:rsidRPr="00BD4853" w:rsidR="000A399F">
        <w:t xml:space="preserve">14 of the Convention taken in conjunction with Article 1 </w:t>
      </w:r>
      <w:r w:rsidRPr="00BD4853" w:rsidR="00981273">
        <w:t xml:space="preserve">of </w:t>
      </w:r>
      <w:r w:rsidRPr="00BD4853" w:rsidR="003B4061">
        <w:t>Protocol </w:t>
      </w:r>
      <w:r w:rsidRPr="00BD4853" w:rsidR="00981273">
        <w:t xml:space="preserve">No. </w:t>
      </w:r>
      <w:r w:rsidRPr="00BD4853" w:rsidR="000A399F">
        <w:t>1</w:t>
      </w:r>
      <w:r w:rsidRPr="00BD4853" w:rsidR="00481848">
        <w:t xml:space="preserve"> nor to the relevant provision of the </w:t>
      </w:r>
      <w:r w:rsidRPr="00BD4853" w:rsidR="00175C88">
        <w:t>B</w:t>
      </w:r>
      <w:r w:rsidRPr="00BD4853" w:rsidR="00481848">
        <w:t>asic Law</w:t>
      </w:r>
      <w:r w:rsidRPr="00BD4853" w:rsidR="00487B5F">
        <w:t xml:space="preserve"> before the </w:t>
      </w:r>
      <w:r w:rsidRPr="00BD4853" w:rsidR="000C39AC">
        <w:t>District Court and the Regional Court</w:t>
      </w:r>
      <w:r w:rsidRPr="00BD4853" w:rsidR="000A399F">
        <w:t xml:space="preserve">. </w:t>
      </w:r>
      <w:r w:rsidRPr="00BD4853" w:rsidR="000F7900">
        <w:t>Neverthe</w:t>
      </w:r>
      <w:r w:rsidRPr="00BD4853" w:rsidR="00322958">
        <w:t>le</w:t>
      </w:r>
      <w:r w:rsidRPr="00BD4853" w:rsidR="000F7900">
        <w:t>ss</w:t>
      </w:r>
      <w:r w:rsidRPr="00BD4853" w:rsidR="000A399F">
        <w:t xml:space="preserve">, he explicitly stated that a refusal of the inheritance certificate on </w:t>
      </w:r>
      <w:r w:rsidRPr="00BD4853" w:rsidR="00981273">
        <w:t xml:space="preserve">the </w:t>
      </w:r>
      <w:r w:rsidRPr="00BD4853" w:rsidR="000A399F">
        <w:t xml:space="preserve">grounds of his status as a child born outside marriage would discriminate against him. </w:t>
      </w:r>
      <w:r w:rsidRPr="00BD4853" w:rsidR="00487B5F">
        <w:t>H</w:t>
      </w:r>
      <w:r w:rsidRPr="00BD4853" w:rsidR="000A399F">
        <w:t xml:space="preserve">e </w:t>
      </w:r>
      <w:r w:rsidRPr="00BD4853" w:rsidR="00487B5F">
        <w:t xml:space="preserve">further </w:t>
      </w:r>
      <w:r w:rsidRPr="00BD4853" w:rsidR="000A399F">
        <w:t>claimed a right to his father</w:t>
      </w:r>
      <w:r w:rsidRPr="00BD4853">
        <w:t>’</w:t>
      </w:r>
      <w:r w:rsidRPr="00BD4853" w:rsidR="000A399F">
        <w:t xml:space="preserve">s estate and </w:t>
      </w:r>
      <w:r w:rsidRPr="00BD4853" w:rsidR="00E7349F">
        <w:t xml:space="preserve">argued that he would have a </w:t>
      </w:r>
      <w:r w:rsidRPr="00BD4853" w:rsidR="000A399F">
        <w:t>compensation claim against the German State i</w:t>
      </w:r>
      <w:r w:rsidRPr="00BD4853" w:rsidR="00E7349F">
        <w:t xml:space="preserve">f </w:t>
      </w:r>
      <w:r w:rsidRPr="00BD4853" w:rsidR="000A399F">
        <w:t xml:space="preserve">he was refused that certificate. </w:t>
      </w:r>
      <w:r w:rsidRPr="00BD4853" w:rsidR="00487B5F">
        <w:t>Under those circumstances, the Court finds that the first applicant has, at least in substance, raised the complaint before the domestic courts. Furthermore</w:t>
      </w:r>
      <w:r w:rsidRPr="00BD4853" w:rsidR="00481848">
        <w:t>, the Federal Constitutional Court decided in substance on the first applicant</w:t>
      </w:r>
      <w:r w:rsidRPr="00BD4853">
        <w:t>’</w:t>
      </w:r>
      <w:r w:rsidRPr="00BD4853" w:rsidR="00481848">
        <w:t>s constitutional complaint (see paragraphs 25-28).</w:t>
      </w:r>
      <w:r w:rsidRPr="00BD4853" w:rsidR="008F6C43">
        <w:t xml:space="preserve"> As a consequence, </w:t>
      </w:r>
      <w:r w:rsidRPr="00BD4853" w:rsidR="00487B5F">
        <w:t>t</w:t>
      </w:r>
      <w:r w:rsidRPr="00BD4853" w:rsidR="008F6C43">
        <w:t>he</w:t>
      </w:r>
      <w:r w:rsidRPr="00BD4853" w:rsidR="00487B5F">
        <w:t xml:space="preserve"> first applicant</w:t>
      </w:r>
      <w:r w:rsidRPr="00BD4853" w:rsidR="008F6C43">
        <w:t xml:space="preserve"> must be regarded as having complied with the requirements under Article 35 § 1 of the Convention for an exhaustion of domestic remedies.</w:t>
      </w:r>
    </w:p>
    <w:p w:rsidRPr="00BD4853" w:rsidR="000A399F" w:rsidP="00BD4853" w:rsidRDefault="00BD4853">
      <w:pPr>
        <w:pStyle w:val="ECHRPara"/>
      </w:pPr>
      <w:fldSimple w:instr=" SEQ level0 \*arabic ">
        <w:r w:rsidRPr="00BD4853">
          <w:rPr>
            <w:noProof/>
          </w:rPr>
          <w:t>48</w:t>
        </w:r>
      </w:fldSimple>
      <w:r w:rsidRPr="00BD4853" w:rsidR="000A399F">
        <w:t>.  The Government</w:t>
      </w:r>
      <w:r w:rsidRPr="00BD4853">
        <w:t>’</w:t>
      </w:r>
      <w:r w:rsidRPr="00BD4853" w:rsidR="000A399F">
        <w:t xml:space="preserve">s objection of </w:t>
      </w:r>
      <w:r w:rsidRPr="00BD4853" w:rsidR="00981273">
        <w:t xml:space="preserve">a </w:t>
      </w:r>
      <w:r w:rsidRPr="00BD4853" w:rsidR="000A399F">
        <w:t>failure to exhaust domestic remedies must therefore be dismissed.</w:t>
      </w:r>
    </w:p>
    <w:p w:rsidRPr="00BD4853" w:rsidR="006B4FFF" w:rsidP="00BD4853" w:rsidRDefault="00672D2B">
      <w:pPr>
        <w:pStyle w:val="ECHRHeading3"/>
      </w:pPr>
      <w:r w:rsidRPr="00BD4853">
        <w:t>2.</w:t>
      </w:r>
      <w:r w:rsidRPr="00BD4853" w:rsidR="00847B08">
        <w:t>  </w:t>
      </w:r>
      <w:r w:rsidRPr="00BD4853">
        <w:t>Applicability of Article 1</w:t>
      </w:r>
      <w:r w:rsidRPr="00BD4853" w:rsidR="002E0BAA">
        <w:t>4 of the Convention</w:t>
      </w:r>
    </w:p>
    <w:p w:rsidRPr="00BD4853" w:rsidR="00032180" w:rsidP="00BD4853" w:rsidRDefault="00BD4853">
      <w:pPr>
        <w:pStyle w:val="ECHRPara"/>
        <w:rPr>
          <w:i/>
          <w:lang w:val="en-GB"/>
        </w:rPr>
      </w:pPr>
      <w:fldSimple w:instr=" SEQ level0 \*arabic ">
        <w:r w:rsidRPr="00BD4853">
          <w:rPr>
            <w:noProof/>
          </w:rPr>
          <w:t>49</w:t>
        </w:r>
      </w:fldSimple>
      <w:r w:rsidRPr="00BD4853" w:rsidR="00672D2B">
        <w:t>.  </w:t>
      </w:r>
      <w:r w:rsidRPr="00BD4853" w:rsidR="00032180">
        <w:t>According to its settled case-law, Article 14 of the Convention complements the other substantive provisions of the Convention and its Protocols. It has no independent existence since it has effect solely in relation to “the enjoyment of the rights and freedoms” safeguarded by those provisions. Although the application of Article 14 does not presuppose a breach of those provisions – and to this extent it is autonomous – there can be no room for its application unless the facts in issue fall within the ambit of one or more of the latter (see, among many other authorities,</w:t>
      </w:r>
      <w:r w:rsidRPr="00BD4853" w:rsidR="00032180">
        <w:rPr>
          <w:i/>
          <w:lang w:val="en-GB"/>
        </w:rPr>
        <w:t xml:space="preserve"> Fabris v.</w:t>
      </w:r>
      <w:r w:rsidRPr="00BD4853" w:rsidR="00847B08">
        <w:rPr>
          <w:i/>
          <w:lang w:val="en-GB"/>
        </w:rPr>
        <w:t> </w:t>
      </w:r>
      <w:r w:rsidRPr="00BD4853" w:rsidR="00032180">
        <w:rPr>
          <w:i/>
          <w:lang w:val="en-GB"/>
        </w:rPr>
        <w:t>France</w:t>
      </w:r>
      <w:r w:rsidRPr="00BD4853" w:rsidR="00032180">
        <w:rPr>
          <w:lang w:val="en-GB"/>
        </w:rPr>
        <w:t xml:space="preserve"> [GC], no. 16574/08</w:t>
      </w:r>
      <w:r w:rsidRPr="00BD4853" w:rsidR="00032180">
        <w:rPr>
          <w:snapToGrid w:val="0"/>
          <w:lang w:val="en-GB"/>
        </w:rPr>
        <w:t xml:space="preserve">, § 47, </w:t>
      </w:r>
      <w:r w:rsidRPr="00BD4853" w:rsidR="00032180">
        <w:rPr>
          <w:lang w:val="en-GB"/>
        </w:rPr>
        <w:t xml:space="preserve">ECHR 2013 (extracts); </w:t>
      </w:r>
      <w:r w:rsidRPr="00BD4853" w:rsidR="00032180">
        <w:rPr>
          <w:i/>
          <w:lang w:val="en-GB"/>
        </w:rPr>
        <w:t>Brauer</w:t>
      </w:r>
      <w:r w:rsidRPr="00BD4853" w:rsidR="00032180">
        <w:rPr>
          <w:lang w:val="en-GB"/>
        </w:rPr>
        <w:t>, cited above,</w:t>
      </w:r>
      <w:r w:rsidRPr="00BD4853" w:rsidR="00032180">
        <w:rPr>
          <w:i/>
          <w:lang w:val="en-GB"/>
        </w:rPr>
        <w:t xml:space="preserve"> </w:t>
      </w:r>
      <w:r w:rsidRPr="00BD4853" w:rsidR="00032180">
        <w:rPr>
          <w:lang w:val="en-GB"/>
        </w:rPr>
        <w:t xml:space="preserve">§ </w:t>
      </w:r>
      <w:r w:rsidRPr="00BD4853" w:rsidR="00032180">
        <w:rPr>
          <w:snapToGrid w:val="0"/>
          <w:lang w:val="en-GB"/>
        </w:rPr>
        <w:t>28</w:t>
      </w:r>
      <w:r w:rsidRPr="00BD4853" w:rsidR="00032180">
        <w:t>).</w:t>
      </w:r>
    </w:p>
    <w:p w:rsidRPr="00BD4853" w:rsidR="00882F79" w:rsidP="00BD4853" w:rsidRDefault="00BD4853">
      <w:pPr>
        <w:pStyle w:val="ECHRPara"/>
      </w:pPr>
      <w:fldSimple w:instr=" SEQ level0 \*arabic ">
        <w:r w:rsidRPr="00BD4853">
          <w:rPr>
            <w:noProof/>
          </w:rPr>
          <w:t>50</w:t>
        </w:r>
      </w:fldSimple>
      <w:r w:rsidRPr="00BD4853" w:rsidR="00032180">
        <w:t xml:space="preserve">.  The Court must therefore determine whether </w:t>
      </w:r>
      <w:r w:rsidRPr="00BD4853" w:rsidR="00D10B38">
        <w:t xml:space="preserve">the facts at issue in the present cases fall within the ambit </w:t>
      </w:r>
      <w:r w:rsidRPr="00BD4853" w:rsidR="001E7164">
        <w:t xml:space="preserve">of </w:t>
      </w:r>
      <w:r w:rsidRPr="00BD4853" w:rsidR="00032180">
        <w:t xml:space="preserve">Article 1 of Protocol </w:t>
      </w:r>
      <w:r w:rsidRPr="00BD4853" w:rsidR="00981273">
        <w:t xml:space="preserve">No. </w:t>
      </w:r>
      <w:r w:rsidRPr="00BD4853" w:rsidR="00032180">
        <w:t xml:space="preserve">1 </w:t>
      </w:r>
      <w:r w:rsidRPr="00BD4853" w:rsidR="00DE4F40">
        <w:t>to</w:t>
      </w:r>
      <w:r w:rsidRPr="00BD4853" w:rsidR="001E7164">
        <w:t xml:space="preserve"> the Convention</w:t>
      </w:r>
      <w:r w:rsidRPr="00BD4853" w:rsidR="00032180">
        <w:t>.</w:t>
      </w:r>
    </w:p>
    <w:p w:rsidRPr="00BD4853" w:rsidR="006B4FFF" w:rsidP="00BD4853" w:rsidRDefault="00BD4853">
      <w:pPr>
        <w:pStyle w:val="ECHRPara"/>
      </w:pPr>
      <w:fldSimple w:instr=" SEQ level0 \*arabic ">
        <w:r w:rsidRPr="00BD4853">
          <w:rPr>
            <w:noProof/>
          </w:rPr>
          <w:t>51</w:t>
        </w:r>
      </w:fldSimple>
      <w:r w:rsidRPr="00BD4853" w:rsidR="00573B7B">
        <w:t xml:space="preserve">.  With regard to the general principles as established in this regard by the Court (see, with further references, </w:t>
      </w:r>
      <w:r w:rsidRPr="00BD4853" w:rsidR="00573B7B">
        <w:rPr>
          <w:i/>
          <w:lang w:val="en-GB"/>
        </w:rPr>
        <w:t>Fabris</w:t>
      </w:r>
      <w:r w:rsidRPr="00BD4853" w:rsidR="00573B7B">
        <w:rPr>
          <w:lang w:val="en-GB"/>
        </w:rPr>
        <w:t>, cited above</w:t>
      </w:r>
      <w:r w:rsidRPr="00BD4853" w:rsidR="00573B7B">
        <w:rPr>
          <w:snapToGrid w:val="0"/>
          <w:lang w:val="en-GB"/>
        </w:rPr>
        <w:t>, §§ 49</w:t>
      </w:r>
      <w:r w:rsidRPr="00BD4853" w:rsidR="00E356E9">
        <w:rPr>
          <w:snapToGrid w:val="0"/>
          <w:lang w:val="en-GB"/>
        </w:rPr>
        <w:t>-</w:t>
      </w:r>
      <w:r w:rsidRPr="00BD4853" w:rsidR="00573B7B">
        <w:rPr>
          <w:snapToGrid w:val="0"/>
          <w:lang w:val="en-GB"/>
        </w:rPr>
        <w:t>5</w:t>
      </w:r>
      <w:r w:rsidRPr="00BD4853" w:rsidR="00E356E9">
        <w:rPr>
          <w:snapToGrid w:val="0"/>
          <w:lang w:val="en-GB"/>
        </w:rPr>
        <w:t>1</w:t>
      </w:r>
      <w:r w:rsidRPr="00BD4853" w:rsidR="00573B7B">
        <w:rPr>
          <w:snapToGrid w:val="0"/>
          <w:lang w:val="en-GB"/>
        </w:rPr>
        <w:t>)</w:t>
      </w:r>
      <w:r w:rsidRPr="00BD4853" w:rsidR="00E356E9">
        <w:rPr>
          <w:snapToGrid w:val="0"/>
          <w:lang w:val="en-GB"/>
        </w:rPr>
        <w:t xml:space="preserve">, the Court </w:t>
      </w:r>
      <w:r w:rsidRPr="00BD4853" w:rsidR="00D04515">
        <w:rPr>
          <w:snapToGrid w:val="0"/>
          <w:lang w:val="en-GB"/>
        </w:rPr>
        <w:t xml:space="preserve">reiterates, in particular, that in cases </w:t>
      </w:r>
      <w:r w:rsidRPr="00BD4853" w:rsidR="00032180">
        <w:t xml:space="preserve">concerning a complaint under Article 14 in conjunction with Article 1 of Protocol No. 1 that the applicant has been denied all or part of a particular asset on a discriminatory ground covered by Article 14, the relevant test is whether, but for the discriminatory ground about which the applicant complains, he or she would have had a right, enforceable under domestic law, in respect of the asset in question (see </w:t>
      </w:r>
      <w:r w:rsidRPr="00BD4853" w:rsidR="00CB3212">
        <w:rPr>
          <w:i/>
        </w:rPr>
        <w:t>Fabris</w:t>
      </w:r>
      <w:r w:rsidRPr="00BD4853" w:rsidR="00CB3212">
        <w:t>, cited above, § 52</w:t>
      </w:r>
      <w:r w:rsidRPr="00BD4853" w:rsidR="00032180">
        <w:t>). That test is satisfied in the present case.</w:t>
      </w:r>
      <w:r w:rsidRPr="00BD4853" w:rsidR="00D04515">
        <w:rPr>
          <w:snapToGrid w:val="0"/>
          <w:lang w:val="en-GB"/>
        </w:rPr>
        <w:t xml:space="preserve"> </w:t>
      </w:r>
      <w:r w:rsidRPr="00BD4853" w:rsidR="00F66D4F">
        <w:rPr>
          <w:snapToGrid w:val="0"/>
          <w:lang w:val="en-GB"/>
        </w:rPr>
        <w:t>It was</w:t>
      </w:r>
      <w:r w:rsidRPr="00BD4853" w:rsidR="00D04515">
        <w:t xml:space="preserve"> purely on account of their status as children born outside marriage that the applicants were refused the right to inherit from their fathers</w:t>
      </w:r>
      <w:r w:rsidRPr="00BD4853">
        <w:t>’</w:t>
      </w:r>
      <w:r w:rsidRPr="00BD4853" w:rsidR="00D04515">
        <w:t xml:space="preserve"> estates.</w:t>
      </w:r>
    </w:p>
    <w:p w:rsidRPr="00BD4853" w:rsidR="00CB3212" w:rsidP="00BD4853" w:rsidRDefault="00BD4853">
      <w:pPr>
        <w:pStyle w:val="ECHRPara"/>
      </w:pPr>
      <w:fldSimple w:instr=" SEQ level0 \*arabic ">
        <w:r w:rsidRPr="00BD4853">
          <w:rPr>
            <w:noProof/>
          </w:rPr>
          <w:t>52</w:t>
        </w:r>
      </w:fldSimple>
      <w:r w:rsidRPr="00BD4853" w:rsidR="00CB3212">
        <w:t>.  It follows that the applicants</w:t>
      </w:r>
      <w:r w:rsidRPr="00BD4853">
        <w:t>’</w:t>
      </w:r>
      <w:r w:rsidRPr="00BD4853" w:rsidR="00CB3212">
        <w:t xml:space="preserve"> pecuniary interests fall within the scope of Article 1 of Protocol No. 1 </w:t>
      </w:r>
      <w:r w:rsidRPr="00BD4853" w:rsidR="00F7687D">
        <w:t>to</w:t>
      </w:r>
      <w:r w:rsidRPr="00BD4853" w:rsidR="00882F79">
        <w:t xml:space="preserve"> the Convention </w:t>
      </w:r>
      <w:r w:rsidRPr="00BD4853" w:rsidR="00CB3212">
        <w:t>and the right to the peaceful enjoyment of possessions which it safeguards. This is sufficient to render Article 14 of the Convention applicable.</w:t>
      </w:r>
    </w:p>
    <w:p w:rsidRPr="00BD4853" w:rsidR="00882F79" w:rsidP="00BD4853" w:rsidRDefault="00882F79">
      <w:pPr>
        <w:pStyle w:val="ECHRHeading3"/>
      </w:pPr>
      <w:r w:rsidRPr="00BD4853">
        <w:t>3.</w:t>
      </w:r>
      <w:r w:rsidRPr="00BD4853" w:rsidR="00847B08">
        <w:t>  </w:t>
      </w:r>
      <w:r w:rsidRPr="00BD4853">
        <w:t>Conclusion</w:t>
      </w:r>
    </w:p>
    <w:p w:rsidRPr="00BD4853" w:rsidR="00014566" w:rsidP="00BD4853" w:rsidRDefault="00BD4853">
      <w:pPr>
        <w:pStyle w:val="ECHRPara"/>
        <w:rPr>
          <w:lang w:val="en-GB"/>
        </w:rPr>
      </w:pPr>
      <w:fldSimple w:instr=" SEQ level0 \*arabic ">
        <w:r w:rsidRPr="00BD4853">
          <w:rPr>
            <w:noProof/>
          </w:rPr>
          <w:t>53</w:t>
        </w:r>
      </w:fldSimple>
      <w:r w:rsidRPr="00BD4853" w:rsidR="00CB3212">
        <w:t>.  </w:t>
      </w:r>
      <w:r w:rsidRPr="00BD4853" w:rsidR="00014566">
        <w:rPr>
          <w:lang w:val="en-GB"/>
        </w:rPr>
        <w:t>The Court notes that the application</w:t>
      </w:r>
      <w:r w:rsidRPr="00BD4853" w:rsidR="00177BCB">
        <w:rPr>
          <w:lang w:val="en-GB"/>
        </w:rPr>
        <w:t>s</w:t>
      </w:r>
      <w:r w:rsidRPr="00BD4853" w:rsidR="00CB3212">
        <w:rPr>
          <w:lang w:val="en-GB"/>
        </w:rPr>
        <w:t xml:space="preserve"> </w:t>
      </w:r>
      <w:r w:rsidRPr="00BD4853" w:rsidR="00177BCB">
        <w:rPr>
          <w:lang w:val="en-GB"/>
        </w:rPr>
        <w:t>are</w:t>
      </w:r>
      <w:r w:rsidRPr="00BD4853" w:rsidR="00CB3212">
        <w:rPr>
          <w:lang w:val="en-GB"/>
        </w:rPr>
        <w:t xml:space="preserve"> </w:t>
      </w:r>
      <w:r w:rsidRPr="00BD4853" w:rsidR="00014566">
        <w:rPr>
          <w:lang w:val="en-GB"/>
        </w:rPr>
        <w:t xml:space="preserve">not manifestly ill-founded within the meaning of Article 35 § 3 (a) of the Convention. It further notes that </w:t>
      </w:r>
      <w:r w:rsidRPr="00BD4853" w:rsidR="00882F79">
        <w:rPr>
          <w:lang w:val="en-GB"/>
        </w:rPr>
        <w:t>they are</w:t>
      </w:r>
      <w:r w:rsidRPr="00BD4853" w:rsidR="00014566">
        <w:rPr>
          <w:lang w:val="en-GB"/>
        </w:rPr>
        <w:t xml:space="preserve"> not inadm</w:t>
      </w:r>
      <w:r w:rsidRPr="00BD4853" w:rsidR="00CB3212">
        <w:rPr>
          <w:lang w:val="en-GB"/>
        </w:rPr>
        <w:t>issible on any other grounds. They</w:t>
      </w:r>
      <w:r w:rsidRPr="00BD4853" w:rsidR="00014566">
        <w:rPr>
          <w:lang w:val="en-GB"/>
        </w:rPr>
        <w:t xml:space="preserve"> must therefore be declared admissible.</w:t>
      </w:r>
    </w:p>
    <w:p w:rsidRPr="00BD4853" w:rsidR="00014566" w:rsidP="00BD4853" w:rsidRDefault="00014566">
      <w:pPr>
        <w:pStyle w:val="ECHRHeading2"/>
        <w:rPr>
          <w:lang w:val="en-GB"/>
        </w:rPr>
      </w:pPr>
      <w:r w:rsidRPr="00BD4853">
        <w:rPr>
          <w:lang w:val="en-GB"/>
        </w:rPr>
        <w:t>B.  Merits</w:t>
      </w:r>
    </w:p>
    <w:p w:rsidRPr="00BD4853" w:rsidR="00B84A5A" w:rsidP="00BD4853" w:rsidRDefault="00B84A5A">
      <w:pPr>
        <w:pStyle w:val="ECHRHeading3"/>
        <w:rPr>
          <w:lang w:val="en-GB"/>
        </w:rPr>
      </w:pPr>
      <w:r w:rsidRPr="00BD4853">
        <w:rPr>
          <w:lang w:val="en-GB"/>
        </w:rPr>
        <w:t>1.</w:t>
      </w:r>
      <w:r w:rsidRPr="00BD4853" w:rsidR="00847B08">
        <w:rPr>
          <w:lang w:val="en-GB"/>
        </w:rPr>
        <w:t>  </w:t>
      </w:r>
      <w:r w:rsidRPr="00BD4853">
        <w:rPr>
          <w:lang w:val="en-GB"/>
        </w:rPr>
        <w:t>The parties</w:t>
      </w:r>
      <w:r w:rsidRPr="00BD4853" w:rsidR="00BD4853">
        <w:rPr>
          <w:lang w:val="en-GB"/>
        </w:rPr>
        <w:t>’</w:t>
      </w:r>
      <w:r w:rsidRPr="00BD4853">
        <w:rPr>
          <w:lang w:val="en-GB"/>
        </w:rPr>
        <w:t xml:space="preserve"> submissions</w:t>
      </w:r>
    </w:p>
    <w:p w:rsidRPr="00BD4853" w:rsidR="00B84A5A" w:rsidP="00BD4853" w:rsidRDefault="00BD4853">
      <w:pPr>
        <w:pStyle w:val="ECHRPara"/>
      </w:pPr>
      <w:fldSimple w:instr=" SEQ level0 \*arabic ">
        <w:r w:rsidRPr="00BD4853">
          <w:rPr>
            <w:noProof/>
          </w:rPr>
          <w:t>54</w:t>
        </w:r>
      </w:fldSimple>
      <w:r w:rsidRPr="00BD4853" w:rsidR="00B84A5A">
        <w:t>.  The first applicant submitted that the Second Inheritance Rights Equalisation Act of 12 April 2011 had not been able to prevent unjustified discrimination against him as it had only removed the difference between children born outside marriage before and after 1 July 1949 in cases whe</w:t>
      </w:r>
      <w:r w:rsidRPr="00BD4853" w:rsidR="001750DE">
        <w:t>re</w:t>
      </w:r>
      <w:r w:rsidRPr="00BD4853" w:rsidR="00B84A5A">
        <w:t xml:space="preserve"> the father had died after 28 May 2009. </w:t>
      </w:r>
      <w:r w:rsidRPr="00BD4853" w:rsidR="00B84A5A">
        <w:rPr>
          <w:lang w:val="en-GB"/>
        </w:rPr>
        <w:t>In cases where the father had died before 28 May 2009 the difference remained in force. In the light of the Court</w:t>
      </w:r>
      <w:r w:rsidRPr="00BD4853">
        <w:rPr>
          <w:lang w:val="en-GB"/>
        </w:rPr>
        <w:t>’</w:t>
      </w:r>
      <w:r w:rsidRPr="00BD4853" w:rsidR="00B84A5A">
        <w:rPr>
          <w:lang w:val="en-GB"/>
        </w:rPr>
        <w:t xml:space="preserve">s case-law, any </w:t>
      </w:r>
      <w:r w:rsidRPr="00BD4853" w:rsidR="00B84A5A">
        <w:t>legitimate expectation that the deceased and their families might have had was to be subordinate to the imperative of equal treatment between children born outside and within marriage.</w:t>
      </w:r>
    </w:p>
    <w:p w:rsidRPr="00BD4853" w:rsidR="00B84A5A" w:rsidP="00BD4853" w:rsidRDefault="00BD4853">
      <w:pPr>
        <w:pStyle w:val="ECHRPara"/>
      </w:pPr>
      <w:fldSimple w:instr=" SEQ level0 \*arabic ">
        <w:r w:rsidRPr="00BD4853">
          <w:rPr>
            <w:noProof/>
          </w:rPr>
          <w:t>55</w:t>
        </w:r>
      </w:fldSimple>
      <w:r w:rsidRPr="00BD4853" w:rsidR="00B84A5A">
        <w:t>. </w:t>
      </w:r>
      <w:r w:rsidRPr="00BD4853" w:rsidR="003B4061">
        <w:t> </w:t>
      </w:r>
      <w:r w:rsidRPr="00BD4853" w:rsidR="00B84A5A">
        <w:t xml:space="preserve">According to the second applicant, the application of the Second Inheritance Rights Equalisation Act of 12 April 2011 had discriminated against him as it had failed to establish a reasonable relationship of proportionality between the means employed and the aim sought to be achieved. If the German legislature had wanted to maintain the exclusion of children born outside marriage before the cut-off date of 1 July 1949 </w:t>
      </w:r>
      <w:r w:rsidRPr="00BD4853" w:rsidR="00B84A5A">
        <w:rPr>
          <w:lang w:val="en-GB"/>
        </w:rPr>
        <w:t xml:space="preserve">in cases where the father had died before 28 May 2009 </w:t>
      </w:r>
      <w:r w:rsidRPr="00BD4853" w:rsidR="00B84A5A">
        <w:t>from any statutory inheritance claims, compensation claims against the heirs should have been allowed to ensure conformity of the Act with the Convention.</w:t>
      </w:r>
    </w:p>
    <w:p w:rsidRPr="00BD4853" w:rsidR="00B84A5A" w:rsidP="00BD4853" w:rsidRDefault="00BD4853">
      <w:pPr>
        <w:pStyle w:val="ECHRPara"/>
      </w:pPr>
      <w:fldSimple w:instr=" SEQ level0 \*arabic ">
        <w:r w:rsidRPr="00BD4853">
          <w:rPr>
            <w:noProof/>
          </w:rPr>
          <w:t>56</w:t>
        </w:r>
      </w:fldSimple>
      <w:r w:rsidRPr="00BD4853" w:rsidR="00B84A5A">
        <w:t xml:space="preserve">.  The Government, on the contrary, submitted that the difference in treatment which had persisted after the Second Inheritance Rights Equalisation Act of 12 April 2011 had come into force had been based on an objective and reasonable justification. It had been justified by the overriding concern of protecting the legitimate expectations of </w:t>
      </w:r>
      <w:r w:rsidRPr="00BD4853" w:rsidR="009653BE">
        <w:t xml:space="preserve">people </w:t>
      </w:r>
      <w:r w:rsidRPr="00BD4853" w:rsidR="00B84A5A">
        <w:t xml:space="preserve">who had already acquired rights in an inheritance case, which </w:t>
      </w:r>
      <w:r w:rsidRPr="00BD4853" w:rsidR="009653BE">
        <w:t xml:space="preserve">themselves </w:t>
      </w:r>
      <w:r w:rsidRPr="00BD4853" w:rsidR="00B84A5A">
        <w:t>were protected by Article 1 of Protocol No. 1 to the Convention. The retroactive extension of the amendment to the date of the Court</w:t>
      </w:r>
      <w:r w:rsidRPr="00BD4853">
        <w:t>’</w:t>
      </w:r>
      <w:r w:rsidRPr="00BD4853" w:rsidR="00B84A5A">
        <w:t xml:space="preserve">s judgment in </w:t>
      </w:r>
      <w:r w:rsidRPr="00BD4853" w:rsidR="00B84A5A">
        <w:rPr>
          <w:i/>
        </w:rPr>
        <w:t>Brauer</w:t>
      </w:r>
      <w:r w:rsidRPr="00BD4853" w:rsidR="00B84A5A">
        <w:t xml:space="preserve"> (cited above) had struck a proportionate balance between the interests of descendants affected by that amendment and those of children born outside marriage. </w:t>
      </w:r>
      <w:r w:rsidRPr="00BD4853" w:rsidR="00B84A5A">
        <w:rPr>
          <w:lang w:val="en-GB"/>
        </w:rPr>
        <w:t>The fact that under domestic law an heir acquired the estate upon a decedent</w:t>
      </w:r>
      <w:r w:rsidRPr="00BD4853">
        <w:rPr>
          <w:lang w:val="en-GB"/>
        </w:rPr>
        <w:t>’</w:t>
      </w:r>
      <w:r w:rsidRPr="00BD4853" w:rsidR="00B84A5A">
        <w:rPr>
          <w:lang w:val="en-GB"/>
        </w:rPr>
        <w:t>s death without any further legal action necessary precluded a more far-reaching change of that legal provision.</w:t>
      </w:r>
      <w:r w:rsidRPr="00BD4853" w:rsidR="00B84A5A">
        <w:t xml:space="preserve"> Furthermore, it would cause legal and practical problems in inheritance cases where the estate had already been divided between the heirs. Proportionality, therefore, had not required a further expansion of the retroactive effect of the law, particularly with regard to the principle of legal certainty and the underlying principles set out in the Court</w:t>
      </w:r>
      <w:r w:rsidRPr="00BD4853">
        <w:t>’</w:t>
      </w:r>
      <w:r w:rsidRPr="00BD4853" w:rsidR="00B84A5A">
        <w:t xml:space="preserve">s judgment in </w:t>
      </w:r>
      <w:r w:rsidRPr="00BD4853" w:rsidR="00B84A5A">
        <w:rPr>
          <w:i/>
          <w:lang w:val="en-GB"/>
        </w:rPr>
        <w:t xml:space="preserve">Marckx </w:t>
      </w:r>
      <w:r w:rsidRPr="00BD4853" w:rsidR="00B84A5A">
        <w:rPr>
          <w:lang w:val="en-GB"/>
        </w:rPr>
        <w:t>(cited above)</w:t>
      </w:r>
      <w:r w:rsidRPr="00BD4853" w:rsidR="00B84A5A">
        <w:t>.</w:t>
      </w:r>
    </w:p>
    <w:p w:rsidRPr="00BD4853" w:rsidR="00B84A5A" w:rsidP="00BD4853" w:rsidRDefault="00B84A5A">
      <w:pPr>
        <w:pStyle w:val="ECHRHeading3"/>
      </w:pPr>
      <w:r w:rsidRPr="00BD4853">
        <w:t>2.</w:t>
      </w:r>
      <w:r w:rsidRPr="00BD4853" w:rsidR="00847B08">
        <w:t>  </w:t>
      </w:r>
      <w:r w:rsidRPr="00BD4853">
        <w:t>The Court</w:t>
      </w:r>
      <w:r w:rsidRPr="00BD4853" w:rsidR="00BD4853">
        <w:rPr>
          <w:lang w:val="en-GB"/>
        </w:rPr>
        <w:t>’</w:t>
      </w:r>
      <w:r w:rsidRPr="00BD4853">
        <w:t>s assessment</w:t>
      </w:r>
    </w:p>
    <w:p w:rsidRPr="00BD4853" w:rsidR="00B84A5A" w:rsidP="00BD4853" w:rsidRDefault="00B84A5A">
      <w:pPr>
        <w:pStyle w:val="ECHRHeading4"/>
      </w:pPr>
      <w:r w:rsidRPr="00BD4853">
        <w:t>(a)</w:t>
      </w:r>
      <w:r w:rsidRPr="00BD4853" w:rsidR="00847B08">
        <w:t>  </w:t>
      </w:r>
      <w:r w:rsidRPr="00BD4853">
        <w:t>General principles</w:t>
      </w:r>
    </w:p>
    <w:p w:rsidRPr="00BD4853" w:rsidR="004D7902" w:rsidP="00BD4853" w:rsidRDefault="00BD4853">
      <w:pPr>
        <w:pStyle w:val="ECHRPara"/>
      </w:pPr>
      <w:fldSimple w:instr=" SEQ level0 \*arabic ">
        <w:r w:rsidRPr="00BD4853">
          <w:rPr>
            <w:noProof/>
          </w:rPr>
          <w:t>57</w:t>
        </w:r>
      </w:fldSimple>
      <w:r w:rsidRPr="00BD4853" w:rsidR="004D7902">
        <w:t xml:space="preserve">.  The Court reiterates that in the enjoyment of the rights and freedoms guaranteed by the Convention, Article 14 affords protection against the different treatment of persons in similar situations without an objective and reasonable justification. For the purposes of Article 14, a difference of treatment is discriminatory if it “has no objective and reasonable justification”, that is, if it does not pursue a “legitimate aim” or if there is not a “reasonable relationship of proportionality between the means employed and the aim sought to be realised” (see </w:t>
      </w:r>
      <w:r w:rsidRPr="00BD4853" w:rsidR="004D7902">
        <w:rPr>
          <w:i/>
        </w:rPr>
        <w:t>Fabris</w:t>
      </w:r>
      <w:r w:rsidRPr="00BD4853" w:rsidR="004D7902">
        <w:t xml:space="preserve">, cited above, § 56, and </w:t>
      </w:r>
      <w:r w:rsidRPr="00BD4853" w:rsidR="004D7902">
        <w:rPr>
          <w:i/>
        </w:rPr>
        <w:t>Mazurek v. France</w:t>
      </w:r>
      <w:r w:rsidRPr="00BD4853" w:rsidR="004D7902">
        <w:t>, no. 34406/07, §§ 46 and 48, ECHR 2000-II).</w:t>
      </w:r>
    </w:p>
    <w:p w:rsidRPr="00BD4853" w:rsidR="004D7902" w:rsidP="00BD4853" w:rsidRDefault="00BD4853">
      <w:pPr>
        <w:pStyle w:val="ECHRPara"/>
      </w:pPr>
      <w:fldSimple w:instr=" SEQ level0 \*arabic ">
        <w:r w:rsidRPr="00BD4853">
          <w:rPr>
            <w:noProof/>
          </w:rPr>
          <w:t>58</w:t>
        </w:r>
      </w:fldSimple>
      <w:r w:rsidRPr="00BD4853" w:rsidR="004D7902">
        <w:t xml:space="preserve">.  The Court considers in this connection that the member States of the Council of Europe attach great importance to the question of equality between children born in and out of wedlock as regards their civil rights. Very weighty reasons would accordingly have to be advanced before a difference of treatment on the grounds of birth outside marriage could be regarded as compatible with the Convention (see, with further references, </w:t>
      </w:r>
      <w:r w:rsidRPr="00BD4853" w:rsidR="004D7902">
        <w:rPr>
          <w:i/>
        </w:rPr>
        <w:t>Fabris</w:t>
      </w:r>
      <w:r w:rsidRPr="00BD4853" w:rsidR="004D7902">
        <w:t>, cited above, § 59).</w:t>
      </w:r>
    </w:p>
    <w:p w:rsidRPr="00BD4853" w:rsidR="004D7902" w:rsidP="00BD4853" w:rsidRDefault="00BD4853">
      <w:pPr>
        <w:pStyle w:val="ECHRPara"/>
      </w:pPr>
      <w:fldSimple w:instr=" SEQ level0 \*arabic ">
        <w:r w:rsidRPr="00BD4853">
          <w:rPr>
            <w:noProof/>
          </w:rPr>
          <w:t>59</w:t>
        </w:r>
      </w:fldSimple>
      <w:r w:rsidRPr="00BD4853" w:rsidR="003B3BE9">
        <w:t>.  </w:t>
      </w:r>
      <w:r w:rsidRPr="00BD4853" w:rsidR="004D7902">
        <w:t xml:space="preserve">Therefore, with regard to the question of whether there was a reasonable relationship between the means employed and the legitimate aim pursued, the Court reiterates that the aspect of protecting the “legitimate expectations” of the deceased and their families must be subordinate to the imperative of the equal treatment of children born outside and within marriage (see </w:t>
      </w:r>
      <w:r w:rsidRPr="00BD4853" w:rsidR="004D7902">
        <w:rPr>
          <w:i/>
        </w:rPr>
        <w:t>Fabris</w:t>
      </w:r>
      <w:r w:rsidRPr="00BD4853" w:rsidR="004D7902">
        <w:t xml:space="preserve">, § 68, and </w:t>
      </w:r>
      <w:r w:rsidRPr="00BD4853" w:rsidR="004D7902">
        <w:rPr>
          <w:i/>
        </w:rPr>
        <w:t>Brauer</w:t>
      </w:r>
      <w:r w:rsidRPr="00BD4853" w:rsidR="004D7902">
        <w:t>, § 43, both cited above).</w:t>
      </w:r>
    </w:p>
    <w:p w:rsidRPr="00BD4853" w:rsidR="004D7902" w:rsidP="00BD4853" w:rsidRDefault="00BD4853">
      <w:pPr>
        <w:pStyle w:val="ECHRPara"/>
      </w:pPr>
      <w:fldSimple w:instr=" SEQ level0 \*arabic ">
        <w:r w:rsidRPr="00BD4853">
          <w:rPr>
            <w:noProof/>
          </w:rPr>
          <w:t>60</w:t>
        </w:r>
      </w:fldSimple>
      <w:r w:rsidRPr="00BD4853" w:rsidR="004D7902">
        <w:t xml:space="preserve">.  Nevertheless, the Court accepts that the protection of acquired rights can serve the interests of legal certainty, which is part of the concept of the rule of law and thus an underlying value of the Convention (see </w:t>
      </w:r>
      <w:r w:rsidRPr="00BD4853" w:rsidR="004D7902">
        <w:rPr>
          <w:i/>
        </w:rPr>
        <w:t>Fabris</w:t>
      </w:r>
      <w:r w:rsidRPr="00BD4853" w:rsidR="004D7902">
        <w:t xml:space="preserve">, cited above, § 66; </w:t>
      </w:r>
      <w:r w:rsidRPr="00BD4853" w:rsidR="004D7902">
        <w:rPr>
          <w:i/>
        </w:rPr>
        <w:t>Nejdet Şahin and Perihan Şahin v. Turkey</w:t>
      </w:r>
      <w:r w:rsidRPr="00BD4853" w:rsidR="004D7902">
        <w:t xml:space="preserve"> [GC], no.</w:t>
      </w:r>
      <w:r w:rsidRPr="00BD4853" w:rsidR="00EC07F8">
        <w:t> </w:t>
      </w:r>
      <w:r w:rsidRPr="00BD4853" w:rsidR="004D7902">
        <w:t xml:space="preserve">13279/05, §§ 56-57, 20 October 2011; and </w:t>
      </w:r>
      <w:r w:rsidRPr="00BD4853" w:rsidR="004D7902">
        <w:rPr>
          <w:i/>
        </w:rPr>
        <w:t>Brumărescu v. Romania</w:t>
      </w:r>
      <w:r w:rsidRPr="00BD4853" w:rsidR="004D7902">
        <w:t xml:space="preserve"> [GC], no. 28342/95, § 61, ECHR 1999</w:t>
      </w:r>
      <w:r w:rsidRPr="00BD4853" w:rsidR="004D7902">
        <w:noBreakHyphen/>
        <w:t>VII).</w:t>
      </w:r>
    </w:p>
    <w:p w:rsidRPr="00BD4853" w:rsidR="004D7902" w:rsidP="00BD4853" w:rsidRDefault="00BD4853">
      <w:pPr>
        <w:pStyle w:val="ECHRPara"/>
      </w:pPr>
      <w:fldSimple w:instr=" SEQ level0 \*arabic ">
        <w:r w:rsidRPr="00BD4853">
          <w:rPr>
            <w:noProof/>
          </w:rPr>
          <w:t>61</w:t>
        </w:r>
      </w:fldSimple>
      <w:r w:rsidRPr="00BD4853" w:rsidR="004D7902">
        <w:t xml:space="preserve">.  Furthermore, the States have the right to enact transitional provisions where they adopt a legislative reform with a view to complying with their obligations under Article 46 § 1 of the Convention (see, for example, </w:t>
      </w:r>
      <w:r w:rsidRPr="00BD4853" w:rsidR="004D7902">
        <w:rPr>
          <w:i/>
        </w:rPr>
        <w:t>Fabris</w:t>
      </w:r>
      <w:r w:rsidRPr="00BD4853" w:rsidR="004D7902">
        <w:t xml:space="preserve">, cited above, § 74; and </w:t>
      </w:r>
      <w:r w:rsidRPr="00BD4853" w:rsidR="004D7902">
        <w:rPr>
          <w:i/>
        </w:rPr>
        <w:t>P.B. and J.S. v. Austria</w:t>
      </w:r>
      <w:r w:rsidRPr="00BD4853" w:rsidR="004D7902">
        <w:t>, no. 18984/02, § 49, 22 July 2010).</w:t>
      </w:r>
    </w:p>
    <w:p w:rsidRPr="00BD4853" w:rsidR="004D7902" w:rsidP="00BD4853" w:rsidRDefault="00BD4853">
      <w:pPr>
        <w:pStyle w:val="ECHRPara"/>
      </w:pPr>
      <w:fldSimple w:instr=" SEQ level0 \*arabic ">
        <w:r w:rsidRPr="00BD4853">
          <w:rPr>
            <w:noProof/>
          </w:rPr>
          <w:t>62</w:t>
        </w:r>
      </w:fldSimple>
      <w:r w:rsidRPr="00BD4853" w:rsidR="004D7902">
        <w:t xml:space="preserve">.  The Court reiterates that its role is not to rule on which interpretation of the domestic legislation is the most correct one, but to determine whether the manner in which that legislation has been applied has infringed the rights secured to the applicant under Article 14 of the Convention (see </w:t>
      </w:r>
      <w:r w:rsidRPr="00BD4853" w:rsidR="004D7902">
        <w:rPr>
          <w:i/>
        </w:rPr>
        <w:t>Fabris</w:t>
      </w:r>
      <w:r w:rsidRPr="00BD4853" w:rsidR="004D7902">
        <w:t>, cited above, § 63). In the instant case its task is thus to establish whether the application of an inflexible cut-off date struck a reasonable relationship of proportionality between the means employed and the legitimate aim pursued or whether it constituted an unjustified discrimination of a child born outside marriage. In this regard, a fair balance has to be struck by the domestic authorities between the various interests involved, namely the interests of the deceased</w:t>
      </w:r>
      <w:r w:rsidRPr="00BD4853">
        <w:t>’</w:t>
      </w:r>
      <w:r w:rsidRPr="00BD4853" w:rsidR="004D7902">
        <w:t>s family on the one hand and those of the children born outside marriage on the other hand, and, in striking such a balance, it is necessary to have regard to the question whether the decision would be in conformity with the domestic constitutional order and the principle of legal certainty (</w:t>
      </w:r>
      <w:r w:rsidRPr="00BD4853" w:rsidR="00B81337">
        <w:t xml:space="preserve">see, </w:t>
      </w:r>
      <w:r w:rsidRPr="00BD4853" w:rsidR="004D7902">
        <w:rPr>
          <w:i/>
        </w:rPr>
        <w:t>mutatis mutandis</w:t>
      </w:r>
      <w:r w:rsidRPr="00BD4853" w:rsidR="004D7902">
        <w:t xml:space="preserve"> </w:t>
      </w:r>
      <w:r w:rsidRPr="00BD4853" w:rsidR="004D7902">
        <w:rPr>
          <w:i/>
        </w:rPr>
        <w:t>Fabris</w:t>
      </w:r>
      <w:r w:rsidRPr="00BD4853" w:rsidR="004D7902">
        <w:t>, cited above, § 75).</w:t>
      </w:r>
    </w:p>
    <w:p w:rsidRPr="00BD4853" w:rsidR="004D7902" w:rsidP="00BD4853" w:rsidRDefault="00BD4853">
      <w:pPr>
        <w:pStyle w:val="ECHRPara"/>
      </w:pPr>
      <w:fldSimple w:instr=" SEQ level0 \*arabic ">
        <w:r w:rsidRPr="00BD4853">
          <w:rPr>
            <w:noProof/>
          </w:rPr>
          <w:t>63</w:t>
        </w:r>
      </w:fldSimple>
      <w:r w:rsidRPr="00BD4853" w:rsidR="004D7902">
        <w:t xml:space="preserve">.  In the specific circumstances of the </w:t>
      </w:r>
      <w:r w:rsidRPr="00BD4853" w:rsidR="004D7902">
        <w:rPr>
          <w:i/>
        </w:rPr>
        <w:t>Fabris</w:t>
      </w:r>
      <w:r w:rsidRPr="00BD4853" w:rsidR="004D7902">
        <w:t xml:space="preserve"> case (cited above, §</w:t>
      </w:r>
      <w:r w:rsidRPr="00BD4853" w:rsidR="00B81337">
        <w:t> </w:t>
      </w:r>
      <w:r w:rsidRPr="00BD4853" w:rsidR="004D7902">
        <w:t>68) the Court, when balancing the various interests at stake, took into account whether the persons concerned knew or should have known about the existence of a child born outside marriage who might be entitled to a share in the estate and whether the statutory limitation period was still open with the consequence that the heirs</w:t>
      </w:r>
      <w:r w:rsidRPr="00BD4853">
        <w:t>’</w:t>
      </w:r>
      <w:r w:rsidRPr="00BD4853" w:rsidR="004D7902">
        <w:t xml:space="preserve"> inheritance rights were, under domestic law, liable to be challenged. </w:t>
      </w:r>
      <w:r w:rsidRPr="00BD4853" w:rsidR="00C81120">
        <w:t xml:space="preserve">The Court further found in that case to be important </w:t>
      </w:r>
      <w:r w:rsidRPr="00BD4853" w:rsidR="004D7902">
        <w:t>that the action of the applicant was pending before the national courts at the time of the delivery of the Court</w:t>
      </w:r>
      <w:r w:rsidRPr="00BD4853">
        <w:t>’</w:t>
      </w:r>
      <w:r w:rsidRPr="00BD4853" w:rsidR="004D7902">
        <w:t xml:space="preserve">s judgment in the case of </w:t>
      </w:r>
      <w:r w:rsidRPr="00BD4853" w:rsidR="004D7902">
        <w:rPr>
          <w:i/>
        </w:rPr>
        <w:t>Mazurek</w:t>
      </w:r>
      <w:r w:rsidRPr="00BD4853" w:rsidR="004D7902">
        <w:t xml:space="preserve"> (cited above).</w:t>
      </w:r>
    </w:p>
    <w:p w:rsidRPr="00BD4853" w:rsidR="004D7902" w:rsidP="00BD4853" w:rsidRDefault="00BD4853">
      <w:pPr>
        <w:pStyle w:val="ECHRPara"/>
      </w:pPr>
      <w:fldSimple w:instr=" SEQ level0 \*arabic ">
        <w:r w:rsidRPr="00BD4853">
          <w:rPr>
            <w:noProof/>
          </w:rPr>
          <w:t>64</w:t>
        </w:r>
      </w:fldSimple>
      <w:r w:rsidRPr="00BD4853" w:rsidR="004D7902">
        <w:t>.  The Court can accept therefore that if the inheritance rights of the deceased</w:t>
      </w:r>
      <w:r w:rsidRPr="00BD4853">
        <w:t>’</w:t>
      </w:r>
      <w:r w:rsidRPr="00BD4853" w:rsidR="004D7902">
        <w:t>s family have acquired legal force and can no longer be changed under national law, it is not necessary to set aside a final decision in the light of a judgment by the Court delivered after such decisions (compare</w:t>
      </w:r>
      <w:r w:rsidRPr="00BD4853" w:rsidR="00120334">
        <w:t xml:space="preserve">, </w:t>
      </w:r>
      <w:r w:rsidRPr="00BD4853" w:rsidR="00120334">
        <w:rPr>
          <w:i/>
        </w:rPr>
        <w:t>mutatis mutandis</w:t>
      </w:r>
      <w:r w:rsidRPr="00BD4853" w:rsidR="00120334">
        <w:t>,</w:t>
      </w:r>
      <w:r w:rsidRPr="00BD4853" w:rsidR="004D7902">
        <w:t xml:space="preserve"> </w:t>
      </w:r>
      <w:r w:rsidRPr="00BD4853" w:rsidR="004D7902">
        <w:rPr>
          <w:i/>
        </w:rPr>
        <w:t>Marckx</w:t>
      </w:r>
      <w:r w:rsidRPr="00BD4853" w:rsidR="004D7902">
        <w:t>, cited above, § 58). If, on the contrary, the inheritance rights of the deceased</w:t>
      </w:r>
      <w:r w:rsidRPr="00BD4853">
        <w:t>’</w:t>
      </w:r>
      <w:r w:rsidRPr="00BD4853" w:rsidR="004D7902">
        <w:t>s family are still open to be challenged under national law and thus the legal positions to be protected are only “relative”, the rights of children born outside marriage should be enforceable in the same way as any other third</w:t>
      </w:r>
      <w:r w:rsidRPr="00BD4853" w:rsidR="004D7902">
        <w:noBreakHyphen/>
        <w:t>party rights.</w:t>
      </w:r>
    </w:p>
    <w:p w:rsidRPr="00BD4853" w:rsidR="004D7902" w:rsidP="00BD4853" w:rsidRDefault="00BD4853">
      <w:pPr>
        <w:pStyle w:val="ECHRPara"/>
      </w:pPr>
      <w:fldSimple w:instr=" SEQ level0 \*arabic ">
        <w:r w:rsidRPr="00BD4853">
          <w:rPr>
            <w:noProof/>
          </w:rPr>
          <w:t>65</w:t>
        </w:r>
      </w:fldSimple>
      <w:r w:rsidRPr="00BD4853" w:rsidR="004D7902">
        <w:t>.  Therefore, in cases such as the present one, in which different persons</w:t>
      </w:r>
      <w:r w:rsidRPr="00BD4853">
        <w:t>’</w:t>
      </w:r>
      <w:r w:rsidRPr="00BD4853" w:rsidR="004D7902">
        <w:t xml:space="preserve"> rights protected by the Convention have to be balanced, the Court considers that the outcome of the application should not, in theory, vary according to whether it has been lodged with the Court by the “illegitimate” child deprived of inheritance rights under domestic law or by another heir allegedly being deprived of well-acquired rights (compare </w:t>
      </w:r>
      <w:r w:rsidRPr="00BD4853" w:rsidR="004D7902">
        <w:rPr>
          <w:i/>
        </w:rPr>
        <w:t>Von Hannover v. Germany</w:t>
      </w:r>
      <w:r w:rsidRPr="00BD4853" w:rsidR="004D7902">
        <w:t xml:space="preserve"> (no. 2) [GC], nos. 40660/08 and 60641/08, § 106, ECHR 2012).</w:t>
      </w:r>
    </w:p>
    <w:p w:rsidRPr="00BD4853" w:rsidR="00B84A5A" w:rsidP="00BD4853" w:rsidRDefault="00B84A5A">
      <w:pPr>
        <w:pStyle w:val="ECHRHeading4"/>
      </w:pPr>
      <w:r w:rsidRPr="00BD4853">
        <w:t>(b)</w:t>
      </w:r>
      <w:r w:rsidRPr="00BD4853" w:rsidR="00847B08">
        <w:t>  </w:t>
      </w:r>
      <w:r w:rsidRPr="00BD4853">
        <w:t>Application in the present case</w:t>
      </w:r>
    </w:p>
    <w:p w:rsidRPr="00BD4853" w:rsidR="00B84A5A" w:rsidP="00BD4853" w:rsidRDefault="00B84A5A">
      <w:pPr>
        <w:pStyle w:val="ECHRHeading5"/>
      </w:pPr>
      <w:r w:rsidRPr="00BD4853">
        <w:t>(i)</w:t>
      </w:r>
      <w:r w:rsidRPr="00BD4853" w:rsidR="00847B08">
        <w:t>  </w:t>
      </w:r>
      <w:r w:rsidRPr="00BD4853">
        <w:t xml:space="preserve">Whether there was a difference in treatment on </w:t>
      </w:r>
      <w:r w:rsidRPr="00BD4853" w:rsidR="00581FB9">
        <w:t xml:space="preserve">the </w:t>
      </w:r>
      <w:r w:rsidRPr="00BD4853">
        <w:t>grounds of birth outside marriage</w:t>
      </w:r>
    </w:p>
    <w:p w:rsidRPr="00BD4853" w:rsidR="003B4061" w:rsidP="00BD4853" w:rsidRDefault="00856AC9">
      <w:pPr>
        <w:pStyle w:val="ECHRPara"/>
      </w:pPr>
      <w:r w:rsidRPr="00BD4853">
        <w:rPr>
          <w:lang w:val="en-GB"/>
        </w:rPr>
        <w:fldChar w:fldCharType="begin"/>
      </w:r>
      <w:r w:rsidRPr="00BD4853">
        <w:rPr>
          <w:lang w:val="en-GB"/>
        </w:rPr>
        <w:instrText xml:space="preserve"> SEQ level0 \*arabic </w:instrText>
      </w:r>
      <w:r w:rsidRPr="00BD4853">
        <w:rPr>
          <w:lang w:val="en-GB"/>
        </w:rPr>
        <w:fldChar w:fldCharType="separate"/>
      </w:r>
      <w:r w:rsidRPr="00BD4853" w:rsidR="00BD4853">
        <w:rPr>
          <w:noProof/>
          <w:lang w:val="en-GB"/>
        </w:rPr>
        <w:t>66</w:t>
      </w:r>
      <w:r w:rsidRPr="00BD4853">
        <w:rPr>
          <w:lang w:val="en-GB"/>
        </w:rPr>
        <w:fldChar w:fldCharType="end"/>
      </w:r>
      <w:r w:rsidRPr="00BD4853">
        <w:rPr>
          <w:lang w:val="en-GB"/>
        </w:rPr>
        <w:t>.  </w:t>
      </w:r>
      <w:r w:rsidRPr="00BD4853" w:rsidR="00EE3D1D">
        <w:t>The Court notes</w:t>
      </w:r>
      <w:r w:rsidRPr="00BD4853" w:rsidR="00EC7EE3">
        <w:t xml:space="preserve"> </w:t>
      </w:r>
      <w:r w:rsidRPr="00BD4853" w:rsidR="00EE3D1D">
        <w:t xml:space="preserve">that the Government did not dispute </w:t>
      </w:r>
      <w:r w:rsidRPr="00BD4853" w:rsidR="00981273">
        <w:t xml:space="preserve">the fact </w:t>
      </w:r>
      <w:r w:rsidRPr="00BD4853" w:rsidR="00EE3D1D">
        <w:t>that the application of the</w:t>
      </w:r>
      <w:r w:rsidRPr="00BD4853" w:rsidR="000A6D37">
        <w:t xml:space="preserve"> amended version o</w:t>
      </w:r>
      <w:r w:rsidRPr="00BD4853" w:rsidR="003B4061">
        <w:t>f the first sentence of section </w:t>
      </w:r>
      <w:r w:rsidRPr="00BD4853" w:rsidR="000A6D37">
        <w:t>12(10)</w:t>
      </w:r>
      <w:r w:rsidRPr="00BD4853" w:rsidR="00581FB9">
        <w:t>(</w:t>
      </w:r>
      <w:r w:rsidRPr="00BD4853" w:rsidR="000A6D37">
        <w:t>2</w:t>
      </w:r>
      <w:r w:rsidRPr="00BD4853" w:rsidR="00581FB9">
        <w:t>)</w:t>
      </w:r>
      <w:r w:rsidRPr="00BD4853" w:rsidR="000A6D37">
        <w:t xml:space="preserve"> of the Children Born outside Marriage (Legal Status) Act</w:t>
      </w:r>
      <w:r w:rsidRPr="00BD4853" w:rsidR="00EE3D1D">
        <w:t xml:space="preserve"> gave rise to a difference in treatment for a child born outside marriage before the cut-off date of 1 July 1949</w:t>
      </w:r>
      <w:r w:rsidRPr="00BD4853" w:rsidR="00322958">
        <w:t xml:space="preserve">, </w:t>
      </w:r>
      <w:r w:rsidRPr="00BD4853" w:rsidR="007105C3">
        <w:t xml:space="preserve">where </w:t>
      </w:r>
      <w:r w:rsidRPr="00BD4853" w:rsidR="00C42CED">
        <w:t>the deceased had died before 28 May 2009</w:t>
      </w:r>
      <w:r w:rsidRPr="00BD4853" w:rsidR="00EE3D1D">
        <w:t>, as compared with</w:t>
      </w:r>
      <w:r w:rsidRPr="00BD4853" w:rsidR="000A6D37">
        <w:t xml:space="preserve"> other children</w:t>
      </w:r>
      <w:r w:rsidRPr="00BD4853" w:rsidR="00225594">
        <w:t>.</w:t>
      </w:r>
    </w:p>
    <w:p w:rsidRPr="00BD4853" w:rsidR="00EE3D1D" w:rsidP="00BD4853" w:rsidRDefault="00BD4853">
      <w:pPr>
        <w:pStyle w:val="ECHRPara"/>
      </w:pPr>
      <w:fldSimple w:instr=" SEQ level0 \*arabic ">
        <w:r w:rsidRPr="00BD4853">
          <w:rPr>
            <w:noProof/>
          </w:rPr>
          <w:t>67</w:t>
        </w:r>
      </w:fldSimple>
      <w:r w:rsidRPr="00BD4853" w:rsidR="00856AC9">
        <w:t>.  </w:t>
      </w:r>
      <w:r w:rsidRPr="00BD4853" w:rsidR="00EE3D1D">
        <w:t>It must therefore be determined whether the difference in treatment was justified.</w:t>
      </w:r>
    </w:p>
    <w:p w:rsidRPr="00BD4853" w:rsidR="00B84A5A" w:rsidP="00BD4853" w:rsidRDefault="00B84A5A">
      <w:pPr>
        <w:pStyle w:val="ECHRHeading5"/>
      </w:pPr>
      <w:r w:rsidRPr="00BD4853">
        <w:t>(ii)</w:t>
      </w:r>
      <w:r w:rsidRPr="00BD4853" w:rsidR="00847B08">
        <w:t>  </w:t>
      </w:r>
      <w:r w:rsidRPr="00BD4853">
        <w:t>Justification for the difference in treatment</w:t>
      </w:r>
    </w:p>
    <w:p w:rsidRPr="00BD4853" w:rsidR="00B84A5A" w:rsidP="00BD4853" w:rsidRDefault="00B84A5A">
      <w:pPr>
        <w:pStyle w:val="ECHRHeading6"/>
      </w:pPr>
      <w:r w:rsidRPr="00BD4853">
        <w:t>(</w:t>
      </w:r>
      <w:r w:rsidRPr="00BD4853">
        <w:rPr>
          <w:rFonts w:cstheme="majorHAnsi"/>
        </w:rPr>
        <w:t>α</w:t>
      </w:r>
      <w:r w:rsidRPr="00BD4853">
        <w:t>)</w:t>
      </w:r>
      <w:r w:rsidRPr="00BD4853" w:rsidR="00847B08">
        <w:t>  </w:t>
      </w:r>
      <w:r w:rsidRPr="00BD4853">
        <w:t>Pursuit of a legitimate aim</w:t>
      </w:r>
    </w:p>
    <w:p w:rsidRPr="00BD4853" w:rsidR="00D12D2B" w:rsidP="00BD4853" w:rsidRDefault="00BD4853">
      <w:pPr>
        <w:pStyle w:val="ECHRPara"/>
        <w:rPr>
          <w:lang w:val="en-GB"/>
        </w:rPr>
      </w:pPr>
      <w:fldSimple w:instr=" SEQ level0 \*arabic ">
        <w:r w:rsidRPr="00BD4853">
          <w:rPr>
            <w:noProof/>
          </w:rPr>
          <w:t>68</w:t>
        </w:r>
      </w:fldSimple>
      <w:r w:rsidRPr="00BD4853" w:rsidR="00D12D2B">
        <w:t>.  The Court notes</w:t>
      </w:r>
      <w:r w:rsidRPr="00BD4853" w:rsidR="00371AC1">
        <w:t>, at the outset,</w:t>
      </w:r>
      <w:r w:rsidRPr="00BD4853" w:rsidR="00D12D2B">
        <w:t xml:space="preserve"> that German</w:t>
      </w:r>
      <w:r w:rsidRPr="00BD4853" w:rsidR="0029451A">
        <w:t>y</w:t>
      </w:r>
      <w:r w:rsidRPr="00BD4853" w:rsidR="00D12D2B">
        <w:t xml:space="preserve"> amend</w:t>
      </w:r>
      <w:r w:rsidRPr="00BD4853" w:rsidR="0029451A">
        <w:t>ed</w:t>
      </w:r>
      <w:r w:rsidRPr="00BD4853" w:rsidR="00D12D2B">
        <w:t xml:space="preserve"> its legislation following the Court</w:t>
      </w:r>
      <w:r w:rsidRPr="00BD4853">
        <w:t>’</w:t>
      </w:r>
      <w:r w:rsidRPr="00BD4853" w:rsidR="00D12D2B">
        <w:t xml:space="preserve">s judgment in the case of </w:t>
      </w:r>
      <w:r w:rsidRPr="00BD4853" w:rsidR="00D12D2B">
        <w:rPr>
          <w:i/>
        </w:rPr>
        <w:t>Brauer</w:t>
      </w:r>
      <w:r w:rsidRPr="00BD4853" w:rsidR="00D12D2B">
        <w:t xml:space="preserve">, cited above, and reformed the rules of </w:t>
      </w:r>
      <w:r w:rsidRPr="00BD4853" w:rsidR="00581FB9">
        <w:t xml:space="preserve">its </w:t>
      </w:r>
      <w:r w:rsidRPr="00BD4853" w:rsidR="00D12D2B">
        <w:t>inheritance law two years after the judgment had been delivered</w:t>
      </w:r>
      <w:r w:rsidRPr="00BD4853" w:rsidR="007F24D5">
        <w:t xml:space="preserve"> (see para</w:t>
      </w:r>
      <w:r w:rsidRPr="00BD4853" w:rsidR="00A02F1E">
        <w:t>graph</w:t>
      </w:r>
      <w:r w:rsidRPr="00BD4853" w:rsidR="007F24D5">
        <w:t xml:space="preserve"> 37 above)</w:t>
      </w:r>
      <w:r w:rsidRPr="00BD4853" w:rsidR="00ED4B8D">
        <w:t>, as confirmed by the Resolution of the Committee of Ministers of the Council of Europe of 6 June 2012 (see paragraph 39 above), which applied the Court</w:t>
      </w:r>
      <w:r w:rsidRPr="00BD4853">
        <w:t>’</w:t>
      </w:r>
      <w:r w:rsidRPr="00BD4853" w:rsidR="00ED4B8D">
        <w:t>s case-law at the relevant time</w:t>
      </w:r>
      <w:r w:rsidRPr="00BD4853" w:rsidR="00D12D2B">
        <w:t xml:space="preserve">. </w:t>
      </w:r>
      <w:r w:rsidRPr="00BD4853" w:rsidR="00ED4B8D">
        <w:t>The Court</w:t>
      </w:r>
      <w:r w:rsidRPr="00BD4853" w:rsidR="00D12D2B">
        <w:t xml:space="preserve"> welcomes th</w:t>
      </w:r>
      <w:r w:rsidRPr="00BD4853" w:rsidR="00581FB9">
        <w:t>at</w:t>
      </w:r>
      <w:r w:rsidRPr="00BD4853" w:rsidR="00D12D2B">
        <w:t xml:space="preserve"> measure</w:t>
      </w:r>
      <w:r w:rsidRPr="00BD4853" w:rsidR="00581FB9">
        <w:t xml:space="preserve">, which was </w:t>
      </w:r>
      <w:r w:rsidRPr="00BD4853" w:rsidR="0029451A">
        <w:t xml:space="preserve">aimed at </w:t>
      </w:r>
      <w:r w:rsidRPr="00BD4853" w:rsidR="00D12D2B">
        <w:t>bringing German law in</w:t>
      </w:r>
      <w:r w:rsidRPr="00BD4853" w:rsidR="00581FB9">
        <w:t>to</w:t>
      </w:r>
      <w:r w:rsidRPr="00BD4853" w:rsidR="00D12D2B">
        <w:t xml:space="preserve"> line with the Convention principle of non-discrimination.</w:t>
      </w:r>
      <w:r w:rsidRPr="00BD4853" w:rsidR="004C39C4">
        <w:t xml:space="preserve"> </w:t>
      </w:r>
      <w:r w:rsidRPr="00BD4853" w:rsidR="00ED4B8D">
        <w:t>It</w:t>
      </w:r>
      <w:r w:rsidRPr="00BD4853" w:rsidR="004C39C4">
        <w:t xml:space="preserve"> has further regard to the date </w:t>
      </w:r>
      <w:r w:rsidRPr="00BD4853" w:rsidR="00D46F55">
        <w:t xml:space="preserve">when </w:t>
      </w:r>
      <w:r w:rsidRPr="00BD4853" w:rsidR="004C39C4">
        <w:t>the Federal Constitutional Court issued its decision</w:t>
      </w:r>
      <w:r w:rsidRPr="00BD4853" w:rsidR="00543AE0">
        <w:t xml:space="preserve"> (see paragraph 23 above)</w:t>
      </w:r>
      <w:r w:rsidRPr="00BD4853" w:rsidR="00BE55B7">
        <w:t xml:space="preserve">, 18 March 2013, </w:t>
      </w:r>
      <w:r w:rsidRPr="00BD4853" w:rsidR="00D46F55">
        <w:t>which</w:t>
      </w:r>
      <w:r w:rsidRPr="00BD4853" w:rsidR="00BE55B7">
        <w:t xml:space="preserve"> coincided with t</w:t>
      </w:r>
      <w:r w:rsidRPr="00BD4853" w:rsidR="00ED4B8D">
        <w:t>he Court</w:t>
      </w:r>
      <w:r w:rsidRPr="00BD4853">
        <w:t>’</w:t>
      </w:r>
      <w:r w:rsidRPr="00BD4853" w:rsidR="00BE55B7">
        <w:t xml:space="preserve">s </w:t>
      </w:r>
      <w:r w:rsidRPr="00BD4853" w:rsidR="00543AE0">
        <w:t xml:space="preserve">judgment in </w:t>
      </w:r>
      <w:r w:rsidRPr="00BD4853" w:rsidR="00543AE0">
        <w:rPr>
          <w:i/>
        </w:rPr>
        <w:t xml:space="preserve">Fabris </w:t>
      </w:r>
      <w:r w:rsidRPr="00BD4853" w:rsidR="00581FB9">
        <w:t>(cited above)</w:t>
      </w:r>
      <w:r w:rsidRPr="00BD4853" w:rsidR="00D46F55">
        <w:t>. It notes that the Federal Constitutional Court</w:t>
      </w:r>
      <w:r w:rsidRPr="00BD4853" w:rsidR="00581FB9">
        <w:t xml:space="preserve"> </w:t>
      </w:r>
      <w:r w:rsidRPr="00BD4853" w:rsidR="00D46F55">
        <w:t>still</w:t>
      </w:r>
      <w:r w:rsidRPr="00BD4853" w:rsidR="00BE55B7">
        <w:t xml:space="preserve"> </w:t>
      </w:r>
      <w:r w:rsidRPr="00BD4853" w:rsidR="004C39C4">
        <w:t xml:space="preserve">applied </w:t>
      </w:r>
      <w:r w:rsidRPr="00BD4853" w:rsidR="00543AE0">
        <w:t>the</w:t>
      </w:r>
      <w:r w:rsidRPr="00BD4853" w:rsidR="004C39C4">
        <w:t xml:space="preserve"> case-law </w:t>
      </w:r>
      <w:r w:rsidRPr="00BD4853" w:rsidR="001A60CF">
        <w:t xml:space="preserve">that </w:t>
      </w:r>
      <w:r w:rsidRPr="00BD4853" w:rsidR="00543AE0">
        <w:t>the Court</w:t>
      </w:r>
      <w:r w:rsidRPr="00BD4853" w:rsidR="004C39C4">
        <w:t xml:space="preserve"> </w:t>
      </w:r>
      <w:r w:rsidRPr="00BD4853" w:rsidR="00BE55B7">
        <w:t xml:space="preserve">had </w:t>
      </w:r>
      <w:r w:rsidRPr="00BD4853" w:rsidR="001A60CF">
        <w:t xml:space="preserve">applied </w:t>
      </w:r>
      <w:r w:rsidRPr="00BD4853" w:rsidR="00D46F55">
        <w:t xml:space="preserve">before adopting the </w:t>
      </w:r>
      <w:r w:rsidRPr="00BD4853" w:rsidR="00F7687D">
        <w:t xml:space="preserve">Grand Chamber </w:t>
      </w:r>
      <w:r w:rsidRPr="00BD4853" w:rsidR="00D46F55">
        <w:t xml:space="preserve">judgment in the case </w:t>
      </w:r>
      <w:r w:rsidRPr="00BD4853" w:rsidR="00D46F55">
        <w:rPr>
          <w:i/>
        </w:rPr>
        <w:t>Fabris</w:t>
      </w:r>
      <w:r w:rsidRPr="00BD4853" w:rsidR="004C39C4">
        <w:rPr>
          <w:i/>
        </w:rPr>
        <w:t xml:space="preserve"> </w:t>
      </w:r>
      <w:r w:rsidRPr="00BD4853" w:rsidR="00543AE0">
        <w:t>(see paragraphs 24 to 28).</w:t>
      </w:r>
    </w:p>
    <w:p w:rsidRPr="00BD4853" w:rsidR="003B4061" w:rsidP="00BD4853" w:rsidRDefault="00223914">
      <w:pPr>
        <w:pStyle w:val="ECHRPara"/>
      </w:pPr>
      <w:r w:rsidRPr="00BD4853">
        <w:rPr>
          <w:lang w:val="en-GB"/>
        </w:rPr>
        <w:fldChar w:fldCharType="begin"/>
      </w:r>
      <w:r w:rsidRPr="00BD4853">
        <w:rPr>
          <w:lang w:val="en-GB"/>
        </w:rPr>
        <w:instrText xml:space="preserve"> SEQ level0 \*arabic </w:instrText>
      </w:r>
      <w:r w:rsidRPr="00BD4853">
        <w:rPr>
          <w:lang w:val="en-GB"/>
        </w:rPr>
        <w:fldChar w:fldCharType="separate"/>
      </w:r>
      <w:r w:rsidRPr="00BD4853" w:rsidR="00BD4853">
        <w:rPr>
          <w:noProof/>
          <w:lang w:val="en-GB"/>
        </w:rPr>
        <w:t>69</w:t>
      </w:r>
      <w:r w:rsidRPr="00BD4853">
        <w:rPr>
          <w:lang w:val="en-GB"/>
        </w:rPr>
        <w:fldChar w:fldCharType="end"/>
      </w:r>
      <w:r w:rsidRPr="00BD4853">
        <w:rPr>
          <w:lang w:val="en-GB"/>
        </w:rPr>
        <w:t>.  </w:t>
      </w:r>
      <w:r w:rsidRPr="00BD4853" w:rsidR="00371AC1">
        <w:t>Furthermore, t</w:t>
      </w:r>
      <w:r w:rsidRPr="00BD4853">
        <w:t>he Court considers that the aim</w:t>
      </w:r>
      <w:r w:rsidRPr="00BD4853" w:rsidR="007F24D5">
        <w:t>s</w:t>
      </w:r>
      <w:r w:rsidRPr="00BD4853">
        <w:t xml:space="preserve"> pursued by maintaining the </w:t>
      </w:r>
      <w:r w:rsidRPr="00BD4853" w:rsidR="00DD3920">
        <w:t xml:space="preserve">difference </w:t>
      </w:r>
      <w:r w:rsidRPr="00BD4853" w:rsidR="00BE55B7">
        <w:t xml:space="preserve">in treatment </w:t>
      </w:r>
      <w:r w:rsidRPr="00BD4853" w:rsidR="00DD3920">
        <w:t xml:space="preserve">between children born outside marriage before and after 1 July 1949 in cases when the </w:t>
      </w:r>
      <w:r w:rsidRPr="00BD4853" w:rsidR="005F262F">
        <w:t xml:space="preserve">father </w:t>
      </w:r>
      <w:r w:rsidRPr="00BD4853" w:rsidR="00DD3920">
        <w:t>had died before 28 May 2009</w:t>
      </w:r>
      <w:r w:rsidRPr="00BD4853">
        <w:t>, namely the preservation of legal certainty and the protection of the</w:t>
      </w:r>
      <w:r w:rsidRPr="00BD4853" w:rsidR="007F24D5">
        <w:t xml:space="preserve"> will of the</w:t>
      </w:r>
      <w:r w:rsidRPr="00BD4853">
        <w:t xml:space="preserve"> deceased and</w:t>
      </w:r>
      <w:r w:rsidRPr="00BD4853" w:rsidR="007F24D5">
        <w:t xml:space="preserve"> the rights of</w:t>
      </w:r>
      <w:r w:rsidRPr="00BD4853">
        <w:t xml:space="preserve"> his family, </w:t>
      </w:r>
      <w:r w:rsidRPr="00BD4853" w:rsidR="007F24D5">
        <w:t>are</w:t>
      </w:r>
      <w:r w:rsidRPr="00BD4853">
        <w:t xml:space="preserve"> legitimate one</w:t>
      </w:r>
      <w:r w:rsidRPr="00BD4853" w:rsidR="007F24D5">
        <w:t>s</w:t>
      </w:r>
      <w:r w:rsidRPr="00BD4853" w:rsidR="00A63220">
        <w:t xml:space="preserve"> (compare</w:t>
      </w:r>
      <w:r w:rsidRPr="00BD4853">
        <w:rPr>
          <w:lang w:val="en-GB"/>
        </w:rPr>
        <w:t xml:space="preserve"> </w:t>
      </w:r>
      <w:r w:rsidRPr="00BD4853">
        <w:rPr>
          <w:i/>
          <w:lang w:val="en-GB"/>
        </w:rPr>
        <w:t>Brauer</w:t>
      </w:r>
      <w:r w:rsidRPr="00BD4853">
        <w:rPr>
          <w:lang w:val="en-GB"/>
        </w:rPr>
        <w:t>, cited above, § 41)</w:t>
      </w:r>
      <w:r w:rsidRPr="00BD4853">
        <w:t>.</w:t>
      </w:r>
    </w:p>
    <w:p w:rsidRPr="00BD4853" w:rsidR="00B84A5A" w:rsidP="00BD4853" w:rsidRDefault="00B84A5A">
      <w:pPr>
        <w:pStyle w:val="ECHRHeading6"/>
      </w:pPr>
      <w:r w:rsidRPr="00BD4853">
        <w:t>(β)</w:t>
      </w:r>
      <w:r w:rsidRPr="00BD4853" w:rsidR="00847B08">
        <w:t>  </w:t>
      </w:r>
      <w:r w:rsidRPr="00BD4853">
        <w:t>Proportionality between the means employed and the aim pursued</w:t>
      </w:r>
    </w:p>
    <w:p w:rsidRPr="00BD4853" w:rsidR="003B4061" w:rsidP="00BD4853" w:rsidRDefault="00BD4853">
      <w:pPr>
        <w:pStyle w:val="ECHRPara"/>
      </w:pPr>
      <w:fldSimple w:instr=" SEQ level0 \*arabic ">
        <w:r w:rsidRPr="00BD4853">
          <w:rPr>
            <w:noProof/>
          </w:rPr>
          <w:t>70</w:t>
        </w:r>
      </w:fldSimple>
      <w:r w:rsidRPr="00BD4853" w:rsidR="00D34454">
        <w:t>.  </w:t>
      </w:r>
      <w:r w:rsidRPr="00BD4853" w:rsidR="00030A6F">
        <w:t xml:space="preserve">The Court </w:t>
      </w:r>
      <w:r w:rsidRPr="00BD4853" w:rsidR="005F262F">
        <w:t xml:space="preserve">takes </w:t>
      </w:r>
      <w:r w:rsidRPr="00BD4853" w:rsidR="00030A6F">
        <w:t xml:space="preserve">note </w:t>
      </w:r>
      <w:r w:rsidRPr="00BD4853" w:rsidR="005F262F">
        <w:t xml:space="preserve">of </w:t>
      </w:r>
      <w:r w:rsidRPr="00BD4853" w:rsidR="00030A6F">
        <w:t>the Government</w:t>
      </w:r>
      <w:r w:rsidRPr="00BD4853">
        <w:t>’</w:t>
      </w:r>
      <w:r w:rsidRPr="00BD4853" w:rsidR="00030A6F">
        <w:t>s argument</w:t>
      </w:r>
      <w:r w:rsidRPr="00BD4853" w:rsidR="00A22802">
        <w:t>s</w:t>
      </w:r>
      <w:r w:rsidRPr="00BD4853" w:rsidR="00030A6F">
        <w:t xml:space="preserve"> that </w:t>
      </w:r>
      <w:r w:rsidRPr="00BD4853" w:rsidR="00452D7E">
        <w:t xml:space="preserve">a more far-reaching retroactive effect than the one implemented by the Second Inheritance Rights Equalisation Act would cause legal and practical problems in inheritance cases where the estate has already been divided between the heirs. </w:t>
      </w:r>
      <w:r w:rsidRPr="00BD4853" w:rsidR="00EC7EE3">
        <w:t xml:space="preserve">According to German </w:t>
      </w:r>
      <w:r w:rsidRPr="00BD4853" w:rsidR="001A60CF">
        <w:t>in</w:t>
      </w:r>
      <w:r w:rsidRPr="00BD4853" w:rsidR="00EC7EE3">
        <w:t>herita</w:t>
      </w:r>
      <w:r w:rsidRPr="00BD4853" w:rsidR="001A60CF">
        <w:t>nce</w:t>
      </w:r>
      <w:r w:rsidRPr="00BD4853" w:rsidR="00EC7EE3">
        <w:t xml:space="preserve"> law, </w:t>
      </w:r>
      <w:r w:rsidRPr="00BD4853" w:rsidR="00030A6F">
        <w:t xml:space="preserve">at the time of </w:t>
      </w:r>
      <w:r w:rsidRPr="00BD4853" w:rsidR="001A60CF">
        <w:t>a</w:t>
      </w:r>
      <w:r w:rsidRPr="00BD4853" w:rsidR="00030A6F">
        <w:t xml:space="preserve"> </w:t>
      </w:r>
      <w:r w:rsidRPr="00BD4853" w:rsidR="00EC7EE3">
        <w:t>legator</w:t>
      </w:r>
      <w:r w:rsidRPr="00BD4853">
        <w:t>’</w:t>
      </w:r>
      <w:r w:rsidRPr="00BD4853" w:rsidR="001A60CF">
        <w:t xml:space="preserve">s </w:t>
      </w:r>
      <w:r w:rsidRPr="00BD4853" w:rsidR="00030A6F">
        <w:t>death heirs</w:t>
      </w:r>
      <w:r w:rsidRPr="00BD4853" w:rsidR="00EC7EE3">
        <w:t xml:space="preserve"> acquire</w:t>
      </w:r>
      <w:r w:rsidRPr="00BD4853" w:rsidR="00030A6F">
        <w:t xml:space="preserve"> rights </w:t>
      </w:r>
      <w:r w:rsidRPr="00BD4853" w:rsidR="006C4103">
        <w:t xml:space="preserve">by law </w:t>
      </w:r>
      <w:r w:rsidRPr="00BD4853" w:rsidR="00030A6F">
        <w:t>to a share of the estate under Article</w:t>
      </w:r>
      <w:r w:rsidRPr="00BD4853" w:rsidR="00CB4157">
        <w:t xml:space="preserve"> 1922</w:t>
      </w:r>
      <w:r w:rsidRPr="00BD4853" w:rsidR="00030A6F">
        <w:t xml:space="preserve"> of the Civil Code (see paragraph</w:t>
      </w:r>
      <w:r w:rsidRPr="00BD4853" w:rsidR="00322958">
        <w:t xml:space="preserve"> </w:t>
      </w:r>
      <w:r w:rsidRPr="00BD4853" w:rsidR="00B81337">
        <w:t>31</w:t>
      </w:r>
      <w:r w:rsidRPr="00BD4853" w:rsidR="00030A6F">
        <w:t xml:space="preserve"> above).</w:t>
      </w:r>
    </w:p>
    <w:p w:rsidRPr="00BD4853" w:rsidR="006E7EE8" w:rsidP="00BD4853" w:rsidRDefault="00BD4853">
      <w:pPr>
        <w:pStyle w:val="ECHRPara"/>
      </w:pPr>
      <w:fldSimple w:instr=" SEQ level0 \*arabic ">
        <w:r w:rsidRPr="00BD4853">
          <w:rPr>
            <w:noProof/>
          </w:rPr>
          <w:t>71</w:t>
        </w:r>
      </w:fldSimple>
      <w:r w:rsidRPr="00BD4853" w:rsidR="00A22802">
        <w:t>.</w:t>
      </w:r>
      <w:r w:rsidRPr="00BD4853" w:rsidR="00982D46">
        <w:t>  In the present case, the first sentence of section 12(10)(2) of the Children Born outside Marriage (Legal Status) Act</w:t>
      </w:r>
      <w:r w:rsidRPr="00BD4853" w:rsidR="00F7687D">
        <w:t>,</w:t>
      </w:r>
      <w:r w:rsidRPr="00BD4853" w:rsidR="00D46F55">
        <w:t xml:space="preserve"> the original version of which had been adopted on </w:t>
      </w:r>
      <w:r w:rsidRPr="00BD4853" w:rsidR="00982D46">
        <w:t>19 August 1969</w:t>
      </w:r>
      <w:r w:rsidRPr="00BD4853" w:rsidR="00F7687D">
        <w:t>,</w:t>
      </w:r>
      <w:r w:rsidRPr="00BD4853" w:rsidR="00982D46">
        <w:t xml:space="preserve"> set aside the difference between children born outside marriage before and after 1 July 1949 in cases where </w:t>
      </w:r>
      <w:r w:rsidRPr="00BD4853" w:rsidR="00BE55B7">
        <w:t xml:space="preserve">death </w:t>
      </w:r>
      <w:r w:rsidRPr="00BD4853" w:rsidR="00A23AC7">
        <w:t>occurred</w:t>
      </w:r>
      <w:r w:rsidRPr="00BD4853" w:rsidR="00BE55B7">
        <w:t xml:space="preserve"> </w:t>
      </w:r>
      <w:r w:rsidRPr="00BD4853" w:rsidR="00982D46">
        <w:t>on or after 28 May 2009 (see paragraph 3</w:t>
      </w:r>
      <w:r w:rsidRPr="00BD4853" w:rsidR="00B81337">
        <w:t>7</w:t>
      </w:r>
      <w:r w:rsidRPr="00BD4853" w:rsidR="00982D46">
        <w:t xml:space="preserve"> above). The Court notes in this connection the Federal Constitutional</w:t>
      </w:r>
      <w:r w:rsidRPr="00BD4853" w:rsidR="0053324B">
        <w:t xml:space="preserve"> Court</w:t>
      </w:r>
      <w:r w:rsidRPr="00BD4853">
        <w:t>’</w:t>
      </w:r>
      <w:r w:rsidRPr="00BD4853" w:rsidR="005A50ED">
        <w:t>s</w:t>
      </w:r>
      <w:r w:rsidRPr="00BD4853" w:rsidR="00982D46">
        <w:t xml:space="preserve"> reasoning that, in the light of</w:t>
      </w:r>
      <w:r w:rsidRPr="00BD4853" w:rsidR="005A50ED">
        <w:t xml:space="preserve"> </w:t>
      </w:r>
      <w:r w:rsidRPr="00BD4853" w:rsidR="00982D46">
        <w:rPr>
          <w:i/>
        </w:rPr>
        <w:t xml:space="preserve">Brauer </w:t>
      </w:r>
      <w:r w:rsidRPr="00BD4853" w:rsidR="00982D46">
        <w:t>(cited above)</w:t>
      </w:r>
      <w:r w:rsidRPr="00BD4853" w:rsidR="005A50ED">
        <w:t>,</w:t>
      </w:r>
      <w:r w:rsidRPr="00BD4853" w:rsidR="00982D46">
        <w:t xml:space="preserve"> more far</w:t>
      </w:r>
      <w:r w:rsidRPr="00BD4853" w:rsidR="00EC07F8">
        <w:noBreakHyphen/>
      </w:r>
      <w:r w:rsidRPr="00BD4853" w:rsidR="00982D46">
        <w:t xml:space="preserve">reaching retroactivity </w:t>
      </w:r>
      <w:r w:rsidRPr="00BD4853" w:rsidR="00EC7EE3">
        <w:t>would have compromised</w:t>
      </w:r>
      <w:r w:rsidRPr="00BD4853" w:rsidR="00982D46">
        <w:t xml:space="preserve"> the principle of legal certainty, which was necessarily inherent in the law of the Convention</w:t>
      </w:r>
      <w:r w:rsidRPr="00BD4853" w:rsidR="001A60CF">
        <w:t>,</w:t>
      </w:r>
      <w:r w:rsidRPr="00BD4853" w:rsidR="00982D46">
        <w:t xml:space="preserve"> as in European Law (see paragraph 27 above). </w:t>
      </w:r>
      <w:r w:rsidRPr="00BD4853" w:rsidR="005A50ED">
        <w:t>The Court considers that the Federal Constitutional Court</w:t>
      </w:r>
      <w:r w:rsidRPr="00BD4853" w:rsidR="00FF513C">
        <w:t xml:space="preserve"> thus weighed the rights of the applicants against an underlying value of the Convention</w:t>
      </w:r>
      <w:r w:rsidRPr="00BD4853" w:rsidR="00982123">
        <w:t xml:space="preserve"> </w:t>
      </w:r>
      <w:r w:rsidRPr="00BD4853" w:rsidR="00165C31">
        <w:t>(compare paragraph 62 above)</w:t>
      </w:r>
      <w:r w:rsidRPr="00BD4853" w:rsidR="00396CEB">
        <w:t xml:space="preserve">. </w:t>
      </w:r>
      <w:r w:rsidRPr="00BD4853" w:rsidR="00982D46">
        <w:t xml:space="preserve">The Court </w:t>
      </w:r>
      <w:r w:rsidRPr="00BD4853" w:rsidR="00396CEB">
        <w:t xml:space="preserve">further </w:t>
      </w:r>
      <w:r w:rsidRPr="00BD4853" w:rsidR="00982D46">
        <w:t>considers that it is true</w:t>
      </w:r>
      <w:r w:rsidRPr="00BD4853" w:rsidR="001A60CF">
        <w:t>,</w:t>
      </w:r>
      <w:r w:rsidRPr="00BD4853" w:rsidR="00982D46">
        <w:t xml:space="preserve"> as argued by the Federal Constitutional Court (see paragraph 26 above)</w:t>
      </w:r>
      <w:r w:rsidRPr="00BD4853" w:rsidR="001A60CF">
        <w:t>,</w:t>
      </w:r>
      <w:r w:rsidRPr="00BD4853" w:rsidR="00982D46">
        <w:t xml:space="preserve"> that introducing a cut-off date for the applicability of a new regulation correcting </w:t>
      </w:r>
      <w:r w:rsidRPr="00BD4853" w:rsidR="001A60CF">
        <w:t xml:space="preserve">past </w:t>
      </w:r>
      <w:r w:rsidRPr="00BD4853" w:rsidR="00982D46">
        <w:t xml:space="preserve">injustices is not discriminatory as such and is an adequate means for achieving clarity and preserving legal </w:t>
      </w:r>
      <w:r w:rsidRPr="00BD4853" w:rsidR="001A60CF">
        <w:t>certainty</w:t>
      </w:r>
      <w:r w:rsidRPr="00BD4853" w:rsidR="00982D46">
        <w:t>.</w:t>
      </w:r>
    </w:p>
    <w:p w:rsidRPr="00BD4853" w:rsidR="003B4061" w:rsidP="00BD4853" w:rsidRDefault="00BD4853">
      <w:pPr>
        <w:pStyle w:val="ECHRPara"/>
      </w:pPr>
      <w:fldSimple w:instr=" SEQ level0 \*arabic ">
        <w:r w:rsidRPr="00BD4853">
          <w:rPr>
            <w:noProof/>
          </w:rPr>
          <w:t>72</w:t>
        </w:r>
      </w:fldSimple>
      <w:r w:rsidRPr="00BD4853" w:rsidR="00982D46">
        <w:t>.  </w:t>
      </w:r>
      <w:r w:rsidRPr="00BD4853" w:rsidR="006E7EE8">
        <w:t>Nevertheless, with regard to the imperative of the equal treatment of children born outside and within marriage (</w:t>
      </w:r>
      <w:r w:rsidRPr="00BD4853" w:rsidR="006E7EE8">
        <w:rPr>
          <w:lang w:val="en-GB"/>
        </w:rPr>
        <w:t xml:space="preserve">see </w:t>
      </w:r>
      <w:r w:rsidRPr="00BD4853" w:rsidR="006E7EE8">
        <w:rPr>
          <w:i/>
          <w:lang w:val="en-GB"/>
        </w:rPr>
        <w:t>Fabris</w:t>
      </w:r>
      <w:r w:rsidRPr="00BD4853" w:rsidR="006E7EE8">
        <w:rPr>
          <w:lang w:val="en-GB"/>
        </w:rPr>
        <w:t xml:space="preserve">, § 68, and </w:t>
      </w:r>
      <w:r w:rsidRPr="00BD4853" w:rsidR="006E7EE8">
        <w:rPr>
          <w:i/>
          <w:lang w:val="en-GB"/>
        </w:rPr>
        <w:t>Brauer</w:t>
      </w:r>
      <w:r w:rsidRPr="00BD4853" w:rsidR="006E7EE8">
        <w:rPr>
          <w:lang w:val="en-GB"/>
        </w:rPr>
        <w:t>, §</w:t>
      </w:r>
      <w:r w:rsidRPr="00BD4853" w:rsidR="00847B08">
        <w:rPr>
          <w:lang w:val="en-GB"/>
        </w:rPr>
        <w:t> </w:t>
      </w:r>
      <w:r w:rsidRPr="00BD4853" w:rsidR="006E7EE8">
        <w:rPr>
          <w:lang w:val="en-GB"/>
        </w:rPr>
        <w:t>43, both cited above)</w:t>
      </w:r>
      <w:r w:rsidRPr="00BD4853" w:rsidR="006E7EE8">
        <w:t>, it now need</w:t>
      </w:r>
      <w:r w:rsidRPr="00BD4853" w:rsidR="005A50ED">
        <w:t>s to be ascertained whether the</w:t>
      </w:r>
      <w:r w:rsidRPr="00BD4853" w:rsidR="00ED03CC">
        <w:t xml:space="preserve"> strict </w:t>
      </w:r>
      <w:r w:rsidRPr="00BD4853" w:rsidR="00982D46">
        <w:t xml:space="preserve">application of the </w:t>
      </w:r>
      <w:r w:rsidRPr="00BD4853" w:rsidR="00ED03CC">
        <w:t>cut-off date</w:t>
      </w:r>
      <w:r w:rsidRPr="00BD4853" w:rsidR="00FF513C">
        <w:t xml:space="preserve"> </w:t>
      </w:r>
      <w:r w:rsidRPr="00BD4853" w:rsidR="00166095">
        <w:t xml:space="preserve">by the domestic authorities </w:t>
      </w:r>
      <w:r w:rsidRPr="00BD4853" w:rsidR="00FF513C">
        <w:t xml:space="preserve">in the special circumstances of the </w:t>
      </w:r>
      <w:r w:rsidRPr="00BD4853" w:rsidR="005A50ED">
        <w:t xml:space="preserve">present </w:t>
      </w:r>
      <w:r w:rsidRPr="00BD4853" w:rsidR="00FF513C">
        <w:t>case</w:t>
      </w:r>
      <w:r w:rsidRPr="00BD4853" w:rsidR="005A50ED">
        <w:t>s</w:t>
      </w:r>
      <w:r w:rsidRPr="00BD4853" w:rsidR="00FF513C">
        <w:t xml:space="preserve"> </w:t>
      </w:r>
      <w:r w:rsidRPr="00BD4853" w:rsidR="00166095">
        <w:t xml:space="preserve">struck a fair balance between the competing interests involved (see paragraph 62 above). </w:t>
      </w:r>
      <w:r w:rsidRPr="00BD4853" w:rsidR="00D46F55">
        <w:t>In this regard the Court finds it relevant to take the following elements into account: knowledge of the persons concerned, status of the inheritance rights involved, and</w:t>
      </w:r>
      <w:r w:rsidRPr="00BD4853" w:rsidR="00982123">
        <w:t xml:space="preserve"> the</w:t>
      </w:r>
      <w:r w:rsidRPr="00BD4853" w:rsidR="00D46F55">
        <w:t xml:space="preserve"> passage of time in bringing complaints.</w:t>
      </w:r>
    </w:p>
    <w:p w:rsidRPr="00BD4853" w:rsidR="003B4061" w:rsidP="00BD4853" w:rsidRDefault="00BD4853">
      <w:pPr>
        <w:pStyle w:val="ECHRPara"/>
      </w:pPr>
      <w:fldSimple w:instr=" SEQ level0 \*arabic ">
        <w:r w:rsidRPr="00BD4853">
          <w:rPr>
            <w:noProof/>
          </w:rPr>
          <w:t>73</w:t>
        </w:r>
      </w:fldSimple>
      <w:r w:rsidRPr="00BD4853" w:rsidR="00166095">
        <w:t>.  </w:t>
      </w:r>
      <w:r w:rsidRPr="00BD4853" w:rsidR="00D46F55">
        <w:t>Concerning the first applicant t</w:t>
      </w:r>
      <w:r w:rsidRPr="00BD4853" w:rsidR="005725BE">
        <w:t xml:space="preserve">he Court notes </w:t>
      </w:r>
      <w:r w:rsidRPr="00BD4853" w:rsidR="00041A15">
        <w:t xml:space="preserve">that </w:t>
      </w:r>
      <w:r w:rsidRPr="00BD4853" w:rsidR="00D46F55">
        <w:t>he</w:t>
      </w:r>
      <w:r w:rsidRPr="00BD4853" w:rsidR="005725BE">
        <w:t xml:space="preserve"> was not a descendant whose existence was unknown to </w:t>
      </w:r>
      <w:r w:rsidRPr="00BD4853" w:rsidR="00D46F55">
        <w:t>those who were subsequently designated as</w:t>
      </w:r>
      <w:r w:rsidRPr="00BD4853" w:rsidR="005725BE">
        <w:t xml:space="preserve"> heirs. On the contrary, he </w:t>
      </w:r>
      <w:r w:rsidRPr="00BD4853" w:rsidR="00BE55B7">
        <w:t xml:space="preserve">was </w:t>
      </w:r>
      <w:r w:rsidRPr="00BD4853" w:rsidR="00041A15">
        <w:t xml:space="preserve">initially </w:t>
      </w:r>
      <w:r w:rsidRPr="00BD4853" w:rsidR="005725BE">
        <w:t>granted an inheritance certificate by the first</w:t>
      </w:r>
      <w:r w:rsidRPr="00BD4853" w:rsidR="00041A15">
        <w:t>-</w:t>
      </w:r>
      <w:r w:rsidRPr="00BD4853" w:rsidR="005725BE">
        <w:t xml:space="preserve">instance court, which </w:t>
      </w:r>
      <w:r w:rsidRPr="00BD4853" w:rsidR="00041A15">
        <w:t xml:space="preserve">was </w:t>
      </w:r>
      <w:r w:rsidRPr="00BD4853" w:rsidR="005725BE">
        <w:t xml:space="preserve">later withdrawn </w:t>
      </w:r>
      <w:r w:rsidRPr="00BD4853" w:rsidR="00041A15">
        <w:t xml:space="preserve">because </w:t>
      </w:r>
      <w:r w:rsidRPr="00BD4853" w:rsidR="005725BE">
        <w:t>he had been born outside marriage</w:t>
      </w:r>
      <w:r w:rsidRPr="00BD4853" w:rsidR="00120334">
        <w:t xml:space="preserve"> (see paragraph 9 above)</w:t>
      </w:r>
      <w:r w:rsidRPr="00BD4853" w:rsidR="005725BE">
        <w:t xml:space="preserve">. The Court considers </w:t>
      </w:r>
      <w:r w:rsidRPr="00BD4853" w:rsidR="00041A15">
        <w:t xml:space="preserve">that </w:t>
      </w:r>
      <w:r w:rsidRPr="00BD4853" w:rsidR="005725BE">
        <w:t xml:space="preserve">this fact </w:t>
      </w:r>
      <w:r w:rsidRPr="00BD4853" w:rsidR="00041A15">
        <w:t xml:space="preserve">is </w:t>
      </w:r>
      <w:r w:rsidRPr="00BD4853" w:rsidR="005725BE">
        <w:t xml:space="preserve">sufficient </w:t>
      </w:r>
      <w:r w:rsidRPr="00BD4853" w:rsidR="00D46F55">
        <w:t>to prove that the</w:t>
      </w:r>
      <w:r w:rsidRPr="00BD4853" w:rsidR="005725BE">
        <w:t xml:space="preserve"> </w:t>
      </w:r>
      <w:r w:rsidRPr="00BD4853" w:rsidR="007959EC">
        <w:t>subsequent</w:t>
      </w:r>
      <w:r w:rsidRPr="00BD4853" w:rsidR="005725BE">
        <w:t xml:space="preserve"> heirs</w:t>
      </w:r>
      <w:r w:rsidRPr="00BD4853">
        <w:t>’</w:t>
      </w:r>
      <w:r w:rsidRPr="00BD4853" w:rsidR="005725BE">
        <w:t xml:space="preserve"> </w:t>
      </w:r>
      <w:r w:rsidRPr="00BD4853" w:rsidR="00041A15">
        <w:t xml:space="preserve">position </w:t>
      </w:r>
      <w:r w:rsidRPr="00BD4853" w:rsidR="005725BE">
        <w:t>with regard to their rights to the deceased</w:t>
      </w:r>
      <w:r w:rsidRPr="00BD4853">
        <w:t>’</w:t>
      </w:r>
      <w:r w:rsidRPr="00BD4853" w:rsidR="005725BE">
        <w:t>s estate</w:t>
      </w:r>
      <w:r w:rsidRPr="00BD4853" w:rsidR="00D46F55">
        <w:t xml:space="preserve"> was known to be controversial</w:t>
      </w:r>
      <w:r w:rsidRPr="00BD4853" w:rsidR="00BB14A1">
        <w:t>. Th</w:t>
      </w:r>
      <w:r w:rsidRPr="00BD4853" w:rsidR="00041A15">
        <w:t>at</w:t>
      </w:r>
      <w:r w:rsidRPr="00BD4853" w:rsidR="005725BE">
        <w:t xml:space="preserve"> </w:t>
      </w:r>
      <w:r w:rsidRPr="00BD4853" w:rsidR="00781535">
        <w:t xml:space="preserve">also </w:t>
      </w:r>
      <w:r w:rsidRPr="00BD4853" w:rsidR="005725BE">
        <w:t xml:space="preserve">seems to be reflected by the fact that the </w:t>
      </w:r>
      <w:r w:rsidRPr="00BD4853" w:rsidR="00781535">
        <w:t xml:space="preserve">subsequent </w:t>
      </w:r>
      <w:r w:rsidRPr="00BD4853" w:rsidR="005725BE">
        <w:t xml:space="preserve">heirs did not apply for an inheritance certificate themselves, but were </w:t>
      </w:r>
      <w:r w:rsidRPr="00BD4853" w:rsidR="00041A15">
        <w:t xml:space="preserve">only </w:t>
      </w:r>
      <w:r w:rsidRPr="00BD4853" w:rsidR="005725BE">
        <w:t xml:space="preserve">named </w:t>
      </w:r>
      <w:r w:rsidRPr="00BD4853" w:rsidR="00041A15">
        <w:t xml:space="preserve">as </w:t>
      </w:r>
      <w:r w:rsidRPr="00BD4853" w:rsidR="005725BE">
        <w:t xml:space="preserve">heirs after the first applicant </w:t>
      </w:r>
      <w:r w:rsidRPr="00BD4853" w:rsidR="00DB43DE">
        <w:t xml:space="preserve">had </w:t>
      </w:r>
      <w:r w:rsidRPr="00BD4853" w:rsidR="005725BE">
        <w:t xml:space="preserve">again applied for an inheritance certificate. Furthermore, it has to be taken into account </w:t>
      </w:r>
      <w:r w:rsidRPr="00BD4853" w:rsidR="00041A15">
        <w:t>in the first applicant</w:t>
      </w:r>
      <w:r w:rsidRPr="00BD4853">
        <w:t>’</w:t>
      </w:r>
      <w:r w:rsidRPr="00BD4853" w:rsidR="00041A15">
        <w:t xml:space="preserve">s case </w:t>
      </w:r>
      <w:r w:rsidRPr="00BD4853" w:rsidR="005725BE">
        <w:t>that he had</w:t>
      </w:r>
      <w:r w:rsidRPr="00BD4853" w:rsidR="00781535">
        <w:t xml:space="preserve"> already</w:t>
      </w:r>
      <w:r w:rsidRPr="00BD4853" w:rsidR="005725BE">
        <w:t xml:space="preserve"> </w:t>
      </w:r>
      <w:r w:rsidRPr="00BD4853" w:rsidR="00166095">
        <w:t xml:space="preserve">been </w:t>
      </w:r>
      <w:r w:rsidRPr="00BD4853" w:rsidR="00781535">
        <w:t xml:space="preserve">in </w:t>
      </w:r>
      <w:r w:rsidRPr="00BD4853" w:rsidR="005725BE">
        <w:t>possession of the inheritance</w:t>
      </w:r>
      <w:r w:rsidRPr="00BD4853" w:rsidR="00781535">
        <w:t xml:space="preserve"> for a certain period of time</w:t>
      </w:r>
      <w:r w:rsidRPr="00BD4853" w:rsidR="005725BE">
        <w:t xml:space="preserve"> (compare paragraph 8 above).</w:t>
      </w:r>
    </w:p>
    <w:p w:rsidRPr="00BD4853" w:rsidR="005725BE" w:rsidP="00BD4853" w:rsidRDefault="00BD4853">
      <w:pPr>
        <w:pStyle w:val="ECHRPara"/>
      </w:pPr>
      <w:fldSimple w:instr=" SEQ level0 \*arabic ">
        <w:r w:rsidRPr="00BD4853">
          <w:rPr>
            <w:noProof/>
          </w:rPr>
          <w:t>74</w:t>
        </w:r>
      </w:fldSimple>
      <w:r w:rsidRPr="00BD4853" w:rsidR="005725BE">
        <w:t>.  As regards the second applicant</w:t>
      </w:r>
      <w:r w:rsidRPr="00BD4853" w:rsidR="00041A15">
        <w:t>,</w:t>
      </w:r>
      <w:r w:rsidRPr="00BD4853" w:rsidR="005725BE">
        <w:t xml:space="preserve"> the Court notes </w:t>
      </w:r>
      <w:r w:rsidRPr="00BD4853" w:rsidR="00DB43DE">
        <w:t xml:space="preserve">that </w:t>
      </w:r>
      <w:r w:rsidRPr="00BD4853" w:rsidR="00EC07F8">
        <w:t>the Hamburg</w:t>
      </w:r>
      <w:r w:rsidRPr="00BD4853" w:rsidR="00EC07F8">
        <w:noBreakHyphen/>
      </w:r>
      <w:r w:rsidRPr="00BD4853" w:rsidR="00DB43DE">
        <w:t xml:space="preserve">Blankensee District Court had ordered </w:t>
      </w:r>
      <w:r w:rsidRPr="00BD4853" w:rsidR="005725BE">
        <w:t xml:space="preserve">his father in 1949 to pay maintenance for </w:t>
      </w:r>
      <w:r w:rsidRPr="00BD4853" w:rsidR="00BB14A1">
        <w:t>him</w:t>
      </w:r>
      <w:r w:rsidRPr="00BD4853" w:rsidR="005725BE">
        <w:t xml:space="preserve"> (see paragraph 15 above). Furthermore, the second applicant</w:t>
      </w:r>
      <w:r w:rsidRPr="00BD4853" w:rsidR="00982123">
        <w:t xml:space="preserve"> </w:t>
      </w:r>
      <w:r w:rsidRPr="00BD4853" w:rsidR="00041A15">
        <w:t xml:space="preserve">met </w:t>
      </w:r>
      <w:r w:rsidRPr="00BD4853" w:rsidR="005725BE">
        <w:t>his father fo</w:t>
      </w:r>
      <w:r w:rsidRPr="00BD4853" w:rsidR="00ED4B8D">
        <w:t>u</w:t>
      </w:r>
      <w:r w:rsidRPr="00BD4853" w:rsidR="005725BE">
        <w:t xml:space="preserve">r </w:t>
      </w:r>
      <w:r w:rsidRPr="00BD4853" w:rsidR="00041A15">
        <w:t>times before the latter</w:t>
      </w:r>
      <w:r w:rsidRPr="00BD4853">
        <w:t>’</w:t>
      </w:r>
      <w:r w:rsidRPr="00BD4853" w:rsidR="00041A15">
        <w:t>s death</w:t>
      </w:r>
      <w:r w:rsidRPr="00BD4853" w:rsidR="00B81337">
        <w:t>. As</w:t>
      </w:r>
      <w:r w:rsidRPr="00BD4853" w:rsidR="000F35C6">
        <w:t xml:space="preserve"> the </w:t>
      </w:r>
      <w:r w:rsidRPr="00BD4853" w:rsidR="005725BE">
        <w:t xml:space="preserve">father asked him not to </w:t>
      </w:r>
      <w:r w:rsidRPr="00BD4853" w:rsidR="00041A15">
        <w:t xml:space="preserve">get involved </w:t>
      </w:r>
      <w:r w:rsidRPr="00BD4853" w:rsidR="005725BE">
        <w:t>with his family (see paragraph 15 above)</w:t>
      </w:r>
      <w:r w:rsidRPr="00BD4853" w:rsidR="000F35C6">
        <w:t xml:space="preserve"> t</w:t>
      </w:r>
      <w:r w:rsidRPr="00BD4853" w:rsidR="00657DA7">
        <w:t>he Court</w:t>
      </w:r>
      <w:r w:rsidRPr="00BD4853" w:rsidR="00EC7EE3">
        <w:t xml:space="preserve"> </w:t>
      </w:r>
      <w:r w:rsidRPr="00BD4853" w:rsidR="00781535">
        <w:t xml:space="preserve">acknowledges </w:t>
      </w:r>
      <w:r w:rsidRPr="00BD4853" w:rsidR="00EC7EE3">
        <w:t xml:space="preserve">that </w:t>
      </w:r>
      <w:r w:rsidRPr="00BD4853" w:rsidR="00DB43DE">
        <w:t>the second applicant</w:t>
      </w:r>
      <w:r w:rsidRPr="00BD4853">
        <w:t>’</w:t>
      </w:r>
      <w:r w:rsidRPr="00BD4853" w:rsidR="00DB43DE">
        <w:t xml:space="preserve">s </w:t>
      </w:r>
      <w:r w:rsidRPr="00BD4853" w:rsidR="00041A15">
        <w:t xml:space="preserve">half-sister might not have known of </w:t>
      </w:r>
      <w:r w:rsidRPr="00BD4853" w:rsidR="00DB43DE">
        <w:t xml:space="preserve">his </w:t>
      </w:r>
      <w:r w:rsidRPr="00BD4853" w:rsidR="00EC7EE3">
        <w:t xml:space="preserve">existence. </w:t>
      </w:r>
      <w:r w:rsidRPr="00BD4853" w:rsidR="00445121">
        <w:t>T</w:t>
      </w:r>
      <w:r w:rsidRPr="00BD4853" w:rsidR="00DF19F0">
        <w:t xml:space="preserve">he deceased had named his daughter sole heir in his </w:t>
      </w:r>
      <w:r w:rsidRPr="00BD4853" w:rsidR="00041A15">
        <w:t xml:space="preserve">will </w:t>
      </w:r>
      <w:r w:rsidRPr="00BD4853" w:rsidR="00DF19F0">
        <w:t>and had thus looked after his and his daughter</w:t>
      </w:r>
      <w:r w:rsidRPr="00BD4853">
        <w:t>’</w:t>
      </w:r>
      <w:r w:rsidRPr="00BD4853" w:rsidR="00DF19F0">
        <w:t>s interests in a way provided for by domestic law.</w:t>
      </w:r>
    </w:p>
    <w:p w:rsidRPr="00BD4853" w:rsidR="003B4061" w:rsidP="00BD4853" w:rsidRDefault="00BD4853">
      <w:pPr>
        <w:pStyle w:val="ECHRPara"/>
      </w:pPr>
      <w:fldSimple w:instr=" SEQ level0 \*arabic ">
        <w:r w:rsidRPr="00BD4853">
          <w:rPr>
            <w:noProof/>
          </w:rPr>
          <w:t>75</w:t>
        </w:r>
      </w:fldSimple>
      <w:r w:rsidRPr="00BD4853" w:rsidR="009A6B7F">
        <w:t>.  </w:t>
      </w:r>
      <w:r w:rsidRPr="00BD4853" w:rsidR="00DF19F0">
        <w:t xml:space="preserve">Having regard to the question </w:t>
      </w:r>
      <w:r w:rsidRPr="00BD4853" w:rsidR="00DB43DE">
        <w:t xml:space="preserve">of </w:t>
      </w:r>
      <w:r w:rsidRPr="00BD4853" w:rsidR="00DF19F0">
        <w:t xml:space="preserve">whether the </w:t>
      </w:r>
      <w:r w:rsidRPr="00BD4853" w:rsidR="00166095">
        <w:t xml:space="preserve">legal position of the </w:t>
      </w:r>
      <w:r w:rsidRPr="00BD4853" w:rsidR="00DF19F0">
        <w:t xml:space="preserve">heirs in the present two cases </w:t>
      </w:r>
      <w:r w:rsidRPr="00BD4853" w:rsidR="00EE7414">
        <w:t>were, under domestic law</w:t>
      </w:r>
      <w:r w:rsidRPr="00BD4853" w:rsidR="00F7687D">
        <w:t>,</w:t>
      </w:r>
      <w:r w:rsidRPr="00BD4853" w:rsidR="00DF19F0">
        <w:t xml:space="preserve"> still </w:t>
      </w:r>
      <w:r w:rsidRPr="00BD4853" w:rsidR="00EE7414">
        <w:t xml:space="preserve">open to </w:t>
      </w:r>
      <w:r w:rsidRPr="00BD4853" w:rsidR="00DF19F0">
        <w:t>be</w:t>
      </w:r>
      <w:r w:rsidRPr="00BD4853" w:rsidR="000711F8">
        <w:t>ing</w:t>
      </w:r>
      <w:r w:rsidRPr="00BD4853" w:rsidR="00DF19F0">
        <w:t xml:space="preserve"> challe</w:t>
      </w:r>
      <w:r w:rsidRPr="00BD4853" w:rsidR="00AB3E7B">
        <w:t>nge</w:t>
      </w:r>
      <w:r w:rsidRPr="00BD4853" w:rsidR="00DF19F0">
        <w:t>d</w:t>
      </w:r>
      <w:r w:rsidRPr="00BD4853" w:rsidR="00AB3E7B">
        <w:t>, the C</w:t>
      </w:r>
      <w:r w:rsidRPr="00BD4853" w:rsidR="00DF19F0">
        <w:t>ourt observes</w:t>
      </w:r>
      <w:r w:rsidRPr="00BD4853" w:rsidR="00CF2892">
        <w:t xml:space="preserve"> that in both cases there was under domestic law a statutory time-limit for bringing claims</w:t>
      </w:r>
      <w:r w:rsidRPr="00BD4853" w:rsidR="00781535">
        <w:t xml:space="preserve"> which had not yet expired</w:t>
      </w:r>
      <w:r w:rsidRPr="00BD4853" w:rsidR="00CF2892">
        <w:t xml:space="preserve"> (see paragraphs 29 and 30 above</w:t>
      </w:r>
      <w:r w:rsidRPr="00BD4853" w:rsidR="00E34F03">
        <w:rPr>
          <w:lang w:val="en-GB"/>
        </w:rPr>
        <w:t xml:space="preserve">). </w:t>
      </w:r>
      <w:r w:rsidRPr="00BD4853" w:rsidR="0089748C">
        <w:t xml:space="preserve">The legitimate heirs </w:t>
      </w:r>
      <w:r w:rsidRPr="00BD4853" w:rsidR="00EE7414">
        <w:t>sh</w:t>
      </w:r>
      <w:r w:rsidRPr="00BD4853" w:rsidR="0089748C">
        <w:t xml:space="preserve">ould therefore have known that </w:t>
      </w:r>
      <w:r w:rsidRPr="00BD4853" w:rsidR="00C55EB9">
        <w:t>the event of succession</w:t>
      </w:r>
      <w:r w:rsidRPr="00BD4853" w:rsidR="00030A6F">
        <w:t xml:space="preserve">, even though the estate </w:t>
      </w:r>
      <w:r w:rsidRPr="00BD4853" w:rsidR="005F262F">
        <w:t xml:space="preserve">had </w:t>
      </w:r>
      <w:r w:rsidRPr="00BD4853" w:rsidR="00030A6F">
        <w:t>devolved on</w:t>
      </w:r>
      <w:r w:rsidRPr="00BD4853" w:rsidR="00041A15">
        <w:t>to</w:t>
      </w:r>
      <w:r w:rsidRPr="00BD4853" w:rsidR="00030A6F">
        <w:t xml:space="preserve"> them,</w:t>
      </w:r>
      <w:r w:rsidRPr="00BD4853" w:rsidR="00C55EB9">
        <w:t xml:space="preserve"> </w:t>
      </w:r>
      <w:r w:rsidRPr="00BD4853" w:rsidR="00F05DB4">
        <w:t>did</w:t>
      </w:r>
      <w:r w:rsidRPr="00BD4853" w:rsidR="00C55EB9">
        <w:t xml:space="preserve"> not exclude </w:t>
      </w:r>
      <w:r w:rsidRPr="00BD4853" w:rsidR="0089748C">
        <w:t>the right</w:t>
      </w:r>
      <w:r w:rsidRPr="00BD4853" w:rsidR="007E75D9">
        <w:t xml:space="preserve"> of other </w:t>
      </w:r>
      <w:r w:rsidRPr="00BD4853" w:rsidR="00EF5808">
        <w:t>heirs</w:t>
      </w:r>
      <w:r w:rsidRPr="00BD4853" w:rsidR="0089748C">
        <w:t xml:space="preserve"> to a statutory share of the estate</w:t>
      </w:r>
      <w:r w:rsidRPr="00BD4853" w:rsidR="007E75D9">
        <w:t xml:space="preserve"> </w:t>
      </w:r>
      <w:r w:rsidRPr="00BD4853" w:rsidR="0002262A">
        <w:t xml:space="preserve">or to bring a claim </w:t>
      </w:r>
      <w:r w:rsidRPr="00BD4853" w:rsidR="00DB43DE">
        <w:t xml:space="preserve">for </w:t>
      </w:r>
      <w:r w:rsidRPr="00BD4853" w:rsidR="0002262A">
        <w:t xml:space="preserve">a compulsory portion </w:t>
      </w:r>
      <w:r w:rsidRPr="00BD4853" w:rsidR="007E75D9">
        <w:t xml:space="preserve">and that such an action was capable of calling into question the </w:t>
      </w:r>
      <w:r w:rsidRPr="00BD4853" w:rsidR="0072543D">
        <w:t xml:space="preserve">rights to the estate </w:t>
      </w:r>
      <w:r w:rsidRPr="00BD4853" w:rsidR="007E75D9">
        <w:t>as such</w:t>
      </w:r>
      <w:r w:rsidRPr="00BD4853" w:rsidR="00A02F1E">
        <w:t xml:space="preserve"> or</w:t>
      </w:r>
      <w:r w:rsidRPr="00BD4853" w:rsidR="007E75D9">
        <w:t xml:space="preserve"> the extent of the rights of each of the descendants</w:t>
      </w:r>
      <w:r w:rsidRPr="00BD4853" w:rsidR="00F05DB4">
        <w:t xml:space="preserve"> </w:t>
      </w:r>
      <w:r w:rsidRPr="00BD4853" w:rsidR="00F05DB4">
        <w:rPr>
          <w:lang w:val="en-GB"/>
        </w:rPr>
        <w:t xml:space="preserve">(compare </w:t>
      </w:r>
      <w:r w:rsidRPr="00BD4853" w:rsidR="00F05DB4">
        <w:rPr>
          <w:i/>
          <w:lang w:val="en-GB"/>
        </w:rPr>
        <w:t>Fabris</w:t>
      </w:r>
      <w:r w:rsidRPr="00BD4853" w:rsidR="00F05DB4">
        <w:rPr>
          <w:lang w:val="en-GB"/>
        </w:rPr>
        <w:t>, cited above, § 68)</w:t>
      </w:r>
      <w:r w:rsidRPr="00BD4853" w:rsidR="007E75D9">
        <w:t>.</w:t>
      </w:r>
      <w:r w:rsidRPr="00BD4853" w:rsidR="00A16D99">
        <w:t xml:space="preserve"> T</w:t>
      </w:r>
      <w:r w:rsidRPr="00BD4853" w:rsidR="001F463B">
        <w:t xml:space="preserve">hus, </w:t>
      </w:r>
      <w:r w:rsidRPr="00BD4853" w:rsidR="00666E0F">
        <w:t xml:space="preserve">in </w:t>
      </w:r>
      <w:r w:rsidRPr="00BD4853" w:rsidR="001F463B">
        <w:t xml:space="preserve">the </w:t>
      </w:r>
      <w:r w:rsidRPr="00BD4853" w:rsidR="005F262F">
        <w:t xml:space="preserve">period </w:t>
      </w:r>
      <w:r w:rsidRPr="00BD4853" w:rsidR="00666E0F">
        <w:t xml:space="preserve">before </w:t>
      </w:r>
      <w:r w:rsidRPr="00BD4853" w:rsidR="005F262F">
        <w:t xml:space="preserve">claims </w:t>
      </w:r>
      <w:r w:rsidRPr="00BD4853" w:rsidR="00F67323">
        <w:t xml:space="preserve">for </w:t>
      </w:r>
      <w:r w:rsidRPr="00BD4853" w:rsidR="005F262F">
        <w:t>a</w:t>
      </w:r>
      <w:r w:rsidRPr="00BD4853" w:rsidR="00F67323">
        <w:t xml:space="preserve"> statutory </w:t>
      </w:r>
      <w:r w:rsidRPr="00BD4853" w:rsidR="00924209">
        <w:t xml:space="preserve">or compulsory </w:t>
      </w:r>
      <w:r w:rsidRPr="00BD4853" w:rsidR="00F67323">
        <w:t>portion of the dece</w:t>
      </w:r>
      <w:r w:rsidRPr="00BD4853" w:rsidR="00A63220">
        <w:t>ased</w:t>
      </w:r>
      <w:r w:rsidRPr="00BD4853">
        <w:t>’</w:t>
      </w:r>
      <w:r w:rsidRPr="00BD4853" w:rsidR="00F67323">
        <w:t xml:space="preserve">s estate </w:t>
      </w:r>
      <w:r w:rsidRPr="00BD4853" w:rsidR="008D7BAF">
        <w:t xml:space="preserve">had </w:t>
      </w:r>
      <w:r w:rsidRPr="00BD4853" w:rsidR="00666E0F">
        <w:t xml:space="preserve">become </w:t>
      </w:r>
      <w:r w:rsidRPr="00BD4853" w:rsidR="008D7BAF">
        <w:t xml:space="preserve">time-barred, </w:t>
      </w:r>
      <w:r w:rsidRPr="00BD4853" w:rsidR="001F463B">
        <w:t>t</w:t>
      </w:r>
      <w:r w:rsidRPr="00BD4853" w:rsidR="00A16D99">
        <w:t>he</w:t>
      </w:r>
      <w:r w:rsidRPr="00BD4853" w:rsidR="001F463B">
        <w:t>ir</w:t>
      </w:r>
      <w:r w:rsidRPr="00BD4853" w:rsidR="00A16D99">
        <w:t xml:space="preserve"> legitimate expectations </w:t>
      </w:r>
      <w:r w:rsidRPr="00BD4853" w:rsidR="00041A15">
        <w:t xml:space="preserve">were </w:t>
      </w:r>
      <w:r w:rsidRPr="00BD4853" w:rsidR="005F262F">
        <w:t>in any event</w:t>
      </w:r>
      <w:r w:rsidRPr="00BD4853" w:rsidDel="005F262F" w:rsidR="005F262F">
        <w:t xml:space="preserve"> </w:t>
      </w:r>
      <w:r w:rsidRPr="00BD4853" w:rsidR="005F262F">
        <w:t xml:space="preserve">no </w:t>
      </w:r>
      <w:r w:rsidRPr="00BD4853" w:rsidR="008D7BAF">
        <w:t xml:space="preserve">more than </w:t>
      </w:r>
      <w:r w:rsidRPr="00BD4853" w:rsidR="001F463B">
        <w:t>relative.</w:t>
      </w:r>
    </w:p>
    <w:p w:rsidRPr="00BD4853" w:rsidR="003B4061" w:rsidP="00BD4853" w:rsidRDefault="00BD4853">
      <w:pPr>
        <w:pStyle w:val="ECHRPara"/>
      </w:pPr>
      <w:fldSimple w:instr=" SEQ level0 \*arabic ">
        <w:r w:rsidRPr="00BD4853">
          <w:rPr>
            <w:noProof/>
          </w:rPr>
          <w:t>76</w:t>
        </w:r>
      </w:fldSimple>
      <w:r w:rsidRPr="00BD4853" w:rsidR="00A22802">
        <w:t>.  </w:t>
      </w:r>
      <w:r w:rsidRPr="00BD4853" w:rsidR="009235AB">
        <w:rPr>
          <w:lang w:val="en-GB"/>
        </w:rPr>
        <w:t>Furthermore it has to be taken into account</w:t>
      </w:r>
      <w:r w:rsidRPr="00BD4853" w:rsidR="00CE151F">
        <w:rPr>
          <w:lang w:val="en-GB"/>
        </w:rPr>
        <w:t xml:space="preserve"> that </w:t>
      </w:r>
      <w:r w:rsidRPr="00BD4853" w:rsidR="00912368">
        <w:t xml:space="preserve">the applicants brought </w:t>
      </w:r>
      <w:r w:rsidRPr="00BD4853" w:rsidR="00CE4A49">
        <w:t>actions before the domestic courts</w:t>
      </w:r>
      <w:r w:rsidRPr="00BD4853" w:rsidR="00912368">
        <w:t xml:space="preserve"> </w:t>
      </w:r>
      <w:r w:rsidRPr="00BD4853" w:rsidR="00CE4A49">
        <w:t xml:space="preserve">directly after </w:t>
      </w:r>
      <w:r w:rsidRPr="00BD4853" w:rsidR="00CE4A49">
        <w:rPr>
          <w:lang w:val="en-GB"/>
        </w:rPr>
        <w:t xml:space="preserve">the delivery of the judgment in </w:t>
      </w:r>
      <w:r w:rsidRPr="00BD4853" w:rsidR="00CE4A49">
        <w:rPr>
          <w:i/>
          <w:lang w:val="en-GB"/>
        </w:rPr>
        <w:t>Brauer</w:t>
      </w:r>
      <w:r w:rsidRPr="00BD4853" w:rsidR="00CE4A49">
        <w:rPr>
          <w:lang w:val="en-GB"/>
        </w:rPr>
        <w:t xml:space="preserve"> </w:t>
      </w:r>
      <w:r w:rsidRPr="00BD4853" w:rsidR="00197B16">
        <w:rPr>
          <w:lang w:val="en-GB"/>
        </w:rPr>
        <w:t xml:space="preserve">(cited above, </w:t>
      </w:r>
      <w:r w:rsidRPr="00BD4853" w:rsidR="00711976">
        <w:rPr>
          <w:lang w:val="en-GB"/>
        </w:rPr>
        <w:t xml:space="preserve">compare </w:t>
      </w:r>
      <w:r w:rsidRPr="00BD4853" w:rsidR="00711976">
        <w:rPr>
          <w:i/>
          <w:lang w:val="en-GB"/>
        </w:rPr>
        <w:t>Fabris</w:t>
      </w:r>
      <w:r w:rsidRPr="00BD4853" w:rsidR="00711976">
        <w:rPr>
          <w:lang w:val="en-GB"/>
        </w:rPr>
        <w:t>, cited above, § 68)</w:t>
      </w:r>
      <w:r w:rsidRPr="00BD4853" w:rsidR="00A932AE">
        <w:rPr>
          <w:lang w:val="en-GB"/>
        </w:rPr>
        <w:t>.</w:t>
      </w:r>
      <w:r w:rsidRPr="00BD4853" w:rsidR="00982123">
        <w:rPr>
          <w:lang w:val="en-GB"/>
        </w:rPr>
        <w:t xml:space="preserve"> </w:t>
      </w:r>
      <w:r w:rsidRPr="00BD4853" w:rsidR="001E4DEC">
        <w:t xml:space="preserve">The passage of time is thus not a factor which could be held against </w:t>
      </w:r>
      <w:r w:rsidRPr="00BD4853" w:rsidR="000F35C6">
        <w:t>them</w:t>
      </w:r>
      <w:r w:rsidRPr="00BD4853" w:rsidR="001E4DEC">
        <w:t>.</w:t>
      </w:r>
    </w:p>
    <w:p w:rsidRPr="00BD4853" w:rsidR="003B4061" w:rsidP="00BD4853" w:rsidRDefault="00BD4853">
      <w:pPr>
        <w:pStyle w:val="ECHRPara"/>
      </w:pPr>
      <w:fldSimple w:instr=" SEQ level0 \*arabic ">
        <w:r w:rsidRPr="00BD4853">
          <w:rPr>
            <w:noProof/>
          </w:rPr>
          <w:t>77</w:t>
        </w:r>
      </w:fldSimple>
      <w:r w:rsidRPr="00BD4853" w:rsidR="0072543D">
        <w:t>.  </w:t>
      </w:r>
      <w:r w:rsidRPr="00BD4853" w:rsidR="004A6DC0">
        <w:t>I</w:t>
      </w:r>
      <w:r w:rsidRPr="00BD4853" w:rsidR="001E5AE3">
        <w:t>n</w:t>
      </w:r>
      <w:r w:rsidRPr="00BD4853" w:rsidR="00146085">
        <w:t xml:space="preserve"> conclusion,</w:t>
      </w:r>
      <w:r w:rsidRPr="00BD4853" w:rsidR="00B81337">
        <w:t xml:space="preserve"> </w:t>
      </w:r>
      <w:r w:rsidRPr="00BD4853" w:rsidR="001E4DEC">
        <w:t>while in the case of the second applicant the family members of the deceased might not have known of the existence of another potential heir, all the other factors in the proportionality test heavily weigh in favour of the applicants.</w:t>
      </w:r>
      <w:r w:rsidRPr="00BD4853" w:rsidR="00146085">
        <w:t xml:space="preserve"> </w:t>
      </w:r>
      <w:r w:rsidRPr="00BD4853" w:rsidR="001E4DEC">
        <w:t>The</w:t>
      </w:r>
      <w:r w:rsidRPr="00BD4853" w:rsidR="00AA6BAF">
        <w:t xml:space="preserve"> only factors which rendered the applicants ineligible to a statutory portion of their fathers</w:t>
      </w:r>
      <w:r w:rsidRPr="00BD4853">
        <w:t>’</w:t>
      </w:r>
      <w:r w:rsidRPr="00BD4853" w:rsidR="00AA6BAF">
        <w:t xml:space="preserve"> estates were, firstly, that they had been born outside marriage before 1 July 1949 and, secondly, that their fathers had died before 28 May 2009. </w:t>
      </w:r>
      <w:r w:rsidRPr="00BD4853" w:rsidR="00A22802">
        <w:t>Having regard to the paramount importance of eliminating all difference</w:t>
      </w:r>
      <w:r w:rsidRPr="00BD4853" w:rsidR="001B63DB">
        <w:t>s</w:t>
      </w:r>
      <w:r w:rsidRPr="00BD4853" w:rsidR="00A22802">
        <w:t xml:space="preserve"> in treatment between children born within and outside marriage</w:t>
      </w:r>
      <w:r w:rsidRPr="00BD4853" w:rsidR="00116879">
        <w:t>,</w:t>
      </w:r>
      <w:r w:rsidRPr="00BD4853" w:rsidR="00A22802">
        <w:t xml:space="preserve"> the domestic courts</w:t>
      </w:r>
      <w:r w:rsidRPr="00BD4853">
        <w:t>’</w:t>
      </w:r>
      <w:r w:rsidRPr="00BD4853" w:rsidR="00A22802">
        <w:t xml:space="preserve"> arguments based on legal certainty</w:t>
      </w:r>
      <w:r w:rsidRPr="00BD4853" w:rsidR="00AA6BAF">
        <w:t>, though being a weighty factor,</w:t>
      </w:r>
      <w:r w:rsidRPr="00BD4853" w:rsidR="00A22802">
        <w:t xml:space="preserve"> were not sufficient to override the applicants</w:t>
      </w:r>
      <w:r w:rsidRPr="00BD4853">
        <w:t>’</w:t>
      </w:r>
      <w:r w:rsidRPr="00BD4853" w:rsidR="00A22802">
        <w:t xml:space="preserve"> claims to a share in their fathers</w:t>
      </w:r>
      <w:r w:rsidRPr="00BD4853">
        <w:t>’</w:t>
      </w:r>
      <w:r w:rsidRPr="00BD4853" w:rsidR="00A22802">
        <w:t xml:space="preserve"> estate</w:t>
      </w:r>
      <w:r w:rsidRPr="00BD4853" w:rsidR="0059199E">
        <w:t xml:space="preserve"> under the specific circumstances</w:t>
      </w:r>
      <w:r w:rsidRPr="00BD4853" w:rsidR="00A22802">
        <w:t>.</w:t>
      </w:r>
    </w:p>
    <w:p w:rsidRPr="00BD4853" w:rsidR="000A3E46" w:rsidP="00BD4853" w:rsidRDefault="00BD4853">
      <w:pPr>
        <w:pStyle w:val="ECHRPara"/>
        <w:rPr>
          <w:lang w:val="en-GB"/>
        </w:rPr>
      </w:pPr>
      <w:fldSimple w:instr=" SEQ level0 \*arabic ">
        <w:r w:rsidRPr="00BD4853">
          <w:rPr>
            <w:noProof/>
          </w:rPr>
          <w:t>78</w:t>
        </w:r>
      </w:fldSimple>
      <w:r w:rsidRPr="00BD4853" w:rsidR="00116879">
        <w:t>.  </w:t>
      </w:r>
      <w:r w:rsidRPr="00BD4853" w:rsidR="001E4DEC">
        <w:t>T</w:t>
      </w:r>
      <w:r w:rsidRPr="00BD4853" w:rsidR="00685504">
        <w:t xml:space="preserve">he </w:t>
      </w:r>
      <w:r w:rsidRPr="00BD4853" w:rsidR="00374DBD">
        <w:t xml:space="preserve">newly introduced </w:t>
      </w:r>
      <w:r w:rsidRPr="00BD4853" w:rsidR="00685504">
        <w:t>cut-off date of 2</w:t>
      </w:r>
      <w:r w:rsidRPr="00BD4853" w:rsidR="0072543D">
        <w:t>8</w:t>
      </w:r>
      <w:r w:rsidRPr="00BD4853" w:rsidR="00685504">
        <w:t xml:space="preserve"> May 2009 had</w:t>
      </w:r>
      <w:r w:rsidRPr="00BD4853" w:rsidR="00374DBD">
        <w:t xml:space="preserve"> </w:t>
      </w:r>
      <w:r w:rsidRPr="00BD4853" w:rsidR="00685504">
        <w:t xml:space="preserve">no impact on </w:t>
      </w:r>
      <w:r w:rsidRPr="00BD4853" w:rsidR="001E4DEC">
        <w:t xml:space="preserve">the </w:t>
      </w:r>
      <w:r w:rsidRPr="00BD4853" w:rsidR="00875342">
        <w:t>legal position</w:t>
      </w:r>
      <w:r w:rsidRPr="00BD4853" w:rsidR="001E4DEC">
        <w:t xml:space="preserve"> of the applicants</w:t>
      </w:r>
      <w:r w:rsidRPr="00BD4853" w:rsidR="00875342">
        <w:t xml:space="preserve"> with regard to</w:t>
      </w:r>
      <w:r w:rsidRPr="00BD4853" w:rsidR="00685504">
        <w:t xml:space="preserve"> </w:t>
      </w:r>
      <w:r w:rsidRPr="00BD4853" w:rsidR="005F262F">
        <w:t xml:space="preserve">the </w:t>
      </w:r>
      <w:r w:rsidRPr="00BD4853" w:rsidR="00685504">
        <w:t>right</w:t>
      </w:r>
      <w:r w:rsidRPr="00BD4853" w:rsidR="000B2360">
        <w:t>s of other heirs</w:t>
      </w:r>
      <w:r w:rsidRPr="00BD4853" w:rsidR="00685504">
        <w:t xml:space="preserve"> to a statutory portion of the estate</w:t>
      </w:r>
      <w:r w:rsidRPr="00BD4853" w:rsidR="009169CB">
        <w:t>. I</w:t>
      </w:r>
      <w:r w:rsidRPr="00BD4853" w:rsidR="00F46C72">
        <w:t xml:space="preserve">t </w:t>
      </w:r>
      <w:r w:rsidRPr="00BD4853" w:rsidR="00875342">
        <w:t>remains</w:t>
      </w:r>
      <w:r w:rsidRPr="00BD4853" w:rsidR="000B2360">
        <w:t xml:space="preserve"> precisely the</w:t>
      </w:r>
      <w:r w:rsidRPr="00BD4853" w:rsidR="00F46C72">
        <w:t xml:space="preserve"> </w:t>
      </w:r>
      <w:r w:rsidRPr="00BD4853" w:rsidR="009169CB">
        <w:t xml:space="preserve">difference in treatment </w:t>
      </w:r>
      <w:r w:rsidRPr="00BD4853" w:rsidR="00F46C72">
        <w:t xml:space="preserve">based on </w:t>
      </w:r>
      <w:r w:rsidRPr="00BD4853" w:rsidR="00875342">
        <w:t>the applicants</w:t>
      </w:r>
      <w:r w:rsidRPr="00BD4853">
        <w:t>’</w:t>
      </w:r>
      <w:r w:rsidRPr="00BD4853" w:rsidR="00875342">
        <w:t xml:space="preserve"> status as children born outside marriage</w:t>
      </w:r>
      <w:r w:rsidRPr="00BD4853" w:rsidR="009169CB">
        <w:t xml:space="preserve"> </w:t>
      </w:r>
      <w:r w:rsidRPr="00BD4853" w:rsidR="007121D9">
        <w:t xml:space="preserve">which excluded </w:t>
      </w:r>
      <w:r w:rsidRPr="00BD4853" w:rsidR="0012013E">
        <w:t>them</w:t>
      </w:r>
      <w:r w:rsidRPr="00BD4853" w:rsidR="009169CB">
        <w:t xml:space="preserve"> </w:t>
      </w:r>
      <w:r w:rsidRPr="00BD4853" w:rsidR="007121D9">
        <w:rPr>
          <w:lang w:val="en-GB"/>
        </w:rPr>
        <w:t>from any entitlement to the estate</w:t>
      </w:r>
      <w:r w:rsidRPr="00BD4853" w:rsidR="00F46C72">
        <w:t>.</w:t>
      </w:r>
      <w:r w:rsidRPr="00BD4853" w:rsidR="001E5AE3">
        <w:t xml:space="preserve"> </w:t>
      </w:r>
      <w:r w:rsidRPr="00BD4853" w:rsidR="0012013E">
        <w:t xml:space="preserve">The Court has found such </w:t>
      </w:r>
      <w:r w:rsidRPr="00BD4853" w:rsidR="001B63DB">
        <w:t xml:space="preserve">a </w:t>
      </w:r>
      <w:r w:rsidRPr="00BD4853" w:rsidR="0012013E">
        <w:t xml:space="preserve">difference </w:t>
      </w:r>
      <w:r w:rsidRPr="00BD4853" w:rsidR="001B63DB">
        <w:t xml:space="preserve">in treatment </w:t>
      </w:r>
      <w:r w:rsidRPr="00BD4853" w:rsidR="0012013E">
        <w:t>to be contrary to the guarantees of Article 14 of the Convention.</w:t>
      </w:r>
    </w:p>
    <w:p w:rsidRPr="00BD4853" w:rsidR="006B4FFF" w:rsidP="00BD4853" w:rsidRDefault="00BD4853">
      <w:pPr>
        <w:pStyle w:val="ECHRPara"/>
      </w:pPr>
      <w:fldSimple w:instr=" SEQ level0 \*arabic ">
        <w:r w:rsidRPr="00BD4853">
          <w:rPr>
            <w:noProof/>
          </w:rPr>
          <w:t>79</w:t>
        </w:r>
      </w:fldSimple>
      <w:r w:rsidRPr="00BD4853" w:rsidR="008E0062">
        <w:t>. </w:t>
      </w:r>
      <w:r w:rsidRPr="00BD4853" w:rsidR="00847B08">
        <w:t> </w:t>
      </w:r>
      <w:r w:rsidRPr="00BD4853" w:rsidR="00912368">
        <w:t>Lastly</w:t>
      </w:r>
      <w:r w:rsidRPr="00BD4853" w:rsidR="008E0062">
        <w:t xml:space="preserve">, the Court bears in mind that the application of the </w:t>
      </w:r>
      <w:r w:rsidRPr="00BD4853" w:rsidR="00912368">
        <w:t xml:space="preserve">amended </w:t>
      </w:r>
      <w:r w:rsidRPr="00BD4853" w:rsidR="008E0062">
        <w:t>first sentence of section 12(10)(2) of the Children Born outside Marriage (Legal Status) Act excluded the applicant</w:t>
      </w:r>
      <w:r w:rsidRPr="00BD4853" w:rsidR="00912368">
        <w:t>s</w:t>
      </w:r>
      <w:r w:rsidRPr="00BD4853" w:rsidR="008E0062">
        <w:t xml:space="preserve"> from any statutory entitlement to the estate without affording </w:t>
      </w:r>
      <w:r w:rsidRPr="00BD4853" w:rsidR="00912368">
        <w:t>them</w:t>
      </w:r>
      <w:r w:rsidRPr="00BD4853" w:rsidR="008E0062">
        <w:t xml:space="preserve"> any financial compensation</w:t>
      </w:r>
      <w:r w:rsidRPr="00BD4853" w:rsidR="00912368">
        <w:t xml:space="preserve">, as did the former version </w:t>
      </w:r>
      <w:r w:rsidRPr="00BD4853" w:rsidR="0055346A">
        <w:t xml:space="preserve">of the law, </w:t>
      </w:r>
      <w:r w:rsidRPr="00BD4853" w:rsidR="00912368">
        <w:t xml:space="preserve">which was </w:t>
      </w:r>
      <w:r w:rsidRPr="00BD4853" w:rsidR="00CE48C6">
        <w:t>found</w:t>
      </w:r>
      <w:r w:rsidRPr="00BD4853" w:rsidR="00912368">
        <w:t xml:space="preserve"> to be </w:t>
      </w:r>
      <w:r w:rsidRPr="00BD4853" w:rsidR="00D06B17">
        <w:t>in</w:t>
      </w:r>
      <w:r w:rsidRPr="00BD4853" w:rsidR="00614761">
        <w:t xml:space="preserve"> </w:t>
      </w:r>
      <w:r w:rsidRPr="00BD4853" w:rsidR="00CE48C6">
        <w:t>violati</w:t>
      </w:r>
      <w:r w:rsidRPr="00BD4853" w:rsidR="00614761">
        <w:t>o</w:t>
      </w:r>
      <w:r w:rsidRPr="00BD4853" w:rsidR="00CE48C6">
        <w:t>n</w:t>
      </w:r>
      <w:r w:rsidRPr="00BD4853" w:rsidR="00614761">
        <w:t xml:space="preserve"> of </w:t>
      </w:r>
      <w:r w:rsidRPr="00BD4853" w:rsidR="00694EDA">
        <w:t>C</w:t>
      </w:r>
      <w:r w:rsidRPr="00BD4853" w:rsidR="00912368">
        <w:t>onvention rights</w:t>
      </w:r>
      <w:r w:rsidRPr="00BD4853" w:rsidR="008E0062">
        <w:t xml:space="preserve"> </w:t>
      </w:r>
      <w:r w:rsidRPr="00BD4853" w:rsidR="008E0062">
        <w:rPr>
          <w:lang w:val="en-GB"/>
        </w:rPr>
        <w:t>(</w:t>
      </w:r>
      <w:r w:rsidRPr="00BD4853" w:rsidR="00614761">
        <w:rPr>
          <w:lang w:val="en-GB"/>
        </w:rPr>
        <w:t xml:space="preserve">see </w:t>
      </w:r>
      <w:r w:rsidRPr="00BD4853" w:rsidR="008E0062">
        <w:rPr>
          <w:i/>
          <w:lang w:val="en-GB"/>
        </w:rPr>
        <w:t>Brauer</w:t>
      </w:r>
      <w:r w:rsidRPr="00BD4853" w:rsidR="008E0062">
        <w:rPr>
          <w:lang w:val="en-GB"/>
        </w:rPr>
        <w:t>, cited above, § 44)</w:t>
      </w:r>
      <w:r w:rsidRPr="00BD4853" w:rsidR="008E0062">
        <w:t>.</w:t>
      </w:r>
    </w:p>
    <w:p w:rsidRPr="00BD4853" w:rsidR="00223914" w:rsidP="00BD4853" w:rsidRDefault="00BD4853">
      <w:pPr>
        <w:pStyle w:val="ECHRPara"/>
      </w:pPr>
      <w:fldSimple w:instr=" SEQ level0 \*arabic ">
        <w:r w:rsidRPr="00BD4853">
          <w:rPr>
            <w:noProof/>
          </w:rPr>
          <w:t>80</w:t>
        </w:r>
      </w:fldSimple>
      <w:r w:rsidRPr="00BD4853" w:rsidR="00223914">
        <w:t>.  The foregoing considerations are sufficient to enable the Court to conclude that there was no reasonable relationship of proportionality between the means employed and the aim pursued.</w:t>
      </w:r>
    </w:p>
    <w:p w:rsidRPr="00BD4853" w:rsidR="00957B89" w:rsidP="00BD4853" w:rsidRDefault="00BD4853">
      <w:pPr>
        <w:pStyle w:val="ECHRPara"/>
      </w:pPr>
      <w:fldSimple w:instr=" SEQ level0 \*arabic ">
        <w:r w:rsidRPr="00BD4853">
          <w:rPr>
            <w:noProof/>
          </w:rPr>
          <w:t>81</w:t>
        </w:r>
      </w:fldSimple>
      <w:r w:rsidRPr="00BD4853" w:rsidR="00223914">
        <w:t>.  There has therefore been a violation of Article 14 of the Convention tak</w:t>
      </w:r>
      <w:r w:rsidRPr="00BD4853" w:rsidR="00957B89">
        <w:t xml:space="preserve">en in conjunction with Article 1 of Protocol </w:t>
      </w:r>
      <w:r w:rsidRPr="00BD4853" w:rsidR="00F05DA6">
        <w:t xml:space="preserve">No. </w:t>
      </w:r>
      <w:r w:rsidRPr="00BD4853" w:rsidR="00957B89">
        <w:t>1</w:t>
      </w:r>
      <w:r w:rsidRPr="00BD4853" w:rsidR="00F111E8">
        <w:t>.</w:t>
      </w:r>
    </w:p>
    <w:p w:rsidRPr="00BD4853" w:rsidR="006B4FFF" w:rsidP="00BD4853" w:rsidRDefault="00957B89">
      <w:pPr>
        <w:pStyle w:val="ECHRHeading1"/>
        <w:rPr>
          <w:lang w:val="en-GB"/>
        </w:rPr>
      </w:pPr>
      <w:r w:rsidRPr="00BD4853">
        <w:rPr>
          <w:lang w:val="en-GB"/>
        </w:rPr>
        <w:t>I</w:t>
      </w:r>
      <w:r w:rsidRPr="00BD4853" w:rsidR="002913E6">
        <w:rPr>
          <w:lang w:val="en-GB"/>
        </w:rPr>
        <w:t>I</w:t>
      </w:r>
      <w:r w:rsidRPr="00BD4853">
        <w:rPr>
          <w:lang w:val="en-GB"/>
        </w:rPr>
        <w:t xml:space="preserve">I.  ALLEGED VIOLATION OF ARTICLE 14 OF THE CONVENTION TAKEN IN CONJUNCTION WITH ARTICLE </w:t>
      </w:r>
      <w:r w:rsidRPr="00BD4853" w:rsidR="00AF7853">
        <w:rPr>
          <w:lang w:val="en-GB"/>
        </w:rPr>
        <w:t>8</w:t>
      </w:r>
    </w:p>
    <w:p w:rsidRPr="00BD4853" w:rsidR="00957B89" w:rsidP="00BD4853" w:rsidRDefault="00957B89">
      <w:pPr>
        <w:pStyle w:val="ECHRPara"/>
      </w:pPr>
      <w:r w:rsidRPr="00BD4853">
        <w:rPr>
          <w:lang w:val="en-GB"/>
        </w:rPr>
        <w:fldChar w:fldCharType="begin"/>
      </w:r>
      <w:r w:rsidRPr="00BD4853">
        <w:rPr>
          <w:lang w:val="en-GB"/>
        </w:rPr>
        <w:instrText xml:space="preserve"> SEQ level0 \*arabic </w:instrText>
      </w:r>
      <w:r w:rsidRPr="00BD4853">
        <w:rPr>
          <w:lang w:val="en-GB"/>
        </w:rPr>
        <w:fldChar w:fldCharType="separate"/>
      </w:r>
      <w:r w:rsidRPr="00BD4853" w:rsidR="00BD4853">
        <w:rPr>
          <w:noProof/>
          <w:lang w:val="en-GB"/>
        </w:rPr>
        <w:t>82</w:t>
      </w:r>
      <w:r w:rsidRPr="00BD4853">
        <w:rPr>
          <w:lang w:val="en-GB"/>
        </w:rPr>
        <w:fldChar w:fldCharType="end"/>
      </w:r>
      <w:r w:rsidRPr="00BD4853">
        <w:rPr>
          <w:lang w:val="en-GB"/>
        </w:rPr>
        <w:t>.  </w:t>
      </w:r>
      <w:r w:rsidRPr="00BD4853">
        <w:t>The applicant</w:t>
      </w:r>
      <w:r w:rsidRPr="00BD4853" w:rsidR="00F111E8">
        <w:t>s</w:t>
      </w:r>
      <w:r w:rsidRPr="00BD4853">
        <w:t xml:space="preserve"> complained, on the same grounds as those relied on above in connection with the right to </w:t>
      </w:r>
      <w:r w:rsidRPr="00BD4853" w:rsidR="00614761">
        <w:t xml:space="preserve">the </w:t>
      </w:r>
      <w:r w:rsidRPr="00BD4853">
        <w:t xml:space="preserve">peaceful enjoyment of </w:t>
      </w:r>
      <w:r w:rsidRPr="00BD4853" w:rsidR="00CD42BE">
        <w:t xml:space="preserve">their </w:t>
      </w:r>
      <w:r w:rsidRPr="00BD4853">
        <w:t>possessions, of unjustified discrimination</w:t>
      </w:r>
      <w:r w:rsidRPr="00BD4853" w:rsidR="00694EDA">
        <w:t>,</w:t>
      </w:r>
      <w:r w:rsidRPr="00BD4853">
        <w:t xml:space="preserve"> infringing </w:t>
      </w:r>
      <w:r w:rsidRPr="00BD4853" w:rsidR="00F111E8">
        <w:t>their</w:t>
      </w:r>
      <w:r w:rsidRPr="00BD4853">
        <w:t xml:space="preserve"> right to respect for </w:t>
      </w:r>
      <w:r w:rsidRPr="00BD4853" w:rsidR="00F111E8">
        <w:t>their</w:t>
      </w:r>
      <w:r w:rsidRPr="00BD4853">
        <w:t xml:space="preserve"> family life</w:t>
      </w:r>
      <w:r w:rsidRPr="00BD4853" w:rsidR="00614761">
        <w:t>,</w:t>
      </w:r>
      <w:r w:rsidRPr="00BD4853">
        <w:t xml:space="preserve"> </w:t>
      </w:r>
      <w:r w:rsidRPr="00BD4853" w:rsidR="00614761">
        <w:t xml:space="preserve">as </w:t>
      </w:r>
      <w:r w:rsidRPr="00BD4853">
        <w:t>guaranteed by Article 14 of the Convention taken in conjunction with Article 8</w:t>
      </w:r>
      <w:r w:rsidRPr="00BD4853" w:rsidR="00D06B17">
        <w:t>.</w:t>
      </w:r>
    </w:p>
    <w:p w:rsidRPr="00BD4853" w:rsidR="00197B16" w:rsidP="00BD4853" w:rsidRDefault="00BD4853">
      <w:pPr>
        <w:pStyle w:val="ECHRPara"/>
        <w:rPr>
          <w:i/>
          <w:lang w:val="en-GB"/>
        </w:rPr>
      </w:pPr>
      <w:fldSimple w:instr=" SEQ level0 \*arabic ">
        <w:r w:rsidRPr="00BD4853">
          <w:rPr>
            <w:noProof/>
          </w:rPr>
          <w:t>83</w:t>
        </w:r>
      </w:fldSimple>
      <w:r w:rsidRPr="00BD4853" w:rsidR="00197B16">
        <w:t>.  </w:t>
      </w:r>
      <w:r w:rsidRPr="00BD4853" w:rsidR="004B4E23">
        <w:t xml:space="preserve">However, having regard to the facts of the cases, the submissions of the parties and its findings under Article 14 of the Convention taken in conjunction with Article 1 of Protocol </w:t>
      </w:r>
      <w:r w:rsidRPr="00BD4853" w:rsidR="00CB36CD">
        <w:t xml:space="preserve">No. </w:t>
      </w:r>
      <w:r w:rsidRPr="00BD4853" w:rsidR="004B4E23">
        <w:t>1, the Court considers that it has examined the main legal questions raised in the present two applications and that there is no need to give a separate ruling on the remaining complaints</w:t>
      </w:r>
      <w:r w:rsidRPr="00BD4853" w:rsidR="00F7687D">
        <w:t xml:space="preserve"> (compare </w:t>
      </w:r>
      <w:r w:rsidRPr="00BD4853" w:rsidR="00F7687D">
        <w:rPr>
          <w:i/>
          <w:lang w:val="en-GB"/>
        </w:rPr>
        <w:t>Centre for Legal Resources on</w:t>
      </w:r>
      <w:r w:rsidRPr="00BD4853" w:rsidR="00EC07F8">
        <w:rPr>
          <w:i/>
          <w:lang w:val="en-GB"/>
        </w:rPr>
        <w:t xml:space="preserve"> behalf of Valentin Câmpeanu v. </w:t>
      </w:r>
      <w:r w:rsidRPr="00BD4853" w:rsidR="00F7687D">
        <w:rPr>
          <w:i/>
          <w:lang w:val="en-GB"/>
        </w:rPr>
        <w:t>Romania</w:t>
      </w:r>
      <w:r w:rsidRPr="00BD4853" w:rsidR="00F7687D">
        <w:rPr>
          <w:lang w:val="en-GB"/>
        </w:rPr>
        <w:t xml:space="preserve"> [GC], no. 47848/08, § 156, ECHR 2014)</w:t>
      </w:r>
      <w:r w:rsidRPr="00BD4853" w:rsidR="004B4E23">
        <w:t>.</w:t>
      </w:r>
    </w:p>
    <w:p w:rsidRPr="00BD4853" w:rsidR="00223914" w:rsidP="00BD4853" w:rsidRDefault="00223914">
      <w:pPr>
        <w:pStyle w:val="ECHRHeading1"/>
        <w:rPr>
          <w:lang w:val="en-GB"/>
        </w:rPr>
      </w:pPr>
      <w:r w:rsidRPr="00BD4853">
        <w:rPr>
          <w:lang w:val="en-GB"/>
        </w:rPr>
        <w:t>I</w:t>
      </w:r>
      <w:r w:rsidRPr="00BD4853" w:rsidR="002913E6">
        <w:rPr>
          <w:lang w:val="en-GB"/>
        </w:rPr>
        <w:t>V</w:t>
      </w:r>
      <w:r w:rsidRPr="00BD4853">
        <w:rPr>
          <w:lang w:val="en-GB"/>
        </w:rPr>
        <w:t>.  APPLICATION OF ARTICLE 41 OF THE CONVENTION</w:t>
      </w:r>
    </w:p>
    <w:p w:rsidRPr="00BD4853" w:rsidR="00223914" w:rsidP="00BD4853" w:rsidRDefault="00223914">
      <w:pPr>
        <w:pStyle w:val="ECHRPara"/>
        <w:rPr>
          <w:lang w:val="en-GB"/>
        </w:rPr>
      </w:pPr>
      <w:r w:rsidRPr="00BD4853">
        <w:rPr>
          <w:lang w:val="en-GB"/>
        </w:rPr>
        <w:fldChar w:fldCharType="begin"/>
      </w:r>
      <w:r w:rsidRPr="00BD4853">
        <w:rPr>
          <w:lang w:val="en-GB"/>
        </w:rPr>
        <w:instrText xml:space="preserve"> SEQ level0 \*arabic </w:instrText>
      </w:r>
      <w:r w:rsidRPr="00BD4853">
        <w:rPr>
          <w:lang w:val="en-GB"/>
        </w:rPr>
        <w:fldChar w:fldCharType="separate"/>
      </w:r>
      <w:r w:rsidRPr="00BD4853" w:rsidR="00BD4853">
        <w:rPr>
          <w:noProof/>
          <w:lang w:val="en-GB"/>
        </w:rPr>
        <w:t>84</w:t>
      </w:r>
      <w:r w:rsidRPr="00BD4853">
        <w:rPr>
          <w:lang w:val="en-GB"/>
        </w:rPr>
        <w:fldChar w:fldCharType="end"/>
      </w:r>
      <w:r w:rsidRPr="00BD4853">
        <w:rPr>
          <w:lang w:val="en-GB"/>
        </w:rPr>
        <w:t>.  Article 41 of the Convention provides:</w:t>
      </w:r>
    </w:p>
    <w:p w:rsidRPr="00BD4853" w:rsidR="00223914" w:rsidP="00BD4853" w:rsidRDefault="00223914">
      <w:pPr>
        <w:pStyle w:val="ECHRParaQuote"/>
        <w:keepNext/>
        <w:keepLines/>
        <w:rPr>
          <w:lang w:val="en-GB"/>
        </w:rPr>
      </w:pPr>
      <w:r w:rsidRPr="00BD4853">
        <w:rPr>
          <w:lang w:val="en-GB"/>
        </w:rPr>
        <w:t>“If the Court finds that there has been a violation of the Convention or the Protocols thereto, and if the internal law of the High Contracting Party concerned allows only partial reparation to be made, the Court shall, if necessary, afford just satisfaction to the injured party.”</w:t>
      </w:r>
    </w:p>
    <w:p w:rsidRPr="00BD4853" w:rsidR="00223914" w:rsidP="00BD4853" w:rsidRDefault="00223914">
      <w:pPr>
        <w:pStyle w:val="ECHRHeading2"/>
        <w:rPr>
          <w:lang w:val="en-GB"/>
        </w:rPr>
      </w:pPr>
      <w:r w:rsidRPr="00BD4853">
        <w:rPr>
          <w:lang w:val="en-GB"/>
        </w:rPr>
        <w:t>A. </w:t>
      </w:r>
      <w:r w:rsidRPr="00BD4853" w:rsidR="000E36AC">
        <w:rPr>
          <w:lang w:val="en-GB"/>
        </w:rPr>
        <w:t> </w:t>
      </w:r>
      <w:r w:rsidRPr="00BD4853" w:rsidR="00535890">
        <w:rPr>
          <w:lang w:val="en-GB"/>
        </w:rPr>
        <w:t>The first applicant</w:t>
      </w:r>
    </w:p>
    <w:p w:rsidRPr="00BD4853" w:rsidR="00535890" w:rsidP="00BD4853" w:rsidRDefault="00535890">
      <w:pPr>
        <w:pStyle w:val="ECHRHeading3"/>
        <w:rPr>
          <w:lang w:val="en-GB"/>
        </w:rPr>
      </w:pPr>
      <w:r w:rsidRPr="00BD4853">
        <w:rPr>
          <w:lang w:val="en-GB"/>
        </w:rPr>
        <w:t>1.</w:t>
      </w:r>
      <w:r w:rsidRPr="00BD4853" w:rsidR="000E36AC">
        <w:rPr>
          <w:lang w:val="en-GB"/>
        </w:rPr>
        <w:t>  </w:t>
      </w:r>
      <w:r w:rsidRPr="00BD4853">
        <w:rPr>
          <w:lang w:val="en-GB"/>
        </w:rPr>
        <w:t>Damage</w:t>
      </w:r>
    </w:p>
    <w:p w:rsidRPr="00BD4853" w:rsidR="00364CF4" w:rsidP="00BD4853" w:rsidRDefault="00BD4853">
      <w:pPr>
        <w:pStyle w:val="ECHRPara"/>
      </w:pPr>
      <w:fldSimple w:instr=" SEQ level0 \*arabic ">
        <w:r w:rsidRPr="00BD4853">
          <w:rPr>
            <w:noProof/>
          </w:rPr>
          <w:t>85</w:t>
        </w:r>
      </w:fldSimple>
      <w:r w:rsidRPr="00BD4853" w:rsidR="00223914">
        <w:t>.  </w:t>
      </w:r>
      <w:r w:rsidRPr="00BD4853" w:rsidR="007B6E21">
        <w:t>The first applicant claimed the sum of 25,000 euros (EUR)</w:t>
      </w:r>
      <w:r w:rsidRPr="00BD4853" w:rsidR="00980899">
        <w:t xml:space="preserve"> in respect of pecuniary damage</w:t>
      </w:r>
      <w:r w:rsidRPr="00BD4853" w:rsidR="0003377A">
        <w:t xml:space="preserve">, </w:t>
      </w:r>
      <w:r w:rsidRPr="00BD4853" w:rsidR="006B3EF1">
        <w:t xml:space="preserve">a sum </w:t>
      </w:r>
      <w:r w:rsidRPr="00BD4853" w:rsidR="0003377A">
        <w:t xml:space="preserve">he </w:t>
      </w:r>
      <w:r w:rsidRPr="00BD4853" w:rsidR="006B3EF1">
        <w:t xml:space="preserve">had been </w:t>
      </w:r>
      <w:r w:rsidRPr="00BD4853" w:rsidR="0003377A">
        <w:t>liable to pay</w:t>
      </w:r>
      <w:r w:rsidRPr="00BD4853" w:rsidR="007B6E21">
        <w:t xml:space="preserve"> </w:t>
      </w:r>
      <w:r w:rsidRPr="00BD4853" w:rsidR="00AF7853">
        <w:t xml:space="preserve">for </w:t>
      </w:r>
      <w:r w:rsidRPr="00BD4853" w:rsidR="0003377A">
        <w:t xml:space="preserve">two court settlements </w:t>
      </w:r>
      <w:r w:rsidRPr="00BD4853" w:rsidR="00980899">
        <w:t xml:space="preserve">of </w:t>
      </w:r>
      <w:r w:rsidRPr="00BD4853" w:rsidR="0003377A">
        <w:t>inheritance</w:t>
      </w:r>
      <w:r w:rsidRPr="00BD4853" w:rsidR="00AF7853">
        <w:t>-</w:t>
      </w:r>
      <w:r w:rsidRPr="00BD4853" w:rsidR="0003377A">
        <w:t xml:space="preserve">related actions brought against him. He </w:t>
      </w:r>
      <w:r w:rsidRPr="00BD4853" w:rsidR="00BC4118">
        <w:t xml:space="preserve">did not </w:t>
      </w:r>
      <w:r w:rsidRPr="00BD4853" w:rsidR="00AF7853">
        <w:t xml:space="preserve">make a </w:t>
      </w:r>
      <w:r w:rsidRPr="00BD4853" w:rsidR="00BC4118">
        <w:t xml:space="preserve">claim </w:t>
      </w:r>
      <w:r w:rsidRPr="00BD4853" w:rsidR="00AF7853">
        <w:t xml:space="preserve">in respect of </w:t>
      </w:r>
      <w:r w:rsidRPr="00BD4853" w:rsidR="007B6E21">
        <w:t>non-pecuniary damage.</w:t>
      </w:r>
    </w:p>
    <w:p w:rsidRPr="00BD4853" w:rsidR="006B4FFF" w:rsidP="00BD4853" w:rsidRDefault="00223914">
      <w:pPr>
        <w:pStyle w:val="ECHRPara"/>
      </w:pPr>
      <w:r w:rsidRPr="00BD4853">
        <w:rPr>
          <w:lang w:val="en-GB"/>
        </w:rPr>
        <w:fldChar w:fldCharType="begin"/>
      </w:r>
      <w:r w:rsidRPr="00BD4853">
        <w:rPr>
          <w:lang w:val="en-GB"/>
        </w:rPr>
        <w:instrText xml:space="preserve"> SEQ level0 \*arabic </w:instrText>
      </w:r>
      <w:r w:rsidRPr="00BD4853">
        <w:rPr>
          <w:lang w:val="en-GB"/>
        </w:rPr>
        <w:fldChar w:fldCharType="separate"/>
      </w:r>
      <w:r w:rsidRPr="00BD4853" w:rsidR="00BD4853">
        <w:rPr>
          <w:noProof/>
          <w:lang w:val="en-GB"/>
        </w:rPr>
        <w:t>86</w:t>
      </w:r>
      <w:r w:rsidRPr="00BD4853">
        <w:rPr>
          <w:lang w:val="en-GB"/>
        </w:rPr>
        <w:fldChar w:fldCharType="end"/>
      </w:r>
      <w:r w:rsidRPr="00BD4853">
        <w:rPr>
          <w:lang w:val="en-GB"/>
        </w:rPr>
        <w:t>.  </w:t>
      </w:r>
      <w:r w:rsidRPr="00BD4853">
        <w:t>The Government contested th</w:t>
      </w:r>
      <w:r w:rsidRPr="00BD4853" w:rsidR="00535890">
        <w:t>is</w:t>
      </w:r>
      <w:r w:rsidRPr="00BD4853">
        <w:t xml:space="preserve"> sum</w:t>
      </w:r>
      <w:r w:rsidRPr="00BD4853" w:rsidR="00AF00DE">
        <w:t xml:space="preserve">. </w:t>
      </w:r>
      <w:r w:rsidRPr="00BD4853" w:rsidR="00950C99">
        <w:t>They</w:t>
      </w:r>
      <w:r w:rsidRPr="00BD4853" w:rsidR="00AF7853">
        <w:t xml:space="preserve"> </w:t>
      </w:r>
      <w:r w:rsidRPr="00BD4853" w:rsidR="0027725A">
        <w:t xml:space="preserve">submitted that the first applicant </w:t>
      </w:r>
      <w:r w:rsidRPr="00BD4853" w:rsidR="00AF7853">
        <w:t xml:space="preserve">had </w:t>
      </w:r>
      <w:r w:rsidRPr="00BD4853" w:rsidR="0003377A">
        <w:t xml:space="preserve">concluded the </w:t>
      </w:r>
      <w:r w:rsidRPr="00BD4853" w:rsidR="0027725A">
        <w:t>settlement</w:t>
      </w:r>
      <w:r w:rsidRPr="00BD4853" w:rsidR="0003377A">
        <w:t xml:space="preserve">s </w:t>
      </w:r>
      <w:r w:rsidRPr="00BD4853" w:rsidR="001B63DB">
        <w:t>o</w:t>
      </w:r>
      <w:r w:rsidRPr="00BD4853" w:rsidR="00AF7853">
        <w:t xml:space="preserve">n a </w:t>
      </w:r>
      <w:r w:rsidRPr="00BD4853" w:rsidR="0003377A">
        <w:t>volu</w:t>
      </w:r>
      <w:r w:rsidRPr="00BD4853" w:rsidR="001F1D58">
        <w:t>n</w:t>
      </w:r>
      <w:r w:rsidRPr="00BD4853" w:rsidR="0003377A">
        <w:t>tary</w:t>
      </w:r>
      <w:r w:rsidRPr="00BD4853" w:rsidR="00AF7853">
        <w:t xml:space="preserve"> </w:t>
      </w:r>
      <w:r w:rsidRPr="00BD4853" w:rsidR="001B63DB">
        <w:t xml:space="preserve">basis </w:t>
      </w:r>
      <w:r w:rsidRPr="00BD4853" w:rsidR="0027725A">
        <w:t>and that therefore the Government</w:t>
      </w:r>
      <w:r w:rsidRPr="00BD4853" w:rsidR="001F1D58">
        <w:t xml:space="preserve"> was not liable for </w:t>
      </w:r>
      <w:r w:rsidRPr="00BD4853" w:rsidR="00535890">
        <w:t>the sum claimed in respect of pecuniary damage</w:t>
      </w:r>
      <w:r w:rsidRPr="00BD4853" w:rsidR="001F1D58">
        <w:t>.</w:t>
      </w:r>
    </w:p>
    <w:p w:rsidRPr="00BD4853" w:rsidR="00FD491A" w:rsidP="00BD4853" w:rsidRDefault="00BD4853">
      <w:pPr>
        <w:pStyle w:val="ECHRPara"/>
      </w:pPr>
      <w:fldSimple w:instr=" SEQ level0 \*arabic ">
        <w:r w:rsidRPr="00BD4853">
          <w:rPr>
            <w:noProof/>
          </w:rPr>
          <w:t>87</w:t>
        </w:r>
      </w:fldSimple>
      <w:r w:rsidRPr="00BD4853" w:rsidR="001F1D58">
        <w:t xml:space="preserve">.  As regards the </w:t>
      </w:r>
      <w:r w:rsidRPr="00BD4853" w:rsidR="00175C88">
        <w:t xml:space="preserve">first </w:t>
      </w:r>
      <w:r w:rsidRPr="00BD4853" w:rsidR="001F1D58">
        <w:t>applicant</w:t>
      </w:r>
      <w:r w:rsidRPr="00BD4853">
        <w:t>’</w:t>
      </w:r>
      <w:r w:rsidRPr="00BD4853" w:rsidR="001F1D58">
        <w:t xml:space="preserve">s claims </w:t>
      </w:r>
      <w:r w:rsidRPr="00BD4853" w:rsidR="00980899">
        <w:t xml:space="preserve">in respect of </w:t>
      </w:r>
      <w:r w:rsidRPr="00BD4853" w:rsidR="001F1D58">
        <w:t>pecuniary loss, the Court</w:t>
      </w:r>
      <w:r w:rsidRPr="00BD4853">
        <w:t>’</w:t>
      </w:r>
      <w:r w:rsidRPr="00BD4853" w:rsidR="001F1D58">
        <w:t>s case-law establishes that there must be a clear</w:t>
      </w:r>
      <w:r w:rsidRPr="00BD4853" w:rsidR="00AF7853">
        <w:t>,</w:t>
      </w:r>
      <w:r w:rsidRPr="00BD4853" w:rsidR="001F1D58">
        <w:t xml:space="preserve"> causal connection between the damage </w:t>
      </w:r>
      <w:r w:rsidRPr="00BD4853" w:rsidR="001B63DB">
        <w:t xml:space="preserve">alleged </w:t>
      </w:r>
      <w:r w:rsidRPr="00BD4853" w:rsidR="001F1D58">
        <w:t>by the applicant and the violation of the Convention</w:t>
      </w:r>
      <w:r w:rsidRPr="00BD4853" w:rsidR="00AF7853">
        <w:t xml:space="preserve"> found</w:t>
      </w:r>
      <w:r w:rsidRPr="00BD4853" w:rsidR="001F1D58">
        <w:t xml:space="preserve"> (see, among other authorities, </w:t>
      </w:r>
      <w:r w:rsidRPr="00BD4853" w:rsidR="001F1D58">
        <w:rPr>
          <w:i/>
        </w:rPr>
        <w:t>Stretch v. the United Kingdom</w:t>
      </w:r>
      <w:r w:rsidRPr="00BD4853" w:rsidR="001F1D58">
        <w:t xml:space="preserve">, no. </w:t>
      </w:r>
      <w:hyperlink w:tgtFrame="_blank" w:history="1" w:anchor="{&quot;appno&quot;:[&quot;44277/98&quot;]}" r:id="rId12">
        <w:r w:rsidRPr="00BD4853" w:rsidR="001F1D58">
          <w:t>44277/98</w:t>
        </w:r>
      </w:hyperlink>
      <w:r w:rsidRPr="00BD4853" w:rsidR="001F1D58">
        <w:t xml:space="preserve">, § 47, 24 June 2003). </w:t>
      </w:r>
      <w:r w:rsidRPr="00BD4853" w:rsidR="00F41556">
        <w:t>The Court does not discern any causal link between the violation found and the pecuniary damage the first applicant allegedly suffered and it therefore rejects that claim.</w:t>
      </w:r>
    </w:p>
    <w:p w:rsidRPr="00BD4853" w:rsidR="004A4A75" w:rsidP="00BD4853" w:rsidRDefault="00BD4853">
      <w:pPr>
        <w:pStyle w:val="ECHRPara"/>
      </w:pPr>
      <w:fldSimple w:instr=" SEQ level0 \*arabic ">
        <w:r w:rsidRPr="00BD4853">
          <w:rPr>
            <w:noProof/>
          </w:rPr>
          <w:t>88</w:t>
        </w:r>
      </w:fldSimple>
      <w:r w:rsidRPr="00BD4853" w:rsidR="00F0716B">
        <w:t>.  </w:t>
      </w:r>
      <w:r w:rsidRPr="00BD4853" w:rsidR="00FD491A">
        <w:t xml:space="preserve">As </w:t>
      </w:r>
      <w:r w:rsidRPr="00BD4853" w:rsidR="00F41556">
        <w:t>t</w:t>
      </w:r>
      <w:r w:rsidRPr="00BD4853" w:rsidR="00FD491A">
        <w:t>he</w:t>
      </w:r>
      <w:r w:rsidRPr="00BD4853" w:rsidR="00F41556">
        <w:t xml:space="preserve"> first applicant</w:t>
      </w:r>
      <w:r w:rsidRPr="00BD4853" w:rsidR="00FD491A">
        <w:t xml:space="preserve"> </w:t>
      </w:r>
      <w:r w:rsidRPr="00BD4853" w:rsidR="00AF7853">
        <w:t xml:space="preserve">did </w:t>
      </w:r>
      <w:r w:rsidRPr="00BD4853" w:rsidR="00FD491A">
        <w:t xml:space="preserve">not </w:t>
      </w:r>
      <w:r w:rsidRPr="00BD4853" w:rsidR="002A4612">
        <w:t xml:space="preserve">make any </w:t>
      </w:r>
      <w:r w:rsidRPr="00BD4853" w:rsidR="00FD491A">
        <w:t xml:space="preserve">claim </w:t>
      </w:r>
      <w:r w:rsidRPr="00BD4853" w:rsidR="002A4612">
        <w:t xml:space="preserve">in respect of </w:t>
      </w:r>
      <w:r w:rsidRPr="00BD4853" w:rsidR="00FD491A">
        <w:t>non</w:t>
      </w:r>
      <w:r w:rsidRPr="00BD4853" w:rsidR="00847B08">
        <w:noBreakHyphen/>
      </w:r>
      <w:r w:rsidRPr="00BD4853" w:rsidR="00FD491A">
        <w:t>pecuniary damage the Court makes no award under th</w:t>
      </w:r>
      <w:r w:rsidRPr="00BD4853" w:rsidR="002A4612">
        <w:t>at</w:t>
      </w:r>
      <w:r w:rsidRPr="00BD4853" w:rsidR="00FD491A">
        <w:t xml:space="preserve"> head.</w:t>
      </w:r>
    </w:p>
    <w:p w:rsidRPr="00BD4853" w:rsidR="00B2168F" w:rsidP="00BD4853" w:rsidRDefault="00B2168F">
      <w:pPr>
        <w:pStyle w:val="ECHRHeading3"/>
      </w:pPr>
      <w:r w:rsidRPr="00BD4853">
        <w:t>2.</w:t>
      </w:r>
      <w:r w:rsidRPr="00BD4853" w:rsidR="000E36AC">
        <w:t>  </w:t>
      </w:r>
      <w:r w:rsidRPr="00BD4853">
        <w:t>Costs and expenses</w:t>
      </w:r>
    </w:p>
    <w:p w:rsidRPr="00BD4853" w:rsidR="006B4FFF" w:rsidP="00BD4853" w:rsidRDefault="00BD4853">
      <w:pPr>
        <w:pStyle w:val="ECHRPara"/>
      </w:pPr>
      <w:fldSimple w:instr=" SEQ level0 \*arabic ">
        <w:r w:rsidRPr="00BD4853">
          <w:rPr>
            <w:noProof/>
          </w:rPr>
          <w:t>89</w:t>
        </w:r>
      </w:fldSimple>
      <w:r w:rsidRPr="00BD4853" w:rsidR="00AE1A9B">
        <w:t>.  </w:t>
      </w:r>
      <w:r w:rsidRPr="00BD4853" w:rsidR="00B2168F">
        <w:rPr>
          <w:lang w:val="en-GB"/>
        </w:rPr>
        <w:t xml:space="preserve">The first applicant claimed EUR 28,676.62 for costs for the domestic proceedings and for expenses for legal representation. </w:t>
      </w:r>
      <w:r w:rsidRPr="00BD4853" w:rsidR="00B2168F">
        <w:t>This sum included EUR 13,193.16 for costs in the first set of proceedings in 2007 with regard to the inheritance certificate; EUR 3,137.80 for costs for the second application for an inheritance certificate; EUR 6,348.06 for costs for proceedings which his half-sister initiated against him before the Regional Court; a net sum of EUR 2,403.80 for lawyers</w:t>
      </w:r>
      <w:r w:rsidRPr="00BD4853">
        <w:t>’</w:t>
      </w:r>
      <w:r w:rsidRPr="00BD4853" w:rsidR="00B2168F">
        <w:t xml:space="preserve"> costs in the proceedings before the Federal Constitutional Court; and EUR 3,593.80 for costs before th</w:t>
      </w:r>
      <w:r w:rsidRPr="00BD4853" w:rsidR="001B63DB">
        <w:t>e</w:t>
      </w:r>
      <w:r w:rsidRPr="00BD4853" w:rsidR="00B2168F">
        <w:t xml:space="preserve"> Court. The applicant submitted copies of </w:t>
      </w:r>
      <w:r w:rsidRPr="00BD4853" w:rsidR="001B63DB">
        <w:t xml:space="preserve">the </w:t>
      </w:r>
      <w:r w:rsidRPr="00BD4853" w:rsidR="00B2168F">
        <w:t>bills issued to him by his lawyers and the domestic courts.</w:t>
      </w:r>
    </w:p>
    <w:p w:rsidRPr="00BD4853" w:rsidR="006B4FFF" w:rsidP="00BD4853" w:rsidRDefault="00B2168F">
      <w:pPr>
        <w:pStyle w:val="ECHRPara"/>
        <w:rPr>
          <w:lang w:val="en-GB"/>
        </w:rPr>
      </w:pPr>
      <w:r w:rsidRPr="00BD4853">
        <w:rPr>
          <w:lang w:val="en-GB"/>
        </w:rPr>
        <w:fldChar w:fldCharType="begin"/>
      </w:r>
      <w:r w:rsidRPr="00BD4853">
        <w:rPr>
          <w:lang w:val="en-GB"/>
        </w:rPr>
        <w:instrText xml:space="preserve"> SEQ level0 \*arabic </w:instrText>
      </w:r>
      <w:r w:rsidRPr="00BD4853">
        <w:rPr>
          <w:lang w:val="en-GB"/>
        </w:rPr>
        <w:fldChar w:fldCharType="separate"/>
      </w:r>
      <w:r w:rsidRPr="00BD4853" w:rsidR="00BD4853">
        <w:rPr>
          <w:noProof/>
          <w:lang w:val="en-GB"/>
        </w:rPr>
        <w:t>90</w:t>
      </w:r>
      <w:r w:rsidRPr="00BD4853">
        <w:rPr>
          <w:lang w:val="en-GB"/>
        </w:rPr>
        <w:fldChar w:fldCharType="end"/>
      </w:r>
      <w:r w:rsidRPr="00BD4853">
        <w:rPr>
          <w:lang w:val="en-GB"/>
        </w:rPr>
        <w:t>.  The Government submitted that the amount of statutory reimbursement with regard to the proceedings before the Federal Constitutional Court and this Court would amount to approximately EUR</w:t>
      </w:r>
      <w:r w:rsidRPr="00BD4853" w:rsidR="00847B08">
        <w:rPr>
          <w:lang w:val="en-GB"/>
        </w:rPr>
        <w:t> </w:t>
      </w:r>
      <w:r w:rsidRPr="00BD4853">
        <w:rPr>
          <w:lang w:val="en-GB"/>
        </w:rPr>
        <w:t>500 and EUR 600 respectively.</w:t>
      </w:r>
    </w:p>
    <w:p w:rsidRPr="00BD4853" w:rsidR="006B4FFF" w:rsidP="00BD4853" w:rsidRDefault="00B2168F">
      <w:pPr>
        <w:pStyle w:val="ECHRPara"/>
        <w:rPr>
          <w:lang w:val="en-GB"/>
        </w:rPr>
      </w:pPr>
      <w:r w:rsidRPr="00BD4853">
        <w:rPr>
          <w:lang w:val="en-GB"/>
        </w:rPr>
        <w:fldChar w:fldCharType="begin"/>
      </w:r>
      <w:r w:rsidRPr="00BD4853">
        <w:rPr>
          <w:lang w:val="en-GB"/>
        </w:rPr>
        <w:instrText xml:space="preserve"> SEQ level0 \*arabic </w:instrText>
      </w:r>
      <w:r w:rsidRPr="00BD4853">
        <w:rPr>
          <w:lang w:val="en-GB"/>
        </w:rPr>
        <w:fldChar w:fldCharType="separate"/>
      </w:r>
      <w:r w:rsidRPr="00BD4853" w:rsidR="00BD4853">
        <w:rPr>
          <w:noProof/>
          <w:lang w:val="en-GB"/>
        </w:rPr>
        <w:t>91</w:t>
      </w:r>
      <w:r w:rsidRPr="00BD4853">
        <w:rPr>
          <w:lang w:val="en-GB"/>
        </w:rPr>
        <w:fldChar w:fldCharType="end"/>
      </w:r>
      <w:r w:rsidRPr="00BD4853">
        <w:rPr>
          <w:lang w:val="en-GB"/>
        </w:rPr>
        <w:t>.  According to the Court</w:t>
      </w:r>
      <w:r w:rsidRPr="00BD4853" w:rsidR="00BD4853">
        <w:rPr>
          <w:lang w:val="en-GB"/>
        </w:rPr>
        <w:t>’</w:t>
      </w:r>
      <w:r w:rsidRPr="00BD4853">
        <w:rPr>
          <w:lang w:val="en-GB"/>
        </w:rPr>
        <w:t>s case-law, an applicant is entitled to the reimbursement of costs and expenses only in so far as it has been shown that these have been actually and necessarily incurred and are reasonable as to quantum.</w:t>
      </w:r>
    </w:p>
    <w:p w:rsidRPr="00BD4853" w:rsidR="00B2168F" w:rsidP="00BD4853" w:rsidRDefault="00B2168F">
      <w:pPr>
        <w:pStyle w:val="ECHRPara"/>
        <w:rPr>
          <w:lang w:val="en-GB"/>
        </w:rPr>
      </w:pPr>
      <w:r w:rsidRPr="00BD4853">
        <w:rPr>
          <w:lang w:val="en-GB"/>
        </w:rPr>
        <w:fldChar w:fldCharType="begin"/>
      </w:r>
      <w:r w:rsidRPr="00BD4853">
        <w:rPr>
          <w:lang w:val="en-GB"/>
        </w:rPr>
        <w:instrText xml:space="preserve"> SEQ level0 \*arabic </w:instrText>
      </w:r>
      <w:r w:rsidRPr="00BD4853">
        <w:rPr>
          <w:lang w:val="en-GB"/>
        </w:rPr>
        <w:fldChar w:fldCharType="separate"/>
      </w:r>
      <w:r w:rsidRPr="00BD4853" w:rsidR="00BD4853">
        <w:rPr>
          <w:noProof/>
          <w:lang w:val="en-GB"/>
        </w:rPr>
        <w:t>92</w:t>
      </w:r>
      <w:r w:rsidRPr="00BD4853">
        <w:rPr>
          <w:lang w:val="en-GB"/>
        </w:rPr>
        <w:fldChar w:fldCharType="end"/>
      </w:r>
      <w:r w:rsidRPr="00BD4853">
        <w:rPr>
          <w:lang w:val="en-GB"/>
        </w:rPr>
        <w:t>.  In the first applicant</w:t>
      </w:r>
      <w:r w:rsidRPr="00BD4853" w:rsidR="00BD4853">
        <w:rPr>
          <w:lang w:val="en-GB"/>
        </w:rPr>
        <w:t>’</w:t>
      </w:r>
      <w:r w:rsidRPr="00BD4853">
        <w:rPr>
          <w:lang w:val="en-GB"/>
        </w:rPr>
        <w:t xml:space="preserve">s case, regard being had to the documents in its possession and the above criteria, the Court considers it reasonable to award </w:t>
      </w:r>
      <w:r w:rsidRPr="00BD4853" w:rsidR="001B63DB">
        <w:rPr>
          <w:lang w:val="en-GB"/>
        </w:rPr>
        <w:t xml:space="preserve">him </w:t>
      </w:r>
      <w:r w:rsidRPr="00BD4853">
        <w:rPr>
          <w:lang w:val="en-GB"/>
        </w:rPr>
        <w:t>the sum of EUR 5,000 for costs and expenses in the domestic proceedings and before th</w:t>
      </w:r>
      <w:r w:rsidRPr="00BD4853" w:rsidR="001B63DB">
        <w:rPr>
          <w:lang w:val="en-GB"/>
        </w:rPr>
        <w:t>e</w:t>
      </w:r>
      <w:r w:rsidRPr="00BD4853">
        <w:rPr>
          <w:lang w:val="en-GB"/>
        </w:rPr>
        <w:t xml:space="preserve"> Court, plus any tax that may be chargeable to </w:t>
      </w:r>
      <w:r w:rsidRPr="00BD4853" w:rsidR="00AE1A9B">
        <w:rPr>
          <w:lang w:val="en-GB"/>
        </w:rPr>
        <w:t>him</w:t>
      </w:r>
      <w:r w:rsidRPr="00BD4853">
        <w:rPr>
          <w:lang w:val="en-GB"/>
        </w:rPr>
        <w:t>.</w:t>
      </w:r>
    </w:p>
    <w:p w:rsidRPr="00BD4853" w:rsidR="00B2168F" w:rsidP="00BD4853" w:rsidRDefault="000E36AC">
      <w:pPr>
        <w:pStyle w:val="ECHRHeading3"/>
        <w:rPr>
          <w:lang w:val="en-GB"/>
        </w:rPr>
      </w:pPr>
      <w:r w:rsidRPr="00BD4853">
        <w:rPr>
          <w:lang w:val="en-GB"/>
        </w:rPr>
        <w:t>3</w:t>
      </w:r>
      <w:r w:rsidRPr="00BD4853" w:rsidR="00B2168F">
        <w:rPr>
          <w:lang w:val="en-GB"/>
        </w:rPr>
        <w:t>.  Default interest</w:t>
      </w:r>
    </w:p>
    <w:p w:rsidRPr="00BD4853" w:rsidR="00B2168F" w:rsidP="00BD4853" w:rsidRDefault="00B2168F">
      <w:pPr>
        <w:pStyle w:val="ECHRPara"/>
        <w:rPr>
          <w:lang w:val="en-GB"/>
        </w:rPr>
      </w:pPr>
      <w:r w:rsidRPr="00BD4853">
        <w:rPr>
          <w:lang w:val="en-GB"/>
        </w:rPr>
        <w:fldChar w:fldCharType="begin"/>
      </w:r>
      <w:r w:rsidRPr="00BD4853">
        <w:rPr>
          <w:lang w:val="en-GB"/>
        </w:rPr>
        <w:instrText xml:space="preserve"> SEQ level0 \*arabic </w:instrText>
      </w:r>
      <w:r w:rsidRPr="00BD4853">
        <w:rPr>
          <w:lang w:val="en-GB"/>
        </w:rPr>
        <w:fldChar w:fldCharType="separate"/>
      </w:r>
      <w:r w:rsidRPr="00BD4853" w:rsidR="00BD4853">
        <w:rPr>
          <w:noProof/>
          <w:lang w:val="en-GB"/>
        </w:rPr>
        <w:t>93</w:t>
      </w:r>
      <w:r w:rsidRPr="00BD4853">
        <w:rPr>
          <w:lang w:val="en-GB"/>
        </w:rPr>
        <w:fldChar w:fldCharType="end"/>
      </w:r>
      <w:r w:rsidRPr="00BD4853">
        <w:rPr>
          <w:lang w:val="en-GB"/>
        </w:rPr>
        <w:t>.  The Court considers it appropriate that the default interest rate should be based on the marginal lending rate of the European Central Bank, to which should be added three percentage points.</w:t>
      </w:r>
    </w:p>
    <w:p w:rsidRPr="00BD4853" w:rsidR="00535890" w:rsidP="00BD4853" w:rsidRDefault="00535890">
      <w:pPr>
        <w:pStyle w:val="ECHRHeading2"/>
      </w:pPr>
      <w:r w:rsidRPr="00BD4853">
        <w:t>B.</w:t>
      </w:r>
      <w:r w:rsidRPr="00BD4853" w:rsidR="000E36AC">
        <w:t>  </w:t>
      </w:r>
      <w:r w:rsidRPr="00BD4853">
        <w:t>The second applicant</w:t>
      </w:r>
    </w:p>
    <w:p w:rsidRPr="00BD4853" w:rsidR="00535890" w:rsidP="00BD4853" w:rsidRDefault="00BD4853">
      <w:pPr>
        <w:pStyle w:val="ECHRPara"/>
      </w:pPr>
      <w:fldSimple w:instr=" SEQ level0 \*arabic ">
        <w:r w:rsidRPr="00BD4853">
          <w:rPr>
            <w:noProof/>
          </w:rPr>
          <w:t>94</w:t>
        </w:r>
      </w:fldSimple>
      <w:r w:rsidRPr="00BD4853" w:rsidR="00535890">
        <w:t xml:space="preserve">.  The second applicant claimed the sum of EUR 50,000 in respect of pecuniary damage, corresponding to the minimum value of his inheritance as a statutory heir. He submitted a decision </w:t>
      </w:r>
      <w:r w:rsidRPr="00BD4853" w:rsidR="001B63DB">
        <w:t xml:space="preserve">by </w:t>
      </w:r>
      <w:r w:rsidRPr="00BD4853" w:rsidR="00535890">
        <w:t>the Hamburg Court o</w:t>
      </w:r>
      <w:r w:rsidRPr="00BD4853" w:rsidR="00BD12CE">
        <w:t>f</w:t>
      </w:r>
      <w:r w:rsidRPr="00BD4853" w:rsidR="00535890">
        <w:t xml:space="preserve"> Appeal on costs</w:t>
      </w:r>
      <w:r w:rsidRPr="00BD4853" w:rsidR="001B63DB">
        <w:t xml:space="preserve">, </w:t>
      </w:r>
      <w:r w:rsidRPr="00BD4853" w:rsidR="00535890">
        <w:t xml:space="preserve">which stated that according to the submissions of both parties </w:t>
      </w:r>
      <w:r w:rsidRPr="00BD4853" w:rsidR="001B63DB">
        <w:t xml:space="preserve">to </w:t>
      </w:r>
      <w:r w:rsidRPr="00BD4853" w:rsidR="00535890">
        <w:t>the proceedings the value of the inheritance at issue amounted to at least EUR 200,000, of which the second applicant claimed one quarter. He also claimed EUR</w:t>
      </w:r>
      <w:r w:rsidRPr="00BD4853" w:rsidDel="00AF7853" w:rsidR="00535890">
        <w:t xml:space="preserve"> </w:t>
      </w:r>
      <w:r w:rsidRPr="00BD4853" w:rsidR="00535890">
        <w:t xml:space="preserve">15,000 </w:t>
      </w:r>
      <w:r w:rsidRPr="00BD4853" w:rsidR="00AF1278">
        <w:t xml:space="preserve">in </w:t>
      </w:r>
      <w:r w:rsidRPr="00BD4853" w:rsidR="00535890">
        <w:t>compensation for non-pecuniary damage.</w:t>
      </w:r>
    </w:p>
    <w:p w:rsidRPr="00BD4853" w:rsidR="006B4FFF" w:rsidP="00BD4853" w:rsidRDefault="00BD4853">
      <w:pPr>
        <w:pStyle w:val="ECHRPara"/>
      </w:pPr>
      <w:fldSimple w:instr=" SEQ level0 \*arabic ">
        <w:r w:rsidRPr="00BD4853">
          <w:rPr>
            <w:noProof/>
          </w:rPr>
          <w:t>95</w:t>
        </w:r>
      </w:fldSimple>
      <w:r w:rsidRPr="00BD4853" w:rsidR="00535890">
        <w:t>.  The Government argued that the second applicant</w:t>
      </w:r>
      <w:r w:rsidRPr="00BD4853">
        <w:t>’</w:t>
      </w:r>
      <w:r w:rsidRPr="00BD4853" w:rsidR="00535890">
        <w:t xml:space="preserve">s allegation that the sum of EUR 50,000 corresponded to the minimum value of his inheritance as a statutory heir was not supported by any evidence. They also contested </w:t>
      </w:r>
      <w:r w:rsidRPr="00BD4853" w:rsidR="00AD5FFA">
        <w:t>his allegation</w:t>
      </w:r>
      <w:r w:rsidRPr="00BD4853" w:rsidR="00A34375">
        <w:t xml:space="preserve"> that</w:t>
      </w:r>
      <w:r w:rsidRPr="00BD4853" w:rsidR="00AD5FFA">
        <w:t xml:space="preserve"> he </w:t>
      </w:r>
      <w:r w:rsidRPr="00BD4853" w:rsidR="00535890">
        <w:t>had suffered non-pecuniary damage.</w:t>
      </w:r>
    </w:p>
    <w:p w:rsidRPr="00BD4853" w:rsidR="00B2168F" w:rsidP="00BD4853" w:rsidRDefault="00BD4853">
      <w:pPr>
        <w:pStyle w:val="ECHRPara"/>
      </w:pPr>
      <w:fldSimple w:instr=" SEQ level0 \*arabic ">
        <w:r w:rsidRPr="00BD4853">
          <w:rPr>
            <w:noProof/>
          </w:rPr>
          <w:t>96</w:t>
        </w:r>
      </w:fldSimple>
      <w:r w:rsidRPr="00BD4853" w:rsidR="00B2168F">
        <w:t>.  </w:t>
      </w:r>
      <w:r w:rsidRPr="00BD4853" w:rsidR="00B2168F">
        <w:rPr>
          <w:lang w:val="en-GB"/>
        </w:rPr>
        <w:t xml:space="preserve">The second applicant claimed EUR </w:t>
      </w:r>
      <w:r w:rsidRPr="00BD4853" w:rsidR="00120334">
        <w:rPr>
          <w:lang w:val="en-GB"/>
        </w:rPr>
        <w:t>42,409.51</w:t>
      </w:r>
      <w:r w:rsidRPr="00BD4853" w:rsidR="00B2168F">
        <w:rPr>
          <w:lang w:val="en-GB"/>
        </w:rPr>
        <w:t xml:space="preserve"> for costs for the domestic proceedings and legal representation. </w:t>
      </w:r>
      <w:r w:rsidRPr="00BD4853" w:rsidR="00B2168F">
        <w:t>This sum included EUR</w:t>
      </w:r>
      <w:r w:rsidRPr="00BD4853" w:rsidR="00847B08">
        <w:t> </w:t>
      </w:r>
      <w:r w:rsidRPr="00BD4853" w:rsidR="00B2168F">
        <w:t>9,916.04 for lawyers</w:t>
      </w:r>
      <w:r w:rsidRPr="00BD4853">
        <w:t>’</w:t>
      </w:r>
      <w:r w:rsidRPr="00BD4853" w:rsidR="00B2168F">
        <w:t xml:space="preserve"> costs and court fees in the proceedings before the Regional Court; EUR 5,867.66 for lawyers</w:t>
      </w:r>
      <w:r w:rsidRPr="00BD4853">
        <w:t>’</w:t>
      </w:r>
      <w:r w:rsidRPr="00BD4853" w:rsidR="00B2168F">
        <w:t xml:space="preserve"> costs and court fees in the proceedings before the Court of Appeal; EUR 17,901.46 for lawyers</w:t>
      </w:r>
      <w:r w:rsidRPr="00BD4853">
        <w:t>’</w:t>
      </w:r>
      <w:r w:rsidRPr="00BD4853" w:rsidR="00B2168F">
        <w:t xml:space="preserve"> costs and court fees in the proceedings before the Federal Court of Justice; a net sum of EUR 2,020 for lawyers</w:t>
      </w:r>
      <w:r w:rsidRPr="00BD4853">
        <w:t>’</w:t>
      </w:r>
      <w:r w:rsidRPr="00BD4853" w:rsidR="00B2168F">
        <w:t xml:space="preserve"> costs in the proceedings before the Federal Constitutional Court; a net sum of EUR 3,520.00 for lawyers</w:t>
      </w:r>
      <w:r w:rsidRPr="00BD4853">
        <w:t>’</w:t>
      </w:r>
      <w:r w:rsidRPr="00BD4853" w:rsidR="00B2168F">
        <w:t xml:space="preserve"> costs in the proceedings before the Court; and EUR 3,284.35 in translation costs. The second applicant </w:t>
      </w:r>
      <w:r w:rsidRPr="00BD4853" w:rsidR="00AD5FFA">
        <w:t xml:space="preserve">also </w:t>
      </w:r>
      <w:r w:rsidRPr="00BD4853" w:rsidR="00B2168F">
        <w:t xml:space="preserve">submitted copies of </w:t>
      </w:r>
      <w:r w:rsidRPr="00BD4853" w:rsidR="00AD5FFA">
        <w:t xml:space="preserve">the </w:t>
      </w:r>
      <w:r w:rsidRPr="00BD4853" w:rsidR="00B2168F">
        <w:t>bills issued to him by his lawyer and the courts.</w:t>
      </w:r>
    </w:p>
    <w:p w:rsidRPr="00BD4853" w:rsidR="00960DE9" w:rsidP="00BD4853" w:rsidRDefault="00960DE9">
      <w:pPr>
        <w:pStyle w:val="ECHRPara"/>
        <w:rPr>
          <w:lang w:val="en-GB"/>
        </w:rPr>
      </w:pPr>
      <w:r w:rsidRPr="00BD4853">
        <w:rPr>
          <w:lang w:val="en-GB"/>
        </w:rPr>
        <w:fldChar w:fldCharType="begin"/>
      </w:r>
      <w:r w:rsidRPr="00BD4853">
        <w:rPr>
          <w:lang w:val="en-GB"/>
        </w:rPr>
        <w:instrText xml:space="preserve"> SEQ level0 \*arabic </w:instrText>
      </w:r>
      <w:r w:rsidRPr="00BD4853">
        <w:rPr>
          <w:lang w:val="en-GB"/>
        </w:rPr>
        <w:fldChar w:fldCharType="separate"/>
      </w:r>
      <w:r w:rsidRPr="00BD4853" w:rsidR="00BD4853">
        <w:rPr>
          <w:noProof/>
          <w:lang w:val="en-GB"/>
        </w:rPr>
        <w:t>97</w:t>
      </w:r>
      <w:r w:rsidRPr="00BD4853">
        <w:fldChar w:fldCharType="end"/>
      </w:r>
      <w:r w:rsidRPr="00BD4853">
        <w:rPr>
          <w:lang w:val="en-GB"/>
        </w:rPr>
        <w:t>.  </w:t>
      </w:r>
      <w:r w:rsidRPr="00BD4853" w:rsidR="00AD5FFA">
        <w:rPr>
          <w:lang w:val="en-GB"/>
        </w:rPr>
        <w:t>T</w:t>
      </w:r>
      <w:r w:rsidRPr="00BD4853">
        <w:rPr>
          <w:lang w:val="en-GB"/>
        </w:rPr>
        <w:t>he Government</w:t>
      </w:r>
      <w:r w:rsidRPr="00BD4853" w:rsidR="00AD5FFA">
        <w:rPr>
          <w:lang w:val="en-GB"/>
        </w:rPr>
        <w:t xml:space="preserve"> </w:t>
      </w:r>
      <w:r w:rsidRPr="00BD4853">
        <w:rPr>
          <w:lang w:val="en-GB"/>
        </w:rPr>
        <w:t>submi</w:t>
      </w:r>
      <w:r w:rsidRPr="00BD4853" w:rsidR="00AD5FFA">
        <w:rPr>
          <w:lang w:val="en-GB"/>
        </w:rPr>
        <w:t xml:space="preserve">tted that </w:t>
      </w:r>
      <w:r w:rsidRPr="00BD4853">
        <w:rPr>
          <w:lang w:val="en-GB"/>
        </w:rPr>
        <w:t>the amount of statutory reimbursement with regard to the proceedings before the Federal Constitutional Court and th</w:t>
      </w:r>
      <w:r w:rsidRPr="00BD4853" w:rsidR="00AD5FFA">
        <w:rPr>
          <w:lang w:val="en-GB"/>
        </w:rPr>
        <w:t>e</w:t>
      </w:r>
      <w:r w:rsidRPr="00BD4853">
        <w:rPr>
          <w:lang w:val="en-GB"/>
        </w:rPr>
        <w:t xml:space="preserve"> Court would amount to approximately EUR</w:t>
      </w:r>
      <w:r w:rsidRPr="00BD4853" w:rsidR="00847B08">
        <w:rPr>
          <w:lang w:val="en-GB"/>
        </w:rPr>
        <w:t> </w:t>
      </w:r>
      <w:r w:rsidRPr="00BD4853">
        <w:rPr>
          <w:lang w:val="en-GB"/>
        </w:rPr>
        <w:t>500 and EUR 600 respectively.</w:t>
      </w:r>
    </w:p>
    <w:p w:rsidRPr="00BD4853" w:rsidR="00535890" w:rsidP="00BD4853" w:rsidRDefault="00BD4853">
      <w:pPr>
        <w:pStyle w:val="ECHRPara"/>
      </w:pPr>
      <w:fldSimple w:instr=" SEQ level0 \*arabic ">
        <w:r w:rsidRPr="00BD4853">
          <w:rPr>
            <w:noProof/>
          </w:rPr>
          <w:t>98</w:t>
        </w:r>
      </w:fldSimple>
      <w:r w:rsidRPr="00BD4853" w:rsidR="00535890">
        <w:t>.  With regard to the second applicant</w:t>
      </w:r>
      <w:r w:rsidRPr="00BD4853" w:rsidR="00AD5FFA">
        <w:t>,</w:t>
      </w:r>
      <w:r w:rsidRPr="00BD4853" w:rsidR="00535890">
        <w:t xml:space="preserve"> the Court considers, in the circumstances of the case, that the question of the application of Article 41 of the Convention is not ready for decision. Consequently, it must be reserved and the subsequent procedure fixed</w:t>
      </w:r>
      <w:r w:rsidRPr="00BD4853" w:rsidR="00AD5FFA">
        <w:t>,</w:t>
      </w:r>
      <w:r w:rsidRPr="00BD4853" w:rsidR="00535890">
        <w:t xml:space="preserve"> taking due account of the possibility of an agreement between the respondent State and the applicant (Rule 75 § 1 of the Rules of Court). The Court allows the parties three months from the date on which the judgment becomes final according to Article 44 § 2 of the Convention to submit written observations on the matter and, in particular, to notify the Court of any agreement that they may reach.</w:t>
      </w:r>
    </w:p>
    <w:p w:rsidRPr="00BD4853" w:rsidR="00014566" w:rsidP="00BD4853" w:rsidRDefault="00BB5883">
      <w:pPr>
        <w:pStyle w:val="ECHRTitle1"/>
        <w:rPr>
          <w:lang w:val="en-GB"/>
        </w:rPr>
      </w:pPr>
      <w:r w:rsidRPr="00BD4853">
        <w:rPr>
          <w:lang w:val="en-GB"/>
        </w:rPr>
        <w:t>FOR THESE REASONS, THE COURT</w:t>
      </w:r>
      <w:r w:rsidRPr="00BD4853" w:rsidR="00177BCB">
        <w:rPr>
          <w:lang w:val="en-GB"/>
        </w:rPr>
        <w:t>, UNANIMOUSLY,</w:t>
      </w:r>
    </w:p>
    <w:p w:rsidRPr="00BD4853" w:rsidR="00AF1278" w:rsidP="00BD4853" w:rsidRDefault="00AF1278">
      <w:pPr>
        <w:pStyle w:val="JuList"/>
      </w:pPr>
      <w:r w:rsidRPr="00BD4853">
        <w:t>1.</w:t>
      </w:r>
      <w:r w:rsidRPr="00BD4853">
        <w:rPr>
          <w:lang w:val="en-GB"/>
        </w:rPr>
        <w:t>  </w:t>
      </w:r>
      <w:r w:rsidRPr="00BD4853">
        <w:rPr>
          <w:i/>
        </w:rPr>
        <w:t>Decides</w:t>
      </w:r>
      <w:r w:rsidRPr="00BD4853">
        <w:t xml:space="preserve"> to join the applications,</w:t>
      </w:r>
    </w:p>
    <w:p w:rsidRPr="00BD4853" w:rsidR="00AF1278" w:rsidP="00BD4853" w:rsidRDefault="00AF1278">
      <w:pPr>
        <w:pStyle w:val="JuList"/>
      </w:pPr>
    </w:p>
    <w:p w:rsidRPr="00BD4853" w:rsidR="00B637B9" w:rsidP="00BD4853" w:rsidRDefault="00AF1278">
      <w:pPr>
        <w:pStyle w:val="JuList"/>
        <w:rPr>
          <w:lang w:val="en-GB"/>
        </w:rPr>
      </w:pPr>
      <w:r w:rsidRPr="00BD4853">
        <w:rPr>
          <w:lang w:val="en-GB"/>
        </w:rPr>
        <w:t>2</w:t>
      </w:r>
      <w:r w:rsidRPr="00BD4853" w:rsidR="00B637B9">
        <w:rPr>
          <w:lang w:val="en-GB"/>
        </w:rPr>
        <w:t>.  </w:t>
      </w:r>
      <w:r w:rsidRPr="00BD4853" w:rsidR="00B637B9">
        <w:rPr>
          <w:i/>
          <w:lang w:val="en-GB"/>
        </w:rPr>
        <w:t>Declares</w:t>
      </w:r>
      <w:r w:rsidRPr="00BD4853" w:rsidR="00177BCB">
        <w:rPr>
          <w:lang w:val="en-GB"/>
        </w:rPr>
        <w:t xml:space="preserve"> </w:t>
      </w:r>
      <w:r w:rsidRPr="00BD4853" w:rsidR="00B637B9">
        <w:rPr>
          <w:lang w:val="en-GB"/>
        </w:rPr>
        <w:t xml:space="preserve">the </w:t>
      </w:r>
      <w:r w:rsidRPr="00BD4853" w:rsidR="00403EBC">
        <w:rPr>
          <w:lang w:val="en-GB"/>
        </w:rPr>
        <w:t>applicants</w:t>
      </w:r>
      <w:r w:rsidRPr="00BD4853" w:rsidR="00BD4853">
        <w:rPr>
          <w:lang w:val="en-GB"/>
        </w:rPr>
        <w:t>’</w:t>
      </w:r>
      <w:r w:rsidRPr="00BD4853" w:rsidR="00C81120">
        <w:rPr>
          <w:lang w:val="en-GB"/>
        </w:rPr>
        <w:t xml:space="preserve"> </w:t>
      </w:r>
      <w:r w:rsidRPr="00BD4853" w:rsidR="00403EBC">
        <w:rPr>
          <w:lang w:val="en-GB"/>
        </w:rPr>
        <w:t xml:space="preserve">complaint under Article 14 of the Convention taken in conjunction with Article 1 of Protocol No. 1 </w:t>
      </w:r>
      <w:r w:rsidRPr="00BD4853" w:rsidR="00B637B9">
        <w:rPr>
          <w:lang w:val="en-GB"/>
        </w:rPr>
        <w:t>admissible;</w:t>
      </w:r>
    </w:p>
    <w:p w:rsidRPr="00BD4853" w:rsidR="00014566" w:rsidP="00BD4853" w:rsidRDefault="00014566">
      <w:pPr>
        <w:pStyle w:val="JuList"/>
        <w:ind w:left="0" w:firstLine="0"/>
        <w:rPr>
          <w:lang w:val="en-GB"/>
        </w:rPr>
      </w:pPr>
    </w:p>
    <w:p w:rsidRPr="00BD4853" w:rsidR="00014566" w:rsidP="00BD4853" w:rsidRDefault="00AF1278">
      <w:pPr>
        <w:pStyle w:val="JuList"/>
        <w:rPr>
          <w:lang w:val="en-GB"/>
        </w:rPr>
      </w:pPr>
      <w:r w:rsidRPr="00BD4853">
        <w:rPr>
          <w:lang w:val="en-GB"/>
        </w:rPr>
        <w:t>3</w:t>
      </w:r>
      <w:r w:rsidRPr="00BD4853" w:rsidR="00014566">
        <w:rPr>
          <w:lang w:val="en-GB"/>
        </w:rPr>
        <w:t>.  </w:t>
      </w:r>
      <w:r w:rsidRPr="00BD4853" w:rsidR="00014566">
        <w:rPr>
          <w:i/>
          <w:lang w:val="en-GB"/>
        </w:rPr>
        <w:t>Holds</w:t>
      </w:r>
      <w:r w:rsidRPr="00BD4853" w:rsidR="00177BCB">
        <w:rPr>
          <w:lang w:val="en-GB"/>
        </w:rPr>
        <w:t xml:space="preserve"> </w:t>
      </w:r>
      <w:r w:rsidRPr="00BD4853" w:rsidR="00014566">
        <w:rPr>
          <w:lang w:val="en-GB"/>
        </w:rPr>
        <w:t xml:space="preserve">that there has been a violation of Article </w:t>
      </w:r>
      <w:r w:rsidRPr="00BD4853" w:rsidR="00E715D3">
        <w:rPr>
          <w:lang w:val="en-GB"/>
        </w:rPr>
        <w:t>14</w:t>
      </w:r>
      <w:r w:rsidRPr="00BD4853" w:rsidR="00014566">
        <w:rPr>
          <w:lang w:val="en-GB"/>
        </w:rPr>
        <w:t xml:space="preserve"> of the Convention</w:t>
      </w:r>
      <w:r w:rsidRPr="00BD4853" w:rsidR="00E715D3">
        <w:rPr>
          <w:lang w:val="en-GB"/>
        </w:rPr>
        <w:t xml:space="preserve"> taken in conjunction with Article 1 of Protocol</w:t>
      </w:r>
      <w:r w:rsidRPr="00BD4853" w:rsidR="007A0B21">
        <w:rPr>
          <w:lang w:val="en-GB"/>
        </w:rPr>
        <w:t xml:space="preserve"> No. </w:t>
      </w:r>
      <w:r w:rsidRPr="00BD4853" w:rsidR="00E715D3">
        <w:rPr>
          <w:lang w:val="en-GB"/>
        </w:rPr>
        <w:t>1</w:t>
      </w:r>
      <w:r w:rsidRPr="00BD4853" w:rsidR="007A0B21">
        <w:rPr>
          <w:lang w:val="en-GB"/>
        </w:rPr>
        <w:t xml:space="preserve"> in respect of both applicants</w:t>
      </w:r>
      <w:r w:rsidRPr="00BD4853" w:rsidR="00014566">
        <w:rPr>
          <w:lang w:val="en-GB"/>
        </w:rPr>
        <w:t>;</w:t>
      </w:r>
    </w:p>
    <w:p w:rsidRPr="00BD4853" w:rsidR="00403EBC" w:rsidP="00BD4853" w:rsidRDefault="00403EBC">
      <w:pPr>
        <w:pStyle w:val="JuList"/>
        <w:rPr>
          <w:lang w:val="en-GB"/>
        </w:rPr>
      </w:pPr>
    </w:p>
    <w:p w:rsidRPr="00BD4853" w:rsidR="00403EBC" w:rsidP="00BD4853" w:rsidRDefault="00AF1278">
      <w:pPr>
        <w:pStyle w:val="JuList"/>
      </w:pPr>
      <w:r w:rsidRPr="00BD4853">
        <w:t>4</w:t>
      </w:r>
      <w:r w:rsidRPr="00BD4853" w:rsidR="00403EBC">
        <w:t>.</w:t>
      </w:r>
      <w:r w:rsidRPr="00BD4853" w:rsidR="00403EBC">
        <w:rPr>
          <w:lang w:val="en-GB"/>
        </w:rPr>
        <w:t>  </w:t>
      </w:r>
      <w:r w:rsidRPr="00BD4853" w:rsidR="00403EBC">
        <w:rPr>
          <w:i/>
        </w:rPr>
        <w:t>Holds</w:t>
      </w:r>
      <w:r w:rsidRPr="00BD4853" w:rsidR="00403EBC">
        <w:t xml:space="preserve"> that there is no need to </w:t>
      </w:r>
      <w:r w:rsidRPr="00BD4853" w:rsidR="004B4E23">
        <w:t xml:space="preserve">give a separate ruling on the </w:t>
      </w:r>
      <w:r w:rsidRPr="00BD4853" w:rsidR="00403EBC">
        <w:t>applicants</w:t>
      </w:r>
      <w:r w:rsidRPr="00BD4853" w:rsidR="00BD4853">
        <w:t>’</w:t>
      </w:r>
      <w:r w:rsidRPr="00BD4853" w:rsidR="00403EBC">
        <w:t xml:space="preserve"> complaint under Article 14 of the Convention taken in conjunction with Article 8;</w:t>
      </w:r>
    </w:p>
    <w:p w:rsidRPr="00BD4853" w:rsidR="00014566" w:rsidP="00BD4853" w:rsidRDefault="00014566">
      <w:pPr>
        <w:pStyle w:val="JuList"/>
        <w:ind w:left="0" w:firstLine="0"/>
        <w:rPr>
          <w:lang w:val="en-GB"/>
        </w:rPr>
      </w:pPr>
    </w:p>
    <w:p w:rsidRPr="00BD4853" w:rsidR="00014566" w:rsidP="00BD4853" w:rsidRDefault="00AF1278">
      <w:pPr>
        <w:pStyle w:val="JuList"/>
        <w:keepNext/>
        <w:rPr>
          <w:lang w:val="en-GB"/>
        </w:rPr>
      </w:pPr>
      <w:r w:rsidRPr="00BD4853">
        <w:rPr>
          <w:lang w:val="en-GB"/>
        </w:rPr>
        <w:t>5</w:t>
      </w:r>
      <w:r w:rsidRPr="00BD4853" w:rsidR="00014566">
        <w:rPr>
          <w:lang w:val="en-GB"/>
        </w:rPr>
        <w:t>.  </w:t>
      </w:r>
      <w:r w:rsidRPr="00BD4853" w:rsidR="00014566">
        <w:rPr>
          <w:i/>
          <w:lang w:val="en-GB"/>
        </w:rPr>
        <w:t>Holds</w:t>
      </w:r>
    </w:p>
    <w:p w:rsidRPr="00BD4853" w:rsidR="006B4FFF" w:rsidP="00BD4853" w:rsidRDefault="00014566">
      <w:pPr>
        <w:pStyle w:val="JuLista"/>
        <w:keepNext/>
        <w:rPr>
          <w:lang w:val="en-GB"/>
        </w:rPr>
      </w:pPr>
      <w:r w:rsidRPr="00BD4853">
        <w:rPr>
          <w:lang w:val="en-GB"/>
        </w:rPr>
        <w:t>(a)  that the respondent State is to pay</w:t>
      </w:r>
      <w:r w:rsidRPr="00BD4853" w:rsidR="00F237C2">
        <w:rPr>
          <w:lang w:val="en-GB"/>
        </w:rPr>
        <w:t xml:space="preserve"> to the first applicant</w:t>
      </w:r>
      <w:r w:rsidRPr="00BD4853">
        <w:rPr>
          <w:lang w:val="en-GB"/>
        </w:rPr>
        <w:t>, within three months</w:t>
      </w:r>
      <w:r w:rsidRPr="00BD4853" w:rsidR="00B93452">
        <w:rPr>
          <w:lang w:val="en-GB"/>
        </w:rPr>
        <w:t xml:space="preserve"> </w:t>
      </w:r>
      <w:r w:rsidRPr="00BD4853" w:rsidR="00177BCB">
        <w:rPr>
          <w:lang w:val="en-GB"/>
        </w:rPr>
        <w:t>from the date on which the judgment becomes final in accordance with Article 44 § 2 of the Convention,</w:t>
      </w:r>
      <w:r w:rsidRPr="00BD4853">
        <w:rPr>
          <w:lang w:val="en-GB"/>
        </w:rPr>
        <w:t xml:space="preserve"> </w:t>
      </w:r>
      <w:r w:rsidRPr="00BD4853" w:rsidR="00DA19E6">
        <w:rPr>
          <w:lang w:val="en-GB"/>
        </w:rPr>
        <w:t>E</w:t>
      </w:r>
      <w:r w:rsidRPr="00BD4853" w:rsidR="00F237C2">
        <w:rPr>
          <w:lang w:val="en-GB"/>
        </w:rPr>
        <w:t>UR 5,000 (five thousand euros), plus any tax that may be chargeable</w:t>
      </w:r>
      <w:r w:rsidRPr="00BD4853" w:rsidR="00960DE9">
        <w:rPr>
          <w:lang w:val="en-GB"/>
        </w:rPr>
        <w:t xml:space="preserve"> to the first applicant</w:t>
      </w:r>
      <w:r w:rsidRPr="00BD4853" w:rsidR="00F237C2">
        <w:rPr>
          <w:lang w:val="en-GB"/>
        </w:rPr>
        <w:t>, in respect of costs and expenses;</w:t>
      </w:r>
    </w:p>
    <w:p w:rsidRPr="00BD4853" w:rsidR="00014566" w:rsidP="00BD4853" w:rsidRDefault="00014566">
      <w:pPr>
        <w:pStyle w:val="JuLista"/>
        <w:rPr>
          <w:lang w:val="en-GB"/>
        </w:rPr>
      </w:pPr>
      <w:r w:rsidRPr="00BD4853">
        <w:rPr>
          <w:lang w:val="en-GB"/>
        </w:rPr>
        <w:t>(b)  that from the expiry of the above-mentioned three months until settlement simple interest shal</w:t>
      </w:r>
      <w:r w:rsidRPr="00BD4853" w:rsidR="0032580B">
        <w:rPr>
          <w:lang w:val="en-GB"/>
        </w:rPr>
        <w:t>l be payable on the above amount</w:t>
      </w:r>
      <w:r w:rsidRPr="00BD4853">
        <w:rPr>
          <w:lang w:val="en-GB"/>
        </w:rPr>
        <w:t>s at a rate equal to the marginal lending rate of the European Central Bank during the default period plus three percentage points;</w:t>
      </w:r>
    </w:p>
    <w:p w:rsidRPr="00BD4853" w:rsidR="00AF1278" w:rsidP="00BD4853" w:rsidRDefault="00AF1278">
      <w:pPr>
        <w:pStyle w:val="JuLista"/>
        <w:rPr>
          <w:lang w:val="en-GB"/>
        </w:rPr>
      </w:pPr>
    </w:p>
    <w:p w:rsidRPr="00BD4853" w:rsidR="00AF1278" w:rsidP="00BD4853" w:rsidRDefault="00AF1278">
      <w:pPr>
        <w:pStyle w:val="JuList"/>
        <w:rPr>
          <w:lang w:val="en-GB"/>
        </w:rPr>
      </w:pPr>
      <w:r w:rsidRPr="00BD4853">
        <w:rPr>
          <w:lang w:val="en-GB"/>
        </w:rPr>
        <w:t>6.  </w:t>
      </w:r>
      <w:r w:rsidRPr="00BD4853">
        <w:rPr>
          <w:i/>
          <w:lang w:val="en-GB"/>
        </w:rPr>
        <w:t>Dismisses</w:t>
      </w:r>
      <w:r w:rsidRPr="00BD4853">
        <w:rPr>
          <w:lang w:val="en-GB"/>
        </w:rPr>
        <w:t xml:space="preserve"> the remainder of the first applicant</w:t>
      </w:r>
      <w:r w:rsidRPr="00BD4853" w:rsidR="00BD4853">
        <w:rPr>
          <w:lang w:val="en-GB"/>
        </w:rPr>
        <w:t>’</w:t>
      </w:r>
      <w:r w:rsidRPr="00BD4853">
        <w:rPr>
          <w:lang w:val="en-GB"/>
        </w:rPr>
        <w:t>s claims for just satisfaction.</w:t>
      </w:r>
    </w:p>
    <w:p w:rsidRPr="00BD4853" w:rsidR="002D26CA" w:rsidP="00BD4853" w:rsidRDefault="002D26CA">
      <w:pPr>
        <w:pStyle w:val="JuLista"/>
        <w:rPr>
          <w:lang w:val="en-GB"/>
        </w:rPr>
      </w:pPr>
    </w:p>
    <w:p w:rsidRPr="00BD4853" w:rsidR="006B4FFF" w:rsidP="00BD4853" w:rsidRDefault="00AF1278">
      <w:pPr>
        <w:pStyle w:val="JuList"/>
        <w:ind w:left="284" w:hanging="284"/>
      </w:pPr>
      <w:r w:rsidRPr="00BD4853">
        <w:t>7</w:t>
      </w:r>
      <w:r w:rsidRPr="00BD4853" w:rsidR="00D8499E">
        <w:t>.  </w:t>
      </w:r>
      <w:r w:rsidRPr="00BD4853" w:rsidR="00875C7D">
        <w:rPr>
          <w:i/>
        </w:rPr>
        <w:t>Holds</w:t>
      </w:r>
      <w:r w:rsidRPr="00BD4853" w:rsidR="00875C7D">
        <w:t xml:space="preserve"> </w:t>
      </w:r>
      <w:r w:rsidRPr="00BD4853" w:rsidR="007A0B21">
        <w:t>t</w:t>
      </w:r>
      <w:r w:rsidRPr="00BD4853" w:rsidR="00875C7D">
        <w:t>hat with regard to the second applicant the question of the application of Article 41 is not ready for decision;</w:t>
      </w:r>
    </w:p>
    <w:p w:rsidRPr="00BD4853" w:rsidR="00875C7D" w:rsidP="00BD4853" w:rsidRDefault="00875C7D">
      <w:pPr>
        <w:pStyle w:val="JuList"/>
        <w:ind w:left="0" w:firstLine="284"/>
      </w:pPr>
      <w:r w:rsidRPr="00BD4853">
        <w:t>accordingly,</w:t>
      </w:r>
    </w:p>
    <w:p w:rsidRPr="00BD4853" w:rsidR="00875C7D" w:rsidP="00BD4853" w:rsidRDefault="00875C7D">
      <w:pPr>
        <w:pStyle w:val="JuLista"/>
      </w:pPr>
      <w:r w:rsidRPr="00BD4853">
        <w:t>(a)</w:t>
      </w:r>
      <w:r w:rsidRPr="00BD4853" w:rsidR="00847B08">
        <w:t>  </w:t>
      </w:r>
      <w:r w:rsidRPr="00BD4853">
        <w:t>reserves the said question in whole;</w:t>
      </w:r>
    </w:p>
    <w:p w:rsidRPr="00BD4853" w:rsidR="002D26CA" w:rsidP="00BD4853" w:rsidRDefault="00875C7D">
      <w:pPr>
        <w:pStyle w:val="JuLista"/>
      </w:pPr>
      <w:r w:rsidRPr="00BD4853">
        <w:t>(b)</w:t>
      </w:r>
      <w:r w:rsidRPr="00BD4853" w:rsidR="00847B08">
        <w:t>  </w:t>
      </w:r>
      <w:r w:rsidRPr="00BD4853">
        <w:t xml:space="preserve">invites the Government and the </w:t>
      </w:r>
      <w:r w:rsidRPr="00BD4853" w:rsidR="00F102BA">
        <w:t xml:space="preserve">second </w:t>
      </w:r>
      <w:r w:rsidRPr="00BD4853">
        <w:t xml:space="preserve">applicant, within three months </w:t>
      </w:r>
      <w:r w:rsidRPr="00BD4853" w:rsidR="002D26CA">
        <w:t>from the date on which the judgment becomes final according to Article</w:t>
      </w:r>
      <w:r w:rsidRPr="00BD4853" w:rsidR="00847B08">
        <w:t> </w:t>
      </w:r>
      <w:r w:rsidRPr="00BD4853" w:rsidR="002D26CA">
        <w:t>44 § 2 of the Convention</w:t>
      </w:r>
      <w:r w:rsidRPr="00BD4853" w:rsidR="00AD5FFA">
        <w:t>,</w:t>
      </w:r>
      <w:r w:rsidRPr="00BD4853" w:rsidR="002D26CA">
        <w:t xml:space="preserve"> to submit their written observations on the matter and, in particular, to notify the Court of any agreement that they may reach</w:t>
      </w:r>
      <w:r w:rsidRPr="00BD4853" w:rsidR="00960DE9">
        <w:t>;</w:t>
      </w:r>
    </w:p>
    <w:p w:rsidRPr="00BD4853" w:rsidR="00014566" w:rsidP="00BD4853" w:rsidRDefault="00875C7D">
      <w:pPr>
        <w:pStyle w:val="JuLista"/>
        <w:rPr>
          <w:lang w:val="en-GB"/>
        </w:rPr>
      </w:pPr>
      <w:r w:rsidRPr="00BD4853">
        <w:t>(c)</w:t>
      </w:r>
      <w:r w:rsidRPr="00BD4853" w:rsidR="00847B08">
        <w:t>  </w:t>
      </w:r>
      <w:r w:rsidRPr="00BD4853">
        <w:t>reserves the further procedure and delegates to the President of the</w:t>
      </w:r>
      <w:r w:rsidRPr="00BD4853" w:rsidR="006B4FFF">
        <w:t xml:space="preserve"> </w:t>
      </w:r>
      <w:r w:rsidRPr="00BD4853">
        <w:t>Chamber the power to fix the same if need be.</w:t>
      </w:r>
    </w:p>
    <w:p w:rsidRPr="00BD4853" w:rsidR="00014566" w:rsidP="00BD4853" w:rsidRDefault="00014566">
      <w:pPr>
        <w:pStyle w:val="JuParaLast"/>
        <w:rPr>
          <w:lang w:val="en-GB"/>
        </w:rPr>
      </w:pPr>
      <w:r w:rsidRPr="00BD4853">
        <w:rPr>
          <w:lang w:val="en-GB"/>
        </w:rPr>
        <w:t xml:space="preserve">Done in English, and notified in writing on </w:t>
      </w:r>
      <w:r w:rsidRPr="00BD4853" w:rsidR="00EC07F8">
        <w:rPr>
          <w:lang w:val="en-GB"/>
        </w:rPr>
        <w:t>23 March 2017</w:t>
      </w:r>
      <w:r w:rsidRPr="00BD4853">
        <w:rPr>
          <w:lang w:val="en-GB"/>
        </w:rPr>
        <w:t>, pursuant to Rule 77 §§ 2 and 3 of the Rules of Court.</w:t>
      </w:r>
    </w:p>
    <w:p w:rsidRPr="00BD4853" w:rsidR="00014566" w:rsidP="00BD4853" w:rsidRDefault="00014566">
      <w:pPr>
        <w:pStyle w:val="JuSigned"/>
        <w:rPr>
          <w:lang w:val="en-GB"/>
        </w:rPr>
      </w:pPr>
      <w:r w:rsidRPr="00BD4853">
        <w:rPr>
          <w:lang w:val="en-GB"/>
        </w:rPr>
        <w:tab/>
      </w:r>
      <w:r w:rsidRPr="00BD4853" w:rsidR="00EC07F8">
        <w:rPr>
          <w:lang w:val="en-GB"/>
        </w:rPr>
        <w:t>Milan Bla</w:t>
      </w:r>
      <w:r w:rsidRPr="00BD4853" w:rsidR="00EC07F8">
        <w:rPr>
          <w:rFonts w:cstheme="minorHAnsi"/>
          <w:lang w:val="en-GB"/>
        </w:rPr>
        <w:t>š</w:t>
      </w:r>
      <w:r w:rsidRPr="00BD4853" w:rsidR="00EC07F8">
        <w:rPr>
          <w:lang w:val="en-GB"/>
        </w:rPr>
        <w:t>ko</w:t>
      </w:r>
      <w:r w:rsidRPr="00BD4853">
        <w:rPr>
          <w:lang w:val="en-GB"/>
        </w:rPr>
        <w:tab/>
      </w:r>
      <w:r w:rsidRPr="00BD4853" w:rsidR="00546D70">
        <w:rPr>
          <w:szCs w:val="24"/>
          <w:lang w:val="en-GB"/>
        </w:rPr>
        <w:t>Erik Møse</w:t>
      </w:r>
      <w:r w:rsidRPr="00BD4853" w:rsidR="00E1557C">
        <w:rPr>
          <w:szCs w:val="24"/>
          <w:lang w:val="en-GB"/>
        </w:rPr>
        <w:br/>
      </w:r>
      <w:r w:rsidRPr="00BD4853">
        <w:rPr>
          <w:lang w:val="en-GB"/>
        </w:rPr>
        <w:tab/>
      </w:r>
      <w:r w:rsidRPr="00BD4853" w:rsidR="00EC07F8">
        <w:rPr>
          <w:lang w:val="en-GB"/>
        </w:rPr>
        <w:t xml:space="preserve">Deputy </w:t>
      </w:r>
      <w:r w:rsidRPr="00BD4853" w:rsidR="00177BCB">
        <w:rPr>
          <w:iCs/>
          <w:lang w:val="en-GB"/>
        </w:rPr>
        <w:t>Registrar</w:t>
      </w:r>
      <w:r w:rsidRPr="00BD4853">
        <w:rPr>
          <w:lang w:val="en-GB"/>
        </w:rPr>
        <w:tab/>
        <w:t>President</w:t>
      </w:r>
    </w:p>
    <w:sectPr w:rsidRPr="00BD4853" w:rsidR="00014566" w:rsidSect="00E0375F">
      <w:headerReference w:type="even" r:id="rId13"/>
      <w:headerReference w:type="default" r:id="rId14"/>
      <w:footnotePr>
        <w:numRestart w:val="eachSect"/>
      </w:footnotePr>
      <w:pgSz w:w="11906" w:h="16838" w:code="9"/>
      <w:pgMar w:top="2274" w:right="2274" w:bottom="2274" w:left="2274" w:header="1701"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1337" w:rsidRPr="0032676F" w:rsidRDefault="00B81337" w:rsidP="00014566">
      <w:pPr>
        <w:rPr>
          <w:lang w:val="en-GB"/>
        </w:rPr>
      </w:pPr>
      <w:r w:rsidRPr="0032676F">
        <w:rPr>
          <w:lang w:val="en-GB"/>
        </w:rPr>
        <w:separator/>
      </w:r>
    </w:p>
  </w:endnote>
  <w:endnote w:type="continuationSeparator" w:id="0">
    <w:p w:rsidR="00B81337" w:rsidRPr="0032676F" w:rsidRDefault="00B81337" w:rsidP="00014566">
      <w:pPr>
        <w:rPr>
          <w:lang w:val="en-GB"/>
        </w:rPr>
      </w:pPr>
      <w:r w:rsidRPr="0032676F">
        <w:rPr>
          <w:lang w:val="en-GB"/>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375F" w:rsidRPr="00150BFA" w:rsidRDefault="00E0375F" w:rsidP="0020718E">
    <w:pPr>
      <w:jc w:val="center"/>
    </w:pPr>
    <w:r>
      <w:rPr>
        <w:noProof/>
        <w:lang w:eastAsia="ja-JP"/>
      </w:rPr>
      <w:drawing>
        <wp:inline distT="0" distB="0" distL="0" distR="0" wp14:anchorId="79F07C4F" wp14:editId="19DDE394">
          <wp:extent cx="771525" cy="619125"/>
          <wp:effectExtent l="0" t="0" r="9525" b="9525"/>
          <wp:docPr id="3" name="Picture 3" descr="R:\1_Graphics&amp;Web\Court_Graphic_Charter\2013\ECHR_Stationery\Documents_and_Letters\Cover_Pages_And_Docs\White_600_dpi\ECHR_CoverpageCS61_ECHR_Coverpage_Footer_COE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1_Graphics&amp;Web\Court_Graphic_Charter\2013\ECHR_Stationery\Documents_and_Letters\Cover_Pages_And_Docs\White_600_dpi\ECHR_CoverpageCS61_ECHR_Coverpage_Footer_COE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19125"/>
                  </a:xfrm>
                  <a:prstGeom prst="rect">
                    <a:avLst/>
                  </a:prstGeom>
                  <a:noFill/>
                  <a:ln>
                    <a:noFill/>
                  </a:ln>
                </pic:spPr>
              </pic:pic>
            </a:graphicData>
          </a:graphic>
        </wp:inline>
      </w:drawing>
    </w:r>
  </w:p>
  <w:p w:rsidR="00E0375F" w:rsidRDefault="00E037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1337" w:rsidRPr="0032676F" w:rsidRDefault="00B81337" w:rsidP="00014566">
      <w:pPr>
        <w:rPr>
          <w:lang w:val="en-GB"/>
        </w:rPr>
      </w:pPr>
      <w:r w:rsidRPr="0032676F">
        <w:rPr>
          <w:lang w:val="en-GB"/>
        </w:rPr>
        <w:separator/>
      </w:r>
    </w:p>
  </w:footnote>
  <w:footnote w:type="continuationSeparator" w:id="0">
    <w:p w:rsidR="00B81337" w:rsidRPr="0032676F" w:rsidRDefault="00B81337" w:rsidP="00014566">
      <w:pPr>
        <w:rPr>
          <w:lang w:val="en-GB"/>
        </w:rPr>
      </w:pPr>
      <w:r w:rsidRPr="0032676F">
        <w:rPr>
          <w:lang w:val="en-GB"/>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337" w:rsidRPr="00E0375F" w:rsidRDefault="00B81337" w:rsidP="00E0375F">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375F" w:rsidRPr="00A45145" w:rsidRDefault="00E0375F" w:rsidP="00A45145">
    <w:pPr>
      <w:jc w:val="center"/>
    </w:pPr>
    <w:r>
      <w:rPr>
        <w:noProof/>
        <w:lang w:eastAsia="ja-JP"/>
      </w:rPr>
      <w:drawing>
        <wp:inline distT="0" distB="0" distL="0" distR="0" wp14:anchorId="53160BAE" wp14:editId="0FCB00F5">
          <wp:extent cx="2962275" cy="1219200"/>
          <wp:effectExtent l="0" t="0" r="9525" b="0"/>
          <wp:docPr id="1" name="Picture 1" descr="R:\1_Graphics&amp;Web\Court_Graphic_Charter\2013\ECHR_Stationery\Documents_and_Letters\Cover_Pages_And_Docs\White_600_dpi\ECHR_CoverpageCS61_ECHR_Coverpage_Header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1_Graphics&amp;Web\Court_Graphic_Charter\2013\ECHR_Stationery\Documents_and_Letters\Cover_Pages_And_Docs\White_600_dpi\ECHR_CoverpageCS61_ECHR_Coverpage_Header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2275" cy="1219200"/>
                  </a:xfrm>
                  <a:prstGeom prst="rect">
                    <a:avLst/>
                  </a:prstGeom>
                  <a:noFill/>
                  <a:ln>
                    <a:noFill/>
                  </a:ln>
                </pic:spPr>
              </pic:pic>
            </a:graphicData>
          </a:graphic>
        </wp:inline>
      </w:drawing>
    </w:r>
  </w:p>
  <w:p w:rsidR="00E0375F" w:rsidRDefault="00E0375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375F" w:rsidRPr="0032676F" w:rsidRDefault="00E0375F" w:rsidP="00EE1DA9">
    <w:pPr>
      <w:pStyle w:val="ECHRHeader"/>
      <w:rPr>
        <w:lang w:val="en-GB"/>
      </w:rPr>
    </w:pP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sidR="00BD4853">
      <w:rPr>
        <w:rStyle w:val="PageNumber"/>
        <w:noProof/>
        <w:szCs w:val="18"/>
        <w:lang w:val="en-GB"/>
      </w:rPr>
      <w:t>20</w:t>
    </w:r>
    <w:r>
      <w:rPr>
        <w:rStyle w:val="PageNumber"/>
        <w:szCs w:val="18"/>
        <w:lang w:val="en-GB"/>
      </w:rPr>
      <w:fldChar w:fldCharType="end"/>
    </w:r>
    <w:r w:rsidRPr="0032676F">
      <w:rPr>
        <w:lang w:val="en-GB"/>
      </w:rPr>
      <w:tab/>
    </w:r>
    <w:r w:rsidR="00157144">
      <w:rPr>
        <w:lang w:val="en-GB"/>
      </w:rPr>
      <w:t>WOLTER AND SARFERT</w:t>
    </w:r>
    <w:r>
      <w:rPr>
        <w:lang w:val="en-GB"/>
      </w:rPr>
      <w:t xml:space="preserve"> v. GERMANY</w:t>
    </w:r>
    <w:r w:rsidRPr="0032676F">
      <w:rPr>
        <w:lang w:val="en-GB"/>
      </w:rPr>
      <w:t xml:space="preserve"> </w:t>
    </w:r>
    <w:r w:rsidR="00ED29EE">
      <w:rPr>
        <w:lang w:val="en-GB"/>
      </w:rPr>
      <w:t xml:space="preserve">(MERITS) </w:t>
    </w:r>
    <w:r>
      <w:rPr>
        <w:lang w:val="en-GB"/>
      </w:rPr>
      <w:t>JUDGMENT</w:t>
    </w:r>
    <w:r w:rsidR="00ED29EE">
      <w:rPr>
        <w:lang w:val="en-GB"/>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375F" w:rsidRPr="0032676F" w:rsidRDefault="00E0375F" w:rsidP="00D60D87">
    <w:pPr>
      <w:pStyle w:val="ECHRHeader"/>
      <w:rPr>
        <w:lang w:val="en-GB"/>
      </w:rPr>
    </w:pPr>
    <w:r w:rsidRPr="0032676F">
      <w:rPr>
        <w:lang w:val="en-GB"/>
      </w:rPr>
      <w:tab/>
    </w:r>
    <w:r w:rsidR="00157144">
      <w:rPr>
        <w:lang w:val="en-GB"/>
      </w:rPr>
      <w:t>WOLTER AND SARFERT</w:t>
    </w:r>
    <w:r>
      <w:rPr>
        <w:lang w:val="en-GB"/>
      </w:rPr>
      <w:t xml:space="preserve"> v. GERMANY</w:t>
    </w:r>
    <w:r w:rsidR="00ED29EE">
      <w:rPr>
        <w:lang w:val="en-GB"/>
      </w:rPr>
      <w:t xml:space="preserve"> (MERITS)</w:t>
    </w:r>
    <w:r w:rsidRPr="0032676F">
      <w:rPr>
        <w:lang w:val="en-GB"/>
      </w:rPr>
      <w:t xml:space="preserve"> </w:t>
    </w:r>
    <w:r>
      <w:rPr>
        <w:lang w:val="en-GB"/>
      </w:rPr>
      <w:t>JUDGMENT</w:t>
    </w:r>
    <w:r w:rsidRPr="0032676F">
      <w:rPr>
        <w:lang w:val="en-GB"/>
      </w:rPr>
      <w:tab/>
    </w: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sidR="00BD4853">
      <w:rPr>
        <w:rStyle w:val="PageNumber"/>
        <w:noProof/>
        <w:szCs w:val="18"/>
        <w:lang w:val="en-GB"/>
      </w:rPr>
      <w:t>19</w:t>
    </w:r>
    <w:r>
      <w:rPr>
        <w:rStyle w:val="PageNumber"/>
        <w:szCs w:val="18"/>
        <w:lang w:val="en-G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0180FE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B90ECFBC"/>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C5B8BEFC"/>
    <w:lvl w:ilvl="0">
      <w:start w:val="1"/>
      <w:numFmt w:val="decimal"/>
      <w:pStyle w:val="ListNumber3"/>
      <w:lvlText w:val="%1."/>
      <w:lvlJc w:val="left"/>
      <w:pPr>
        <w:tabs>
          <w:tab w:val="num" w:pos="926"/>
        </w:tabs>
        <w:ind w:left="926" w:hanging="360"/>
      </w:pPr>
    </w:lvl>
  </w:abstractNum>
  <w:abstractNum w:abstractNumId="3">
    <w:nsid w:val="FFFFFF7F"/>
    <w:multiLevelType w:val="singleLevel"/>
    <w:tmpl w:val="6F1CF73A"/>
    <w:lvl w:ilvl="0">
      <w:start w:val="1"/>
      <w:numFmt w:val="decimal"/>
      <w:pStyle w:val="ListNumber2"/>
      <w:lvlText w:val="%1."/>
      <w:lvlJc w:val="left"/>
      <w:pPr>
        <w:tabs>
          <w:tab w:val="num" w:pos="643"/>
        </w:tabs>
        <w:ind w:left="643" w:hanging="360"/>
      </w:pPr>
    </w:lvl>
  </w:abstractNum>
  <w:abstractNum w:abstractNumId="4">
    <w:nsid w:val="FFFFFF80"/>
    <w:multiLevelType w:val="singleLevel"/>
    <w:tmpl w:val="2380266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0C2C346"/>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9482EC3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666B2C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B2760110"/>
    <w:lvl w:ilvl="0">
      <w:start w:val="1"/>
      <w:numFmt w:val="decimal"/>
      <w:pStyle w:val="ListNumber"/>
      <w:lvlText w:val="%1."/>
      <w:lvlJc w:val="left"/>
      <w:pPr>
        <w:tabs>
          <w:tab w:val="num" w:pos="360"/>
        </w:tabs>
        <w:ind w:left="360" w:hanging="360"/>
      </w:pPr>
    </w:lvl>
  </w:abstractNum>
  <w:abstractNum w:abstractNumId="9">
    <w:nsid w:val="0066004F"/>
    <w:multiLevelType w:val="multilevel"/>
    <w:tmpl w:val="040C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163F153D"/>
    <w:multiLevelType w:val="multilevel"/>
    <w:tmpl w:val="040C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7FD1241"/>
    <w:multiLevelType w:val="hybridMultilevel"/>
    <w:tmpl w:val="F6D86CC2"/>
    <w:lvl w:ilvl="0" w:tplc="E4205412">
      <w:start w:val="1"/>
      <w:numFmt w:val="bullet"/>
      <w:pStyle w:val="ListBullet"/>
      <w:lvlText w:val=""/>
      <w:lvlJc w:val="left"/>
      <w:pPr>
        <w:tabs>
          <w:tab w:val="num" w:pos="851"/>
        </w:tabs>
        <w:ind w:left="568" w:firstLine="0"/>
      </w:pPr>
      <w:rPr>
        <w:rFonts w:ascii="Wingdings" w:hAnsi="Wingdings" w:hint="default"/>
        <w:color w:val="808080"/>
        <w:sz w:val="16"/>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12">
    <w:nsid w:val="76903243"/>
    <w:multiLevelType w:val="multilevel"/>
    <w:tmpl w:val="E884A926"/>
    <w:lvl w:ilvl="0">
      <w:start w:val="1"/>
      <w:numFmt w:val="decimal"/>
      <w:pStyle w:val="JuAppQuestion"/>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7737461D"/>
    <w:multiLevelType w:val="multilevel"/>
    <w:tmpl w:val="040C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1"/>
  </w:num>
  <w:num w:numId="2">
    <w:abstractNumId w:val="10"/>
  </w:num>
  <w:num w:numId="3">
    <w:abstractNumId w:val="9"/>
  </w:num>
  <w:num w:numId="4">
    <w:abstractNumId w:val="13"/>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12"/>
  </w:num>
  <w:num w:numId="16">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removePersonalInformatio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hyphenationZone w:val="425"/>
  <w:evenAndOddHeaders/>
  <w:drawingGridHorizontalSpacing w:val="110"/>
  <w:displayHorizontalDrawingGridEvery w:val="2"/>
  <w:displayVerticalDrawingGridEvery w:val="2"/>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pNatAutre" w:val="0"/>
    <w:docVar w:name="DocVarPREMATURE" w:val="0"/>
    <w:docVar w:name="EMM" w:val="0"/>
    <w:docVar w:name="ETRANSMISSION" w:val="BY E-TRANSMISSION ONLY"/>
    <w:docVar w:name="L4_1Annex" w:val="0"/>
    <w:docVar w:name="L4_1Anonymity" w:val="0"/>
    <w:docVar w:name="NBEMMDOC" w:val="0"/>
    <w:docVar w:name="SignForeName" w:val="0"/>
  </w:docVars>
  <w:rsids>
    <w:rsidRoot w:val="00177BCB"/>
    <w:rsid w:val="000010ED"/>
    <w:rsid w:val="00003497"/>
    <w:rsid w:val="000041F8"/>
    <w:rsid w:val="00004287"/>
    <w:rsid w:val="000042A8"/>
    <w:rsid w:val="00004308"/>
    <w:rsid w:val="000049B6"/>
    <w:rsid w:val="00005BF0"/>
    <w:rsid w:val="00006E4A"/>
    <w:rsid w:val="00007154"/>
    <w:rsid w:val="000103AE"/>
    <w:rsid w:val="00010863"/>
    <w:rsid w:val="00011D69"/>
    <w:rsid w:val="00012AD3"/>
    <w:rsid w:val="00014566"/>
    <w:rsid w:val="00015C2D"/>
    <w:rsid w:val="00015F00"/>
    <w:rsid w:val="0002262A"/>
    <w:rsid w:val="00022C1D"/>
    <w:rsid w:val="00025364"/>
    <w:rsid w:val="00030A6F"/>
    <w:rsid w:val="00032180"/>
    <w:rsid w:val="0003377A"/>
    <w:rsid w:val="00033FB3"/>
    <w:rsid w:val="00034987"/>
    <w:rsid w:val="00041A15"/>
    <w:rsid w:val="000516C2"/>
    <w:rsid w:val="00052294"/>
    <w:rsid w:val="0005252C"/>
    <w:rsid w:val="0005255B"/>
    <w:rsid w:val="000602DF"/>
    <w:rsid w:val="00061B05"/>
    <w:rsid w:val="00062973"/>
    <w:rsid w:val="00062D5D"/>
    <w:rsid w:val="000632D5"/>
    <w:rsid w:val="000644EE"/>
    <w:rsid w:val="000668BD"/>
    <w:rsid w:val="000711F8"/>
    <w:rsid w:val="00071ABC"/>
    <w:rsid w:val="000770DA"/>
    <w:rsid w:val="000775F2"/>
    <w:rsid w:val="0008367C"/>
    <w:rsid w:val="000856D7"/>
    <w:rsid w:val="0008721C"/>
    <w:rsid w:val="000925AD"/>
    <w:rsid w:val="000A246D"/>
    <w:rsid w:val="000A24EB"/>
    <w:rsid w:val="000A399F"/>
    <w:rsid w:val="000A3E46"/>
    <w:rsid w:val="000A6D37"/>
    <w:rsid w:val="000B1EB5"/>
    <w:rsid w:val="000B2360"/>
    <w:rsid w:val="000B6923"/>
    <w:rsid w:val="000C033C"/>
    <w:rsid w:val="000C39AC"/>
    <w:rsid w:val="000C5655"/>
    <w:rsid w:val="000C5A86"/>
    <w:rsid w:val="000C5F3C"/>
    <w:rsid w:val="000C6DCC"/>
    <w:rsid w:val="000D032A"/>
    <w:rsid w:val="000D2906"/>
    <w:rsid w:val="000D3735"/>
    <w:rsid w:val="000D47AA"/>
    <w:rsid w:val="000D65CF"/>
    <w:rsid w:val="000D721F"/>
    <w:rsid w:val="000E069B"/>
    <w:rsid w:val="000E0E82"/>
    <w:rsid w:val="000E1DC5"/>
    <w:rsid w:val="000E223F"/>
    <w:rsid w:val="000E319A"/>
    <w:rsid w:val="000E35AC"/>
    <w:rsid w:val="000E36AC"/>
    <w:rsid w:val="000E7D45"/>
    <w:rsid w:val="000F35C6"/>
    <w:rsid w:val="000F7851"/>
    <w:rsid w:val="000F7900"/>
    <w:rsid w:val="00104E23"/>
    <w:rsid w:val="001078DE"/>
    <w:rsid w:val="00111B0C"/>
    <w:rsid w:val="001123F7"/>
    <w:rsid w:val="00116879"/>
    <w:rsid w:val="0012013E"/>
    <w:rsid w:val="00120334"/>
    <w:rsid w:val="00120D6C"/>
    <w:rsid w:val="00121314"/>
    <w:rsid w:val="001257EC"/>
    <w:rsid w:val="00132C6A"/>
    <w:rsid w:val="00133D33"/>
    <w:rsid w:val="00134D64"/>
    <w:rsid w:val="00135A30"/>
    <w:rsid w:val="0013612C"/>
    <w:rsid w:val="00137B09"/>
    <w:rsid w:val="00137FF6"/>
    <w:rsid w:val="00141650"/>
    <w:rsid w:val="00146085"/>
    <w:rsid w:val="00147C9B"/>
    <w:rsid w:val="00154746"/>
    <w:rsid w:val="00156D2A"/>
    <w:rsid w:val="00157144"/>
    <w:rsid w:val="00162A12"/>
    <w:rsid w:val="0016514F"/>
    <w:rsid w:val="00165C31"/>
    <w:rsid w:val="00166095"/>
    <w:rsid w:val="00166530"/>
    <w:rsid w:val="001676E4"/>
    <w:rsid w:val="00172536"/>
    <w:rsid w:val="00173CDB"/>
    <w:rsid w:val="001750DE"/>
    <w:rsid w:val="00175C88"/>
    <w:rsid w:val="00177BCB"/>
    <w:rsid w:val="001832BD"/>
    <w:rsid w:val="00187AF5"/>
    <w:rsid w:val="001943B5"/>
    <w:rsid w:val="00195134"/>
    <w:rsid w:val="00197B16"/>
    <w:rsid w:val="001A003F"/>
    <w:rsid w:val="001A145B"/>
    <w:rsid w:val="001A2DAA"/>
    <w:rsid w:val="001A559F"/>
    <w:rsid w:val="001A60CF"/>
    <w:rsid w:val="001A674C"/>
    <w:rsid w:val="001A7888"/>
    <w:rsid w:val="001B3B24"/>
    <w:rsid w:val="001B63DB"/>
    <w:rsid w:val="001B7F7E"/>
    <w:rsid w:val="001C09C2"/>
    <w:rsid w:val="001C0F98"/>
    <w:rsid w:val="001C2A42"/>
    <w:rsid w:val="001D42D2"/>
    <w:rsid w:val="001D63ED"/>
    <w:rsid w:val="001D7348"/>
    <w:rsid w:val="001E035B"/>
    <w:rsid w:val="001E0961"/>
    <w:rsid w:val="001E3EAE"/>
    <w:rsid w:val="001E3FBD"/>
    <w:rsid w:val="001E4DEC"/>
    <w:rsid w:val="001E5348"/>
    <w:rsid w:val="001E5AE3"/>
    <w:rsid w:val="001E6F32"/>
    <w:rsid w:val="001E7164"/>
    <w:rsid w:val="001F111C"/>
    <w:rsid w:val="001F1D58"/>
    <w:rsid w:val="001F2145"/>
    <w:rsid w:val="001F463B"/>
    <w:rsid w:val="001F5FED"/>
    <w:rsid w:val="001F6262"/>
    <w:rsid w:val="001F67B0"/>
    <w:rsid w:val="001F738E"/>
    <w:rsid w:val="001F7B3D"/>
    <w:rsid w:val="00205F9F"/>
    <w:rsid w:val="00210338"/>
    <w:rsid w:val="002115FC"/>
    <w:rsid w:val="002133F8"/>
    <w:rsid w:val="0021423C"/>
    <w:rsid w:val="00216652"/>
    <w:rsid w:val="0021769E"/>
    <w:rsid w:val="002200A0"/>
    <w:rsid w:val="00220266"/>
    <w:rsid w:val="00223914"/>
    <w:rsid w:val="0022546E"/>
    <w:rsid w:val="00225594"/>
    <w:rsid w:val="00230D00"/>
    <w:rsid w:val="00231DF7"/>
    <w:rsid w:val="00231FD1"/>
    <w:rsid w:val="002339E0"/>
    <w:rsid w:val="00233CF8"/>
    <w:rsid w:val="00235689"/>
    <w:rsid w:val="00235733"/>
    <w:rsid w:val="0023575D"/>
    <w:rsid w:val="00237148"/>
    <w:rsid w:val="0024222D"/>
    <w:rsid w:val="0024386D"/>
    <w:rsid w:val="00244B0E"/>
    <w:rsid w:val="00244F6C"/>
    <w:rsid w:val="002532C5"/>
    <w:rsid w:val="002540DE"/>
    <w:rsid w:val="0025590B"/>
    <w:rsid w:val="00260C03"/>
    <w:rsid w:val="002624D2"/>
    <w:rsid w:val="0026462A"/>
    <w:rsid w:val="0026540E"/>
    <w:rsid w:val="0027225C"/>
    <w:rsid w:val="00275123"/>
    <w:rsid w:val="0027725A"/>
    <w:rsid w:val="002807F7"/>
    <w:rsid w:val="00282240"/>
    <w:rsid w:val="0028572A"/>
    <w:rsid w:val="00286699"/>
    <w:rsid w:val="00287894"/>
    <w:rsid w:val="002902BB"/>
    <w:rsid w:val="002913E6"/>
    <w:rsid w:val="00291F1E"/>
    <w:rsid w:val="0029451A"/>
    <w:rsid w:val="002948AD"/>
    <w:rsid w:val="00294C05"/>
    <w:rsid w:val="00294C92"/>
    <w:rsid w:val="002A01CC"/>
    <w:rsid w:val="002A06EC"/>
    <w:rsid w:val="002A1B91"/>
    <w:rsid w:val="002A4612"/>
    <w:rsid w:val="002A61B1"/>
    <w:rsid w:val="002A663C"/>
    <w:rsid w:val="002B1E6C"/>
    <w:rsid w:val="002B444B"/>
    <w:rsid w:val="002B5887"/>
    <w:rsid w:val="002C0692"/>
    <w:rsid w:val="002C0E27"/>
    <w:rsid w:val="002C21D3"/>
    <w:rsid w:val="002C2C4D"/>
    <w:rsid w:val="002C3040"/>
    <w:rsid w:val="002C7B4C"/>
    <w:rsid w:val="002D022D"/>
    <w:rsid w:val="002D24BB"/>
    <w:rsid w:val="002D26CA"/>
    <w:rsid w:val="002D34C3"/>
    <w:rsid w:val="002E0BAA"/>
    <w:rsid w:val="002E5FB3"/>
    <w:rsid w:val="002F1E93"/>
    <w:rsid w:val="002F2AF7"/>
    <w:rsid w:val="002F7E1C"/>
    <w:rsid w:val="00301A75"/>
    <w:rsid w:val="00302F70"/>
    <w:rsid w:val="0030336F"/>
    <w:rsid w:val="0030375E"/>
    <w:rsid w:val="003122F3"/>
    <w:rsid w:val="00312A30"/>
    <w:rsid w:val="00316BBE"/>
    <w:rsid w:val="00317FF2"/>
    <w:rsid w:val="00320F72"/>
    <w:rsid w:val="00322958"/>
    <w:rsid w:val="0032463E"/>
    <w:rsid w:val="0032580B"/>
    <w:rsid w:val="00326224"/>
    <w:rsid w:val="0032676F"/>
    <w:rsid w:val="003328D6"/>
    <w:rsid w:val="00334F26"/>
    <w:rsid w:val="00337EE4"/>
    <w:rsid w:val="00340FFD"/>
    <w:rsid w:val="00341CE7"/>
    <w:rsid w:val="003506B1"/>
    <w:rsid w:val="003507A2"/>
    <w:rsid w:val="00350A3A"/>
    <w:rsid w:val="00356AC7"/>
    <w:rsid w:val="003609FA"/>
    <w:rsid w:val="00364CF4"/>
    <w:rsid w:val="003710C8"/>
    <w:rsid w:val="00371AC1"/>
    <w:rsid w:val="00374DBD"/>
    <w:rsid w:val="003750BE"/>
    <w:rsid w:val="00375EEB"/>
    <w:rsid w:val="00387B9D"/>
    <w:rsid w:val="0039364F"/>
    <w:rsid w:val="00396686"/>
    <w:rsid w:val="00396CEB"/>
    <w:rsid w:val="0039778E"/>
    <w:rsid w:val="00397F68"/>
    <w:rsid w:val="003A38A7"/>
    <w:rsid w:val="003B2247"/>
    <w:rsid w:val="003B3BE9"/>
    <w:rsid w:val="003B4061"/>
    <w:rsid w:val="003B4941"/>
    <w:rsid w:val="003B4C7C"/>
    <w:rsid w:val="003B5A98"/>
    <w:rsid w:val="003C2608"/>
    <w:rsid w:val="003C4753"/>
    <w:rsid w:val="003C5714"/>
    <w:rsid w:val="003C6B9F"/>
    <w:rsid w:val="003C6E2A"/>
    <w:rsid w:val="003D0299"/>
    <w:rsid w:val="003E4F27"/>
    <w:rsid w:val="003E6D80"/>
    <w:rsid w:val="003F05FA"/>
    <w:rsid w:val="003F244A"/>
    <w:rsid w:val="003F30B8"/>
    <w:rsid w:val="003F4C45"/>
    <w:rsid w:val="003F5F7B"/>
    <w:rsid w:val="003F7D64"/>
    <w:rsid w:val="00403EBC"/>
    <w:rsid w:val="0040635C"/>
    <w:rsid w:val="00414300"/>
    <w:rsid w:val="004200DA"/>
    <w:rsid w:val="004205E4"/>
    <w:rsid w:val="00424741"/>
    <w:rsid w:val="00425C67"/>
    <w:rsid w:val="00427E7A"/>
    <w:rsid w:val="00436307"/>
    <w:rsid w:val="00436C49"/>
    <w:rsid w:val="00443C74"/>
    <w:rsid w:val="00445121"/>
    <w:rsid w:val="00445366"/>
    <w:rsid w:val="00447F5B"/>
    <w:rsid w:val="00452D7E"/>
    <w:rsid w:val="004552F0"/>
    <w:rsid w:val="00461DB0"/>
    <w:rsid w:val="00463926"/>
    <w:rsid w:val="004646E0"/>
    <w:rsid w:val="00464C9A"/>
    <w:rsid w:val="00474F3D"/>
    <w:rsid w:val="00477E3A"/>
    <w:rsid w:val="00481848"/>
    <w:rsid w:val="00482FF0"/>
    <w:rsid w:val="00483E5F"/>
    <w:rsid w:val="00485FF9"/>
    <w:rsid w:val="00487B5F"/>
    <w:rsid w:val="004907F0"/>
    <w:rsid w:val="004910EA"/>
    <w:rsid w:val="0049140B"/>
    <w:rsid w:val="004923A5"/>
    <w:rsid w:val="00496BFB"/>
    <w:rsid w:val="00497EB2"/>
    <w:rsid w:val="004A15C7"/>
    <w:rsid w:val="004A4A75"/>
    <w:rsid w:val="004A6DC0"/>
    <w:rsid w:val="004B013B"/>
    <w:rsid w:val="004B0CA0"/>
    <w:rsid w:val="004B112B"/>
    <w:rsid w:val="004B4E23"/>
    <w:rsid w:val="004C01E4"/>
    <w:rsid w:val="004C0618"/>
    <w:rsid w:val="004C086C"/>
    <w:rsid w:val="004C1F56"/>
    <w:rsid w:val="004C27BC"/>
    <w:rsid w:val="004C2AFC"/>
    <w:rsid w:val="004C39C4"/>
    <w:rsid w:val="004D15F3"/>
    <w:rsid w:val="004D5311"/>
    <w:rsid w:val="004D5DCC"/>
    <w:rsid w:val="004D7902"/>
    <w:rsid w:val="004E0A07"/>
    <w:rsid w:val="004E2637"/>
    <w:rsid w:val="004E485D"/>
    <w:rsid w:val="004E7862"/>
    <w:rsid w:val="004F10AF"/>
    <w:rsid w:val="004F11A4"/>
    <w:rsid w:val="004F1603"/>
    <w:rsid w:val="004F2389"/>
    <w:rsid w:val="004F2444"/>
    <w:rsid w:val="004F304D"/>
    <w:rsid w:val="004F4D04"/>
    <w:rsid w:val="004F61BE"/>
    <w:rsid w:val="004F66B1"/>
    <w:rsid w:val="00506103"/>
    <w:rsid w:val="0050639A"/>
    <w:rsid w:val="00511C07"/>
    <w:rsid w:val="00516D87"/>
    <w:rsid w:val="005173A6"/>
    <w:rsid w:val="0051742C"/>
    <w:rsid w:val="005176A8"/>
    <w:rsid w:val="00520BAA"/>
    <w:rsid w:val="00521DCA"/>
    <w:rsid w:val="00525208"/>
    <w:rsid w:val="005257A5"/>
    <w:rsid w:val="005264C0"/>
    <w:rsid w:val="00526A8A"/>
    <w:rsid w:val="00531DF2"/>
    <w:rsid w:val="00532B0C"/>
    <w:rsid w:val="0053324B"/>
    <w:rsid w:val="00535890"/>
    <w:rsid w:val="00537E1C"/>
    <w:rsid w:val="00543AE0"/>
    <w:rsid w:val="005442EE"/>
    <w:rsid w:val="00546D70"/>
    <w:rsid w:val="00547353"/>
    <w:rsid w:val="005474E7"/>
    <w:rsid w:val="005512A3"/>
    <w:rsid w:val="0055346A"/>
    <w:rsid w:val="005578CE"/>
    <w:rsid w:val="00557FCD"/>
    <w:rsid w:val="00560135"/>
    <w:rsid w:val="0056048C"/>
    <w:rsid w:val="00561062"/>
    <w:rsid w:val="00562781"/>
    <w:rsid w:val="00563E83"/>
    <w:rsid w:val="00566CBA"/>
    <w:rsid w:val="005725BE"/>
    <w:rsid w:val="0057271C"/>
    <w:rsid w:val="00572845"/>
    <w:rsid w:val="00573B7B"/>
    <w:rsid w:val="00573CC8"/>
    <w:rsid w:val="00574B8A"/>
    <w:rsid w:val="00576098"/>
    <w:rsid w:val="00581096"/>
    <w:rsid w:val="00581FB9"/>
    <w:rsid w:val="005835E1"/>
    <w:rsid w:val="0059199E"/>
    <w:rsid w:val="00592772"/>
    <w:rsid w:val="0059574A"/>
    <w:rsid w:val="005A1509"/>
    <w:rsid w:val="005A1B9B"/>
    <w:rsid w:val="005A27C1"/>
    <w:rsid w:val="005A50ED"/>
    <w:rsid w:val="005A6537"/>
    <w:rsid w:val="005A6751"/>
    <w:rsid w:val="005B092E"/>
    <w:rsid w:val="005B152C"/>
    <w:rsid w:val="005B1EE0"/>
    <w:rsid w:val="005B2B24"/>
    <w:rsid w:val="005B4425"/>
    <w:rsid w:val="005B4B94"/>
    <w:rsid w:val="005C3EE8"/>
    <w:rsid w:val="005C50BF"/>
    <w:rsid w:val="005C680C"/>
    <w:rsid w:val="005D1F50"/>
    <w:rsid w:val="005D34F9"/>
    <w:rsid w:val="005D4190"/>
    <w:rsid w:val="005D67A3"/>
    <w:rsid w:val="005E2988"/>
    <w:rsid w:val="005E2A43"/>
    <w:rsid w:val="005E3085"/>
    <w:rsid w:val="005E438A"/>
    <w:rsid w:val="005F262F"/>
    <w:rsid w:val="005F51E1"/>
    <w:rsid w:val="006013EB"/>
    <w:rsid w:val="00606520"/>
    <w:rsid w:val="00611C80"/>
    <w:rsid w:val="00614761"/>
    <w:rsid w:val="006163F5"/>
    <w:rsid w:val="00620692"/>
    <w:rsid w:val="00622754"/>
    <w:rsid w:val="0062389E"/>
    <w:rsid w:val="006242CA"/>
    <w:rsid w:val="00627507"/>
    <w:rsid w:val="00631F0F"/>
    <w:rsid w:val="00633717"/>
    <w:rsid w:val="006344E1"/>
    <w:rsid w:val="00650E4A"/>
    <w:rsid w:val="006545C4"/>
    <w:rsid w:val="006555B7"/>
    <w:rsid w:val="00657DA7"/>
    <w:rsid w:val="00661971"/>
    <w:rsid w:val="00661CE8"/>
    <w:rsid w:val="006623D9"/>
    <w:rsid w:val="0066252E"/>
    <w:rsid w:val="0066550C"/>
    <w:rsid w:val="00666E0F"/>
    <w:rsid w:val="006716F2"/>
    <w:rsid w:val="00672D2B"/>
    <w:rsid w:val="00682BF2"/>
    <w:rsid w:val="00685504"/>
    <w:rsid w:val="006859CE"/>
    <w:rsid w:val="00691270"/>
    <w:rsid w:val="00694BA8"/>
    <w:rsid w:val="00694EDA"/>
    <w:rsid w:val="006A037C"/>
    <w:rsid w:val="006A36F4"/>
    <w:rsid w:val="006A406F"/>
    <w:rsid w:val="006A5D3A"/>
    <w:rsid w:val="006B3EF1"/>
    <w:rsid w:val="006B4FFF"/>
    <w:rsid w:val="006C0136"/>
    <w:rsid w:val="006C23D4"/>
    <w:rsid w:val="006C4103"/>
    <w:rsid w:val="006C7BB0"/>
    <w:rsid w:val="006D1F26"/>
    <w:rsid w:val="006D3237"/>
    <w:rsid w:val="006D5DB2"/>
    <w:rsid w:val="006E2E37"/>
    <w:rsid w:val="006E3CF1"/>
    <w:rsid w:val="006E7E80"/>
    <w:rsid w:val="006E7EE8"/>
    <w:rsid w:val="006F1DF9"/>
    <w:rsid w:val="006F24DB"/>
    <w:rsid w:val="006F35AA"/>
    <w:rsid w:val="006F48CA"/>
    <w:rsid w:val="006F64DD"/>
    <w:rsid w:val="007034AA"/>
    <w:rsid w:val="007105C3"/>
    <w:rsid w:val="00711976"/>
    <w:rsid w:val="007121D9"/>
    <w:rsid w:val="00715127"/>
    <w:rsid w:val="00715E8E"/>
    <w:rsid w:val="00716321"/>
    <w:rsid w:val="00723580"/>
    <w:rsid w:val="00723755"/>
    <w:rsid w:val="007237A6"/>
    <w:rsid w:val="0072543D"/>
    <w:rsid w:val="00726426"/>
    <w:rsid w:val="0073136C"/>
    <w:rsid w:val="00731F0F"/>
    <w:rsid w:val="00733250"/>
    <w:rsid w:val="00741404"/>
    <w:rsid w:val="007449E5"/>
    <w:rsid w:val="007455E6"/>
    <w:rsid w:val="00746C5A"/>
    <w:rsid w:val="00747FF0"/>
    <w:rsid w:val="007544F6"/>
    <w:rsid w:val="007561D0"/>
    <w:rsid w:val="007572C3"/>
    <w:rsid w:val="00764D4E"/>
    <w:rsid w:val="00765A1F"/>
    <w:rsid w:val="00775B6D"/>
    <w:rsid w:val="00776D68"/>
    <w:rsid w:val="00781535"/>
    <w:rsid w:val="007850EE"/>
    <w:rsid w:val="00785B95"/>
    <w:rsid w:val="0078614C"/>
    <w:rsid w:val="007868AE"/>
    <w:rsid w:val="00790E96"/>
    <w:rsid w:val="00793366"/>
    <w:rsid w:val="007959EC"/>
    <w:rsid w:val="007A0B21"/>
    <w:rsid w:val="007A429B"/>
    <w:rsid w:val="007A716F"/>
    <w:rsid w:val="007B1C75"/>
    <w:rsid w:val="007B270A"/>
    <w:rsid w:val="007B6E21"/>
    <w:rsid w:val="007C0695"/>
    <w:rsid w:val="007C419A"/>
    <w:rsid w:val="007C4CC8"/>
    <w:rsid w:val="007C5426"/>
    <w:rsid w:val="007C5798"/>
    <w:rsid w:val="007D4832"/>
    <w:rsid w:val="007D5D0F"/>
    <w:rsid w:val="007D7FC7"/>
    <w:rsid w:val="007E21B2"/>
    <w:rsid w:val="007E2C4E"/>
    <w:rsid w:val="007E3966"/>
    <w:rsid w:val="007E75D9"/>
    <w:rsid w:val="007F07CE"/>
    <w:rsid w:val="007F13E9"/>
    <w:rsid w:val="007F1905"/>
    <w:rsid w:val="007F24D5"/>
    <w:rsid w:val="00800CF2"/>
    <w:rsid w:val="00801300"/>
    <w:rsid w:val="00802C64"/>
    <w:rsid w:val="0080469F"/>
    <w:rsid w:val="00805E52"/>
    <w:rsid w:val="008061D0"/>
    <w:rsid w:val="00810B38"/>
    <w:rsid w:val="008204C7"/>
    <w:rsid w:val="00820992"/>
    <w:rsid w:val="00823602"/>
    <w:rsid w:val="00824473"/>
    <w:rsid w:val="00824D43"/>
    <w:rsid w:val="008255F5"/>
    <w:rsid w:val="0083006E"/>
    <w:rsid w:val="0083014E"/>
    <w:rsid w:val="00831C0D"/>
    <w:rsid w:val="0083214A"/>
    <w:rsid w:val="00834220"/>
    <w:rsid w:val="00845723"/>
    <w:rsid w:val="00847B08"/>
    <w:rsid w:val="00851EF9"/>
    <w:rsid w:val="008553A3"/>
    <w:rsid w:val="00856AC9"/>
    <w:rsid w:val="008577FD"/>
    <w:rsid w:val="00860B03"/>
    <w:rsid w:val="0086497A"/>
    <w:rsid w:val="008713A1"/>
    <w:rsid w:val="00875342"/>
    <w:rsid w:val="008754AB"/>
    <w:rsid w:val="00875C7D"/>
    <w:rsid w:val="0088060C"/>
    <w:rsid w:val="00882F59"/>
    <w:rsid w:val="00882F79"/>
    <w:rsid w:val="00893576"/>
    <w:rsid w:val="00893687"/>
    <w:rsid w:val="00893E73"/>
    <w:rsid w:val="0089748C"/>
    <w:rsid w:val="008A43C4"/>
    <w:rsid w:val="008A75E7"/>
    <w:rsid w:val="008B02DC"/>
    <w:rsid w:val="008B57CE"/>
    <w:rsid w:val="008B659F"/>
    <w:rsid w:val="008C26DE"/>
    <w:rsid w:val="008C522D"/>
    <w:rsid w:val="008C5811"/>
    <w:rsid w:val="008D0D4E"/>
    <w:rsid w:val="008D2225"/>
    <w:rsid w:val="008D4752"/>
    <w:rsid w:val="008D4A40"/>
    <w:rsid w:val="008D552A"/>
    <w:rsid w:val="008D5B84"/>
    <w:rsid w:val="008D7BAF"/>
    <w:rsid w:val="008E0062"/>
    <w:rsid w:val="008E271C"/>
    <w:rsid w:val="008E418E"/>
    <w:rsid w:val="008E5BC6"/>
    <w:rsid w:val="008E6A25"/>
    <w:rsid w:val="008F458B"/>
    <w:rsid w:val="008F5193"/>
    <w:rsid w:val="008F6C43"/>
    <w:rsid w:val="009013A7"/>
    <w:rsid w:val="009017FB"/>
    <w:rsid w:val="009017FC"/>
    <w:rsid w:val="00903B43"/>
    <w:rsid w:val="0090506B"/>
    <w:rsid w:val="009050C9"/>
    <w:rsid w:val="009066FC"/>
    <w:rsid w:val="00912368"/>
    <w:rsid w:val="009140A3"/>
    <w:rsid w:val="009144A2"/>
    <w:rsid w:val="0091510C"/>
    <w:rsid w:val="009169CB"/>
    <w:rsid w:val="009235AB"/>
    <w:rsid w:val="00924209"/>
    <w:rsid w:val="009259AC"/>
    <w:rsid w:val="00926F38"/>
    <w:rsid w:val="009337D4"/>
    <w:rsid w:val="00934301"/>
    <w:rsid w:val="00936811"/>
    <w:rsid w:val="00936CD1"/>
    <w:rsid w:val="00941747"/>
    <w:rsid w:val="00941EFB"/>
    <w:rsid w:val="00942C36"/>
    <w:rsid w:val="00944CF7"/>
    <w:rsid w:val="00947AFB"/>
    <w:rsid w:val="00950C99"/>
    <w:rsid w:val="00951D7D"/>
    <w:rsid w:val="00952C12"/>
    <w:rsid w:val="00953B0E"/>
    <w:rsid w:val="00957B89"/>
    <w:rsid w:val="00960DE9"/>
    <w:rsid w:val="00961F9E"/>
    <w:rsid w:val="009630C7"/>
    <w:rsid w:val="009653BE"/>
    <w:rsid w:val="009658BE"/>
    <w:rsid w:val="0096747A"/>
    <w:rsid w:val="00971DAF"/>
    <w:rsid w:val="00972B55"/>
    <w:rsid w:val="009743B7"/>
    <w:rsid w:val="009774CF"/>
    <w:rsid w:val="00980899"/>
    <w:rsid w:val="00981273"/>
    <w:rsid w:val="00982123"/>
    <w:rsid w:val="0098228B"/>
    <w:rsid w:val="009828DA"/>
    <w:rsid w:val="00982D46"/>
    <w:rsid w:val="00985BAB"/>
    <w:rsid w:val="00995244"/>
    <w:rsid w:val="00995A74"/>
    <w:rsid w:val="00997F03"/>
    <w:rsid w:val="009A01E0"/>
    <w:rsid w:val="009A0DFD"/>
    <w:rsid w:val="009A46DF"/>
    <w:rsid w:val="009A6B7F"/>
    <w:rsid w:val="009B148E"/>
    <w:rsid w:val="009B1B5F"/>
    <w:rsid w:val="009B2EC2"/>
    <w:rsid w:val="009B5951"/>
    <w:rsid w:val="009B6673"/>
    <w:rsid w:val="009C191B"/>
    <w:rsid w:val="009C2BD6"/>
    <w:rsid w:val="009E1F32"/>
    <w:rsid w:val="009E5829"/>
    <w:rsid w:val="009E776C"/>
    <w:rsid w:val="00A02F1E"/>
    <w:rsid w:val="00A16233"/>
    <w:rsid w:val="00A16D99"/>
    <w:rsid w:val="00A1726E"/>
    <w:rsid w:val="00A204CF"/>
    <w:rsid w:val="00A22802"/>
    <w:rsid w:val="00A2378A"/>
    <w:rsid w:val="00A23AC7"/>
    <w:rsid w:val="00A23D49"/>
    <w:rsid w:val="00A27004"/>
    <w:rsid w:val="00A30C29"/>
    <w:rsid w:val="00A34375"/>
    <w:rsid w:val="00A34DD6"/>
    <w:rsid w:val="00A36819"/>
    <w:rsid w:val="00A36989"/>
    <w:rsid w:val="00A43628"/>
    <w:rsid w:val="00A54192"/>
    <w:rsid w:val="00A56197"/>
    <w:rsid w:val="00A6035E"/>
    <w:rsid w:val="00A6144C"/>
    <w:rsid w:val="00A63220"/>
    <w:rsid w:val="00A66617"/>
    <w:rsid w:val="00A66786"/>
    <w:rsid w:val="00A671F8"/>
    <w:rsid w:val="00A673A4"/>
    <w:rsid w:val="00A67ED4"/>
    <w:rsid w:val="00A724AE"/>
    <w:rsid w:val="00A73329"/>
    <w:rsid w:val="00A82359"/>
    <w:rsid w:val="00A865D2"/>
    <w:rsid w:val="00A91EDA"/>
    <w:rsid w:val="00A932AE"/>
    <w:rsid w:val="00A94C20"/>
    <w:rsid w:val="00A96ED6"/>
    <w:rsid w:val="00AA227F"/>
    <w:rsid w:val="00AA3BC7"/>
    <w:rsid w:val="00AA6BAF"/>
    <w:rsid w:val="00AA754A"/>
    <w:rsid w:val="00AB0588"/>
    <w:rsid w:val="00AB099E"/>
    <w:rsid w:val="00AB1160"/>
    <w:rsid w:val="00AB1D9E"/>
    <w:rsid w:val="00AB3E7B"/>
    <w:rsid w:val="00AB4328"/>
    <w:rsid w:val="00AB4870"/>
    <w:rsid w:val="00AB5FA0"/>
    <w:rsid w:val="00AC2340"/>
    <w:rsid w:val="00AC5190"/>
    <w:rsid w:val="00AD5FFA"/>
    <w:rsid w:val="00AD62A7"/>
    <w:rsid w:val="00AE0A2E"/>
    <w:rsid w:val="00AE1A9B"/>
    <w:rsid w:val="00AE354C"/>
    <w:rsid w:val="00AF00DE"/>
    <w:rsid w:val="00AF1278"/>
    <w:rsid w:val="00AF4B07"/>
    <w:rsid w:val="00AF6186"/>
    <w:rsid w:val="00AF632D"/>
    <w:rsid w:val="00AF7853"/>
    <w:rsid w:val="00AF7A3A"/>
    <w:rsid w:val="00B01D66"/>
    <w:rsid w:val="00B04FEB"/>
    <w:rsid w:val="00B0558F"/>
    <w:rsid w:val="00B160DB"/>
    <w:rsid w:val="00B16382"/>
    <w:rsid w:val="00B20836"/>
    <w:rsid w:val="00B2168F"/>
    <w:rsid w:val="00B235BB"/>
    <w:rsid w:val="00B27801"/>
    <w:rsid w:val="00B27A44"/>
    <w:rsid w:val="00B30BBF"/>
    <w:rsid w:val="00B33C03"/>
    <w:rsid w:val="00B432A8"/>
    <w:rsid w:val="00B44E56"/>
    <w:rsid w:val="00B46543"/>
    <w:rsid w:val="00B47D33"/>
    <w:rsid w:val="00B52BE0"/>
    <w:rsid w:val="00B54133"/>
    <w:rsid w:val="00B637B9"/>
    <w:rsid w:val="00B638FA"/>
    <w:rsid w:val="00B64AA0"/>
    <w:rsid w:val="00B701ED"/>
    <w:rsid w:val="00B75106"/>
    <w:rsid w:val="00B7734C"/>
    <w:rsid w:val="00B8086C"/>
    <w:rsid w:val="00B81337"/>
    <w:rsid w:val="00B822C8"/>
    <w:rsid w:val="00B84A5A"/>
    <w:rsid w:val="00B84EF5"/>
    <w:rsid w:val="00B861B4"/>
    <w:rsid w:val="00B86DFE"/>
    <w:rsid w:val="00B90990"/>
    <w:rsid w:val="00B909D3"/>
    <w:rsid w:val="00B922FF"/>
    <w:rsid w:val="00B9281E"/>
    <w:rsid w:val="00B93452"/>
    <w:rsid w:val="00B93925"/>
    <w:rsid w:val="00B93C93"/>
    <w:rsid w:val="00B95187"/>
    <w:rsid w:val="00BA2D55"/>
    <w:rsid w:val="00BA51F3"/>
    <w:rsid w:val="00BA71B1"/>
    <w:rsid w:val="00BB0637"/>
    <w:rsid w:val="00BB14A1"/>
    <w:rsid w:val="00BB345F"/>
    <w:rsid w:val="00BB5883"/>
    <w:rsid w:val="00BB68EA"/>
    <w:rsid w:val="00BC1C27"/>
    <w:rsid w:val="00BC4118"/>
    <w:rsid w:val="00BC6BBF"/>
    <w:rsid w:val="00BD12CE"/>
    <w:rsid w:val="00BD1572"/>
    <w:rsid w:val="00BD4853"/>
    <w:rsid w:val="00BD7D02"/>
    <w:rsid w:val="00BE14E3"/>
    <w:rsid w:val="00BE22A7"/>
    <w:rsid w:val="00BE3774"/>
    <w:rsid w:val="00BE41E5"/>
    <w:rsid w:val="00BE55B7"/>
    <w:rsid w:val="00BF0BBB"/>
    <w:rsid w:val="00BF3146"/>
    <w:rsid w:val="00BF4109"/>
    <w:rsid w:val="00BF4CC3"/>
    <w:rsid w:val="00C054C7"/>
    <w:rsid w:val="00C057B5"/>
    <w:rsid w:val="00C11AB6"/>
    <w:rsid w:val="00C17B59"/>
    <w:rsid w:val="00C22687"/>
    <w:rsid w:val="00C32E4D"/>
    <w:rsid w:val="00C333A0"/>
    <w:rsid w:val="00C36A81"/>
    <w:rsid w:val="00C41974"/>
    <w:rsid w:val="00C42CED"/>
    <w:rsid w:val="00C446A9"/>
    <w:rsid w:val="00C447AD"/>
    <w:rsid w:val="00C45A59"/>
    <w:rsid w:val="00C53F4A"/>
    <w:rsid w:val="00C54125"/>
    <w:rsid w:val="00C55B54"/>
    <w:rsid w:val="00C55EB9"/>
    <w:rsid w:val="00C5693C"/>
    <w:rsid w:val="00C6098E"/>
    <w:rsid w:val="00C6152C"/>
    <w:rsid w:val="00C621C2"/>
    <w:rsid w:val="00C65561"/>
    <w:rsid w:val="00C66FED"/>
    <w:rsid w:val="00C74810"/>
    <w:rsid w:val="00C80677"/>
    <w:rsid w:val="00C81120"/>
    <w:rsid w:val="00C84F95"/>
    <w:rsid w:val="00C9041E"/>
    <w:rsid w:val="00C90D68"/>
    <w:rsid w:val="00C939FE"/>
    <w:rsid w:val="00CA4BDA"/>
    <w:rsid w:val="00CB1F66"/>
    <w:rsid w:val="00CB2951"/>
    <w:rsid w:val="00CB3212"/>
    <w:rsid w:val="00CB36CD"/>
    <w:rsid w:val="00CB4157"/>
    <w:rsid w:val="00CC0641"/>
    <w:rsid w:val="00CC421B"/>
    <w:rsid w:val="00CC5276"/>
    <w:rsid w:val="00CD282B"/>
    <w:rsid w:val="00CD42BE"/>
    <w:rsid w:val="00CD4C35"/>
    <w:rsid w:val="00CD7369"/>
    <w:rsid w:val="00CE0B0E"/>
    <w:rsid w:val="00CE151F"/>
    <w:rsid w:val="00CE3831"/>
    <w:rsid w:val="00CE48C6"/>
    <w:rsid w:val="00CE4A49"/>
    <w:rsid w:val="00CF0FE2"/>
    <w:rsid w:val="00CF2892"/>
    <w:rsid w:val="00D00ABB"/>
    <w:rsid w:val="00D02EEC"/>
    <w:rsid w:val="00D03551"/>
    <w:rsid w:val="00D04515"/>
    <w:rsid w:val="00D06A63"/>
    <w:rsid w:val="00D06B17"/>
    <w:rsid w:val="00D06D76"/>
    <w:rsid w:val="00D07E0E"/>
    <w:rsid w:val="00D10B38"/>
    <w:rsid w:val="00D11478"/>
    <w:rsid w:val="00D12D2B"/>
    <w:rsid w:val="00D15D85"/>
    <w:rsid w:val="00D15ED0"/>
    <w:rsid w:val="00D21B3E"/>
    <w:rsid w:val="00D21FED"/>
    <w:rsid w:val="00D24251"/>
    <w:rsid w:val="00D33B7A"/>
    <w:rsid w:val="00D343E2"/>
    <w:rsid w:val="00D34454"/>
    <w:rsid w:val="00D361A2"/>
    <w:rsid w:val="00D44C2E"/>
    <w:rsid w:val="00D45414"/>
    <w:rsid w:val="00D46F55"/>
    <w:rsid w:val="00D53C0F"/>
    <w:rsid w:val="00D566BD"/>
    <w:rsid w:val="00D57A4D"/>
    <w:rsid w:val="00D60AA7"/>
    <w:rsid w:val="00D60D87"/>
    <w:rsid w:val="00D6435F"/>
    <w:rsid w:val="00D75E28"/>
    <w:rsid w:val="00D772C2"/>
    <w:rsid w:val="00D8008E"/>
    <w:rsid w:val="00D82C45"/>
    <w:rsid w:val="00D835EA"/>
    <w:rsid w:val="00D8499E"/>
    <w:rsid w:val="00D908A8"/>
    <w:rsid w:val="00D90922"/>
    <w:rsid w:val="00D95148"/>
    <w:rsid w:val="00D977B6"/>
    <w:rsid w:val="00DA0528"/>
    <w:rsid w:val="00DA19E6"/>
    <w:rsid w:val="00DA4A31"/>
    <w:rsid w:val="00DA61F2"/>
    <w:rsid w:val="00DA7B04"/>
    <w:rsid w:val="00DB36C2"/>
    <w:rsid w:val="00DB43DE"/>
    <w:rsid w:val="00DB6A98"/>
    <w:rsid w:val="00DB7196"/>
    <w:rsid w:val="00DC169B"/>
    <w:rsid w:val="00DC2AB9"/>
    <w:rsid w:val="00DC504B"/>
    <w:rsid w:val="00DC59FE"/>
    <w:rsid w:val="00DC63F0"/>
    <w:rsid w:val="00DD253B"/>
    <w:rsid w:val="00DD3920"/>
    <w:rsid w:val="00DD6EE5"/>
    <w:rsid w:val="00DE1B8E"/>
    <w:rsid w:val="00DE386C"/>
    <w:rsid w:val="00DE4D35"/>
    <w:rsid w:val="00DE4F40"/>
    <w:rsid w:val="00DF0549"/>
    <w:rsid w:val="00DF098B"/>
    <w:rsid w:val="00DF11C4"/>
    <w:rsid w:val="00DF19F0"/>
    <w:rsid w:val="00DF210C"/>
    <w:rsid w:val="00DF4B6A"/>
    <w:rsid w:val="00E0105B"/>
    <w:rsid w:val="00E021F9"/>
    <w:rsid w:val="00E02C09"/>
    <w:rsid w:val="00E0375F"/>
    <w:rsid w:val="00E04D59"/>
    <w:rsid w:val="00E06E1A"/>
    <w:rsid w:val="00E075D2"/>
    <w:rsid w:val="00E07DA1"/>
    <w:rsid w:val="00E123CB"/>
    <w:rsid w:val="00E1557C"/>
    <w:rsid w:val="00E20E13"/>
    <w:rsid w:val="00E21DBC"/>
    <w:rsid w:val="00E22A8D"/>
    <w:rsid w:val="00E22FB1"/>
    <w:rsid w:val="00E275D7"/>
    <w:rsid w:val="00E27DBE"/>
    <w:rsid w:val="00E32AB1"/>
    <w:rsid w:val="00E33497"/>
    <w:rsid w:val="00E34F03"/>
    <w:rsid w:val="00E356E9"/>
    <w:rsid w:val="00E35958"/>
    <w:rsid w:val="00E36C71"/>
    <w:rsid w:val="00E36E4A"/>
    <w:rsid w:val="00E374B8"/>
    <w:rsid w:val="00E402EC"/>
    <w:rsid w:val="00E40404"/>
    <w:rsid w:val="00E40B5C"/>
    <w:rsid w:val="00E422F8"/>
    <w:rsid w:val="00E459C6"/>
    <w:rsid w:val="00E473B9"/>
    <w:rsid w:val="00E47589"/>
    <w:rsid w:val="00E47D5A"/>
    <w:rsid w:val="00E5531C"/>
    <w:rsid w:val="00E64915"/>
    <w:rsid w:val="00E661D4"/>
    <w:rsid w:val="00E70091"/>
    <w:rsid w:val="00E715D3"/>
    <w:rsid w:val="00E720F5"/>
    <w:rsid w:val="00E7349F"/>
    <w:rsid w:val="00E76D47"/>
    <w:rsid w:val="00E849F7"/>
    <w:rsid w:val="00E90302"/>
    <w:rsid w:val="00E90BEB"/>
    <w:rsid w:val="00E9597F"/>
    <w:rsid w:val="00E966C6"/>
    <w:rsid w:val="00E97396"/>
    <w:rsid w:val="00EA185E"/>
    <w:rsid w:val="00EA592A"/>
    <w:rsid w:val="00EB14E4"/>
    <w:rsid w:val="00EB32A5"/>
    <w:rsid w:val="00EB34ED"/>
    <w:rsid w:val="00EB7BE0"/>
    <w:rsid w:val="00EC07F8"/>
    <w:rsid w:val="00EC315E"/>
    <w:rsid w:val="00EC421B"/>
    <w:rsid w:val="00EC6FE3"/>
    <w:rsid w:val="00EC7EE3"/>
    <w:rsid w:val="00ED03CC"/>
    <w:rsid w:val="00ED077C"/>
    <w:rsid w:val="00ED1190"/>
    <w:rsid w:val="00ED29EE"/>
    <w:rsid w:val="00ED4B8D"/>
    <w:rsid w:val="00ED4C59"/>
    <w:rsid w:val="00ED6544"/>
    <w:rsid w:val="00EE0277"/>
    <w:rsid w:val="00EE1322"/>
    <w:rsid w:val="00EE1DA9"/>
    <w:rsid w:val="00EE3D1D"/>
    <w:rsid w:val="00EE3E00"/>
    <w:rsid w:val="00EE5DD2"/>
    <w:rsid w:val="00EE7414"/>
    <w:rsid w:val="00EF3E6A"/>
    <w:rsid w:val="00EF41F1"/>
    <w:rsid w:val="00EF495B"/>
    <w:rsid w:val="00EF4F08"/>
    <w:rsid w:val="00EF4F3C"/>
    <w:rsid w:val="00EF5808"/>
    <w:rsid w:val="00EF7A1B"/>
    <w:rsid w:val="00F004BC"/>
    <w:rsid w:val="00F00A79"/>
    <w:rsid w:val="00F00E86"/>
    <w:rsid w:val="00F00F8B"/>
    <w:rsid w:val="00F028DC"/>
    <w:rsid w:val="00F05DA6"/>
    <w:rsid w:val="00F05DB4"/>
    <w:rsid w:val="00F06E86"/>
    <w:rsid w:val="00F0716B"/>
    <w:rsid w:val="00F076B8"/>
    <w:rsid w:val="00F07C1E"/>
    <w:rsid w:val="00F102BA"/>
    <w:rsid w:val="00F105DB"/>
    <w:rsid w:val="00F111E8"/>
    <w:rsid w:val="00F11272"/>
    <w:rsid w:val="00F132BC"/>
    <w:rsid w:val="00F13D80"/>
    <w:rsid w:val="00F16AAA"/>
    <w:rsid w:val="00F21161"/>
    <w:rsid w:val="00F218EF"/>
    <w:rsid w:val="00F21BC7"/>
    <w:rsid w:val="00F237C2"/>
    <w:rsid w:val="00F266A2"/>
    <w:rsid w:val="00F2763E"/>
    <w:rsid w:val="00F32269"/>
    <w:rsid w:val="00F41556"/>
    <w:rsid w:val="00F4457E"/>
    <w:rsid w:val="00F46044"/>
    <w:rsid w:val="00F46C72"/>
    <w:rsid w:val="00F512CB"/>
    <w:rsid w:val="00F56A6F"/>
    <w:rsid w:val="00F5709C"/>
    <w:rsid w:val="00F61384"/>
    <w:rsid w:val="00F64EF1"/>
    <w:rsid w:val="00F66D4F"/>
    <w:rsid w:val="00F67323"/>
    <w:rsid w:val="00F7687D"/>
    <w:rsid w:val="00F8742A"/>
    <w:rsid w:val="00F8765F"/>
    <w:rsid w:val="00F90767"/>
    <w:rsid w:val="00F908FB"/>
    <w:rsid w:val="00FA12AB"/>
    <w:rsid w:val="00FA2B6C"/>
    <w:rsid w:val="00FA49C0"/>
    <w:rsid w:val="00FA4FB1"/>
    <w:rsid w:val="00FA685B"/>
    <w:rsid w:val="00FB0C01"/>
    <w:rsid w:val="00FC18F2"/>
    <w:rsid w:val="00FC278D"/>
    <w:rsid w:val="00FC39E5"/>
    <w:rsid w:val="00FC3A78"/>
    <w:rsid w:val="00FC47E9"/>
    <w:rsid w:val="00FC4EE1"/>
    <w:rsid w:val="00FC5FFE"/>
    <w:rsid w:val="00FD1005"/>
    <w:rsid w:val="00FD3180"/>
    <w:rsid w:val="00FD491A"/>
    <w:rsid w:val="00FD52BD"/>
    <w:rsid w:val="00FD6C75"/>
    <w:rsid w:val="00FE71B3"/>
    <w:rsid w:val="00FF42C5"/>
    <w:rsid w:val="00FF513C"/>
    <w:rsid w:val="00FF78C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57" w:unhideWhenUsed="1"/>
    <w:lsdException w:name="footer" w:semiHidden="1" w:uiPriority="57"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3B4061"/>
    <w:pPr>
      <w:jc w:val="both"/>
    </w:pPr>
    <w:rPr>
      <w:rFonts w:eastAsiaTheme="minorEastAsia"/>
      <w:sz w:val="24"/>
    </w:rPr>
  </w:style>
  <w:style w:type="paragraph" w:styleId="Heading1">
    <w:name w:val="heading 1"/>
    <w:basedOn w:val="Normal"/>
    <w:next w:val="Normal"/>
    <w:link w:val="Heading1Char"/>
    <w:uiPriority w:val="99"/>
    <w:semiHidden/>
    <w:rsid w:val="003B4061"/>
    <w:pPr>
      <w:spacing w:before="480"/>
      <w:contextualSpacing/>
      <w:outlineLvl w:val="0"/>
    </w:pPr>
    <w:rPr>
      <w:rFonts w:asciiTheme="majorHAnsi" w:eastAsiaTheme="majorEastAsia" w:hAnsiTheme="majorHAnsi" w:cstheme="majorBidi"/>
      <w:b/>
      <w:bCs/>
      <w:color w:val="333333"/>
      <w:sz w:val="28"/>
      <w:szCs w:val="28"/>
    </w:rPr>
  </w:style>
  <w:style w:type="paragraph" w:styleId="Heading2">
    <w:name w:val="heading 2"/>
    <w:basedOn w:val="Normal"/>
    <w:next w:val="Normal"/>
    <w:link w:val="Heading2Char"/>
    <w:uiPriority w:val="99"/>
    <w:semiHidden/>
    <w:rsid w:val="003B4061"/>
    <w:pPr>
      <w:spacing w:before="200"/>
      <w:outlineLvl w:val="1"/>
    </w:pPr>
    <w:rPr>
      <w:rFonts w:asciiTheme="majorHAnsi" w:eastAsiaTheme="majorEastAsia" w:hAnsiTheme="majorHAnsi" w:cstheme="majorBidi"/>
      <w:b/>
      <w:bCs/>
      <w:color w:val="4D4D4D"/>
      <w:sz w:val="26"/>
      <w:szCs w:val="26"/>
    </w:rPr>
  </w:style>
  <w:style w:type="paragraph" w:styleId="Heading3">
    <w:name w:val="heading 3"/>
    <w:basedOn w:val="Normal"/>
    <w:next w:val="Normal"/>
    <w:link w:val="Heading3Char"/>
    <w:uiPriority w:val="99"/>
    <w:semiHidden/>
    <w:rsid w:val="003B4061"/>
    <w:pPr>
      <w:spacing w:before="200" w:line="271" w:lineRule="auto"/>
      <w:outlineLvl w:val="2"/>
    </w:pPr>
    <w:rPr>
      <w:rFonts w:asciiTheme="majorHAnsi" w:eastAsiaTheme="majorEastAsia" w:hAnsiTheme="majorHAnsi" w:cstheme="majorBidi"/>
      <w:b/>
      <w:bCs/>
      <w:color w:val="5F5F5F"/>
    </w:rPr>
  </w:style>
  <w:style w:type="paragraph" w:styleId="Heading4">
    <w:name w:val="heading 4"/>
    <w:basedOn w:val="Normal"/>
    <w:next w:val="Normal"/>
    <w:link w:val="Heading4Char"/>
    <w:uiPriority w:val="99"/>
    <w:semiHidden/>
    <w:rsid w:val="003B4061"/>
    <w:pPr>
      <w:spacing w:before="200"/>
      <w:outlineLvl w:val="3"/>
    </w:pPr>
    <w:rPr>
      <w:rFonts w:asciiTheme="majorHAnsi" w:eastAsiaTheme="majorEastAsia" w:hAnsiTheme="majorHAnsi" w:cstheme="majorBidi"/>
      <w:b/>
      <w:bCs/>
      <w:i/>
      <w:iCs/>
      <w:color w:val="777777"/>
    </w:rPr>
  </w:style>
  <w:style w:type="paragraph" w:styleId="Heading5">
    <w:name w:val="heading 5"/>
    <w:basedOn w:val="Normal"/>
    <w:next w:val="Normal"/>
    <w:link w:val="Heading5Char"/>
    <w:uiPriority w:val="99"/>
    <w:semiHidden/>
    <w:qFormat/>
    <w:rsid w:val="003B4061"/>
    <w:pPr>
      <w:spacing w:before="200"/>
      <w:outlineLvl w:val="4"/>
    </w:pPr>
    <w:rPr>
      <w:rFonts w:asciiTheme="majorHAnsi" w:eastAsiaTheme="majorEastAsia" w:hAnsiTheme="majorHAnsi" w:cstheme="majorBidi"/>
      <w:b/>
      <w:bCs/>
      <w:color w:val="808080"/>
      <w:sz w:val="22"/>
    </w:rPr>
  </w:style>
  <w:style w:type="paragraph" w:styleId="Heading6">
    <w:name w:val="heading 6"/>
    <w:basedOn w:val="Normal"/>
    <w:next w:val="Normal"/>
    <w:link w:val="Heading6Char"/>
    <w:uiPriority w:val="99"/>
    <w:semiHidden/>
    <w:rsid w:val="003B4061"/>
    <w:pPr>
      <w:spacing w:line="271" w:lineRule="auto"/>
      <w:outlineLvl w:val="5"/>
    </w:pPr>
    <w:rPr>
      <w:rFonts w:asciiTheme="majorHAnsi" w:eastAsiaTheme="majorEastAsia" w:hAnsiTheme="majorHAnsi" w:cstheme="majorBidi"/>
      <w:b/>
      <w:bCs/>
      <w:i/>
      <w:iCs/>
      <w:color w:val="7F7F7F" w:themeColor="text1" w:themeTint="80"/>
      <w:lang w:bidi="en-US"/>
    </w:rPr>
  </w:style>
  <w:style w:type="paragraph" w:styleId="Heading7">
    <w:name w:val="heading 7"/>
    <w:basedOn w:val="Normal"/>
    <w:next w:val="Normal"/>
    <w:link w:val="Heading7Char"/>
    <w:uiPriority w:val="99"/>
    <w:semiHidden/>
    <w:qFormat/>
    <w:rsid w:val="003B4061"/>
    <w:pPr>
      <w:outlineLvl w:val="6"/>
    </w:pPr>
    <w:rPr>
      <w:rFonts w:asciiTheme="majorHAnsi" w:eastAsiaTheme="majorEastAsia" w:hAnsiTheme="majorHAnsi" w:cstheme="majorBidi"/>
      <w:i/>
      <w:iCs/>
      <w:sz w:val="22"/>
      <w:lang w:bidi="en-US"/>
    </w:rPr>
  </w:style>
  <w:style w:type="paragraph" w:styleId="Heading8">
    <w:name w:val="heading 8"/>
    <w:basedOn w:val="Normal"/>
    <w:next w:val="Normal"/>
    <w:link w:val="Heading8Char"/>
    <w:uiPriority w:val="99"/>
    <w:semiHidden/>
    <w:qFormat/>
    <w:rsid w:val="003B4061"/>
    <w:pPr>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9"/>
    <w:semiHidden/>
    <w:qFormat/>
    <w:rsid w:val="003B4061"/>
    <w:pPr>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3B4061"/>
    <w:rPr>
      <w:rFonts w:ascii="Tahoma" w:hAnsi="Tahoma" w:cs="Tahoma"/>
      <w:sz w:val="16"/>
      <w:szCs w:val="16"/>
    </w:rPr>
  </w:style>
  <w:style w:type="character" w:customStyle="1" w:styleId="BalloonTextChar">
    <w:name w:val="Balloon Text Char"/>
    <w:basedOn w:val="DefaultParagraphFont"/>
    <w:link w:val="BalloonText"/>
    <w:uiPriority w:val="99"/>
    <w:semiHidden/>
    <w:rsid w:val="003B4061"/>
    <w:rPr>
      <w:rFonts w:ascii="Tahoma" w:eastAsiaTheme="minorEastAsia" w:hAnsi="Tahoma" w:cs="Tahoma"/>
      <w:sz w:val="16"/>
      <w:szCs w:val="16"/>
    </w:rPr>
  </w:style>
  <w:style w:type="character" w:styleId="BookTitle">
    <w:name w:val="Book Title"/>
    <w:uiPriority w:val="99"/>
    <w:semiHidden/>
    <w:qFormat/>
    <w:rsid w:val="003B4061"/>
    <w:rPr>
      <w:i/>
      <w:iCs/>
      <w:smallCaps/>
      <w:spacing w:val="5"/>
    </w:rPr>
  </w:style>
  <w:style w:type="paragraph" w:customStyle="1" w:styleId="ECHRHeader">
    <w:name w:val="ECHR_Header"/>
    <w:aliases w:val="Ju_Header"/>
    <w:basedOn w:val="Header"/>
    <w:uiPriority w:val="4"/>
    <w:qFormat/>
    <w:rsid w:val="003B4061"/>
    <w:pPr>
      <w:tabs>
        <w:tab w:val="clear" w:pos="4536"/>
        <w:tab w:val="clear" w:pos="9072"/>
        <w:tab w:val="center" w:pos="3686"/>
        <w:tab w:val="right" w:pos="7371"/>
      </w:tabs>
      <w:jc w:val="left"/>
    </w:pPr>
    <w:rPr>
      <w:sz w:val="18"/>
    </w:rPr>
  </w:style>
  <w:style w:type="paragraph" w:customStyle="1" w:styleId="ECHRFooter">
    <w:name w:val="ECHR_Footer"/>
    <w:aliases w:val="Footer_ECHR"/>
    <w:basedOn w:val="Footer"/>
    <w:uiPriority w:val="57"/>
    <w:semiHidden/>
    <w:rsid w:val="003B4061"/>
    <w:pPr>
      <w:jc w:val="left"/>
    </w:pPr>
    <w:rPr>
      <w:sz w:val="8"/>
    </w:rPr>
  </w:style>
  <w:style w:type="character" w:styleId="Strong">
    <w:name w:val="Strong"/>
    <w:uiPriority w:val="99"/>
    <w:semiHidden/>
    <w:qFormat/>
    <w:rsid w:val="003B4061"/>
    <w:rPr>
      <w:b/>
      <w:bCs/>
    </w:rPr>
  </w:style>
  <w:style w:type="paragraph" w:styleId="NoSpacing">
    <w:name w:val="No Spacing"/>
    <w:basedOn w:val="Normal"/>
    <w:link w:val="NoSpacingChar"/>
    <w:semiHidden/>
    <w:qFormat/>
    <w:rsid w:val="003B4061"/>
    <w:rPr>
      <w:sz w:val="22"/>
    </w:rPr>
  </w:style>
  <w:style w:type="character" w:customStyle="1" w:styleId="NoSpacingChar">
    <w:name w:val="No Spacing Char"/>
    <w:basedOn w:val="DefaultParagraphFont"/>
    <w:link w:val="NoSpacing"/>
    <w:semiHidden/>
    <w:rsid w:val="003B4061"/>
    <w:rPr>
      <w:rFonts w:eastAsiaTheme="minorEastAsia"/>
    </w:rPr>
  </w:style>
  <w:style w:type="paragraph" w:customStyle="1" w:styleId="ECHRFooterLine">
    <w:name w:val="ECHR_Footer_Line"/>
    <w:aliases w:val="Footer_Line"/>
    <w:basedOn w:val="Normal"/>
    <w:next w:val="ECHRFooter"/>
    <w:uiPriority w:val="57"/>
    <w:semiHidden/>
    <w:rsid w:val="003B4061"/>
    <w:pPr>
      <w:pBdr>
        <w:top w:val="single" w:sz="6" w:space="1" w:color="5F5F5F"/>
      </w:pBdr>
      <w:tabs>
        <w:tab w:val="center" w:pos="4536"/>
        <w:tab w:val="right" w:pos="9696"/>
      </w:tabs>
      <w:ind w:left="-680" w:right="-680"/>
      <w:jc w:val="left"/>
    </w:pPr>
    <w:rPr>
      <w:color w:val="5F5F5F"/>
    </w:rPr>
  </w:style>
  <w:style w:type="paragraph" w:customStyle="1" w:styleId="DecHTitle">
    <w:name w:val="Dec_H_Title"/>
    <w:basedOn w:val="ECHRTitleCentre1"/>
    <w:uiPriority w:val="7"/>
    <w:semiHidden/>
    <w:qFormat/>
    <w:rsid w:val="003B4061"/>
  </w:style>
  <w:style w:type="paragraph" w:customStyle="1" w:styleId="DecList">
    <w:name w:val="Dec_List"/>
    <w:basedOn w:val="Normal"/>
    <w:uiPriority w:val="9"/>
    <w:semiHidden/>
    <w:qFormat/>
    <w:rsid w:val="003B4061"/>
    <w:pPr>
      <w:spacing w:before="240"/>
      <w:ind w:left="284"/>
    </w:pPr>
  </w:style>
  <w:style w:type="paragraph" w:customStyle="1" w:styleId="DummyStyle">
    <w:name w:val="Dummy_Style"/>
    <w:basedOn w:val="Normal"/>
    <w:semiHidden/>
    <w:qFormat/>
    <w:rsid w:val="003B4061"/>
    <w:rPr>
      <w:color w:val="00B050"/>
    </w:rPr>
  </w:style>
  <w:style w:type="paragraph" w:customStyle="1" w:styleId="ECHRTitleCentre3">
    <w:name w:val="ECHR_Title_Centre_3"/>
    <w:aliases w:val="Ju_H_Article"/>
    <w:basedOn w:val="Normal"/>
    <w:next w:val="ECHRParaQuote"/>
    <w:uiPriority w:val="27"/>
    <w:qFormat/>
    <w:rsid w:val="003B4061"/>
    <w:pPr>
      <w:keepNext/>
      <w:keepLines/>
      <w:spacing w:before="240" w:after="120"/>
      <w:jc w:val="center"/>
      <w:outlineLvl w:val="3"/>
    </w:pPr>
    <w:rPr>
      <w:rFonts w:asciiTheme="majorHAnsi" w:hAnsiTheme="majorHAnsi"/>
      <w:b/>
      <w:sz w:val="20"/>
      <w:lang w:bidi="en-US"/>
    </w:rPr>
  </w:style>
  <w:style w:type="paragraph" w:customStyle="1" w:styleId="ECHRTitleCentre1">
    <w:name w:val="ECHR_Title_Centre_1"/>
    <w:aliases w:val="Opi_H_Head"/>
    <w:basedOn w:val="Normal"/>
    <w:next w:val="OpiPara"/>
    <w:uiPriority w:val="39"/>
    <w:qFormat/>
    <w:rsid w:val="003B4061"/>
    <w:pPr>
      <w:keepNext/>
      <w:keepLines/>
      <w:spacing w:after="240"/>
      <w:jc w:val="center"/>
      <w:outlineLvl w:val="0"/>
    </w:pPr>
    <w:rPr>
      <w:rFonts w:asciiTheme="majorHAnsi" w:hAnsiTheme="majorHAnsi"/>
      <w:sz w:val="28"/>
    </w:rPr>
  </w:style>
  <w:style w:type="paragraph" w:customStyle="1" w:styleId="JuAppQuestion">
    <w:name w:val="Ju_App_Question"/>
    <w:basedOn w:val="Normal"/>
    <w:uiPriority w:val="5"/>
    <w:semiHidden/>
    <w:qFormat/>
    <w:rsid w:val="003B4061"/>
    <w:pPr>
      <w:numPr>
        <w:numId w:val="16"/>
      </w:numPr>
      <w:jc w:val="left"/>
    </w:pPr>
    <w:rPr>
      <w:b/>
    </w:rPr>
  </w:style>
  <w:style w:type="paragraph" w:customStyle="1" w:styleId="JuCourt">
    <w:name w:val="Ju_Court"/>
    <w:basedOn w:val="Normal"/>
    <w:next w:val="Normal"/>
    <w:uiPriority w:val="16"/>
    <w:qFormat/>
    <w:rsid w:val="003B4061"/>
    <w:pPr>
      <w:tabs>
        <w:tab w:val="left" w:pos="907"/>
        <w:tab w:val="left" w:pos="1701"/>
        <w:tab w:val="right" w:pos="7371"/>
      </w:tabs>
      <w:spacing w:before="240"/>
      <w:ind w:left="397" w:hanging="397"/>
      <w:jc w:val="left"/>
    </w:pPr>
    <w:rPr>
      <w:lang w:bidi="en-US"/>
    </w:rPr>
  </w:style>
  <w:style w:type="paragraph" w:customStyle="1" w:styleId="JuHeaderLandscape">
    <w:name w:val="Ju_Header_Landscape"/>
    <w:basedOn w:val="ECHRHeader"/>
    <w:uiPriority w:val="4"/>
    <w:qFormat/>
    <w:rsid w:val="003B4061"/>
    <w:pPr>
      <w:tabs>
        <w:tab w:val="clear" w:pos="3686"/>
        <w:tab w:val="clear" w:pos="7371"/>
        <w:tab w:val="center" w:pos="6146"/>
        <w:tab w:val="right" w:pos="12293"/>
      </w:tabs>
    </w:pPr>
  </w:style>
  <w:style w:type="paragraph" w:customStyle="1" w:styleId="ECHRTitleCentre2">
    <w:name w:val="ECHR_Title_Centre_2"/>
    <w:aliases w:val="Dec_H_Case"/>
    <w:basedOn w:val="Normal"/>
    <w:next w:val="ECHRPara"/>
    <w:uiPriority w:val="8"/>
    <w:qFormat/>
    <w:rsid w:val="003B4061"/>
    <w:pPr>
      <w:spacing w:after="240"/>
      <w:jc w:val="center"/>
      <w:outlineLvl w:val="0"/>
    </w:pPr>
    <w:rPr>
      <w:rFonts w:asciiTheme="majorHAnsi" w:hAnsiTheme="majorHAnsi"/>
    </w:rPr>
  </w:style>
  <w:style w:type="paragraph" w:customStyle="1" w:styleId="JuInitialled">
    <w:name w:val="Ju_Initialled"/>
    <w:basedOn w:val="Normal"/>
    <w:uiPriority w:val="31"/>
    <w:qFormat/>
    <w:rsid w:val="003B4061"/>
    <w:pPr>
      <w:tabs>
        <w:tab w:val="center" w:pos="6407"/>
      </w:tabs>
      <w:spacing w:before="720"/>
      <w:jc w:val="right"/>
    </w:pPr>
  </w:style>
  <w:style w:type="paragraph" w:styleId="Title">
    <w:name w:val="Title"/>
    <w:basedOn w:val="Normal"/>
    <w:next w:val="Normal"/>
    <w:link w:val="TitleChar"/>
    <w:uiPriority w:val="99"/>
    <w:semiHidden/>
    <w:qFormat/>
    <w:rsid w:val="003B4061"/>
    <w:pPr>
      <w:pBdr>
        <w:bottom w:val="single" w:sz="4" w:space="1" w:color="auto"/>
      </w:pBdr>
      <w:contextualSpacing/>
    </w:pPr>
    <w:rPr>
      <w:rFonts w:asciiTheme="majorHAnsi" w:eastAsiaTheme="majorEastAsia" w:hAnsiTheme="majorHAnsi" w:cstheme="majorBidi"/>
      <w:spacing w:val="5"/>
      <w:sz w:val="52"/>
      <w:szCs w:val="52"/>
      <w:lang w:bidi="en-US"/>
    </w:rPr>
  </w:style>
  <w:style w:type="character" w:customStyle="1" w:styleId="TitleChar">
    <w:name w:val="Title Char"/>
    <w:basedOn w:val="DefaultParagraphFont"/>
    <w:link w:val="Title"/>
    <w:uiPriority w:val="99"/>
    <w:semiHidden/>
    <w:rsid w:val="003B4061"/>
    <w:rPr>
      <w:rFonts w:asciiTheme="majorHAnsi" w:eastAsiaTheme="majorEastAsia" w:hAnsiTheme="majorHAnsi" w:cstheme="majorBidi"/>
      <w:spacing w:val="5"/>
      <w:sz w:val="52"/>
      <w:szCs w:val="52"/>
      <w:lang w:bidi="en-US"/>
    </w:rPr>
  </w:style>
  <w:style w:type="paragraph" w:customStyle="1" w:styleId="ECHRHeading3">
    <w:name w:val="ECHR_Heading_3"/>
    <w:aliases w:val="Ju_H_1."/>
    <w:basedOn w:val="Heading3"/>
    <w:next w:val="ECHRPara"/>
    <w:uiPriority w:val="21"/>
    <w:qFormat/>
    <w:rsid w:val="003B4061"/>
    <w:pPr>
      <w:keepNext/>
      <w:keepLines/>
      <w:tabs>
        <w:tab w:val="left" w:pos="731"/>
      </w:tabs>
      <w:spacing w:before="240" w:after="120" w:line="240" w:lineRule="auto"/>
      <w:ind w:left="732" w:hanging="301"/>
    </w:pPr>
    <w:rPr>
      <w:b w:val="0"/>
      <w:i/>
      <w:color w:val="auto"/>
    </w:rPr>
  </w:style>
  <w:style w:type="paragraph" w:customStyle="1" w:styleId="ECHRHeading4">
    <w:name w:val="ECHR_Heading_4"/>
    <w:aliases w:val="Ju_H_a"/>
    <w:basedOn w:val="Heading4"/>
    <w:next w:val="ECHRPara"/>
    <w:uiPriority w:val="22"/>
    <w:qFormat/>
    <w:rsid w:val="003B4061"/>
    <w:pPr>
      <w:keepNext/>
      <w:keepLines/>
      <w:tabs>
        <w:tab w:val="left" w:pos="975"/>
      </w:tabs>
      <w:spacing w:before="240" w:after="120"/>
      <w:ind w:left="975" w:hanging="340"/>
    </w:pPr>
    <w:rPr>
      <w:i w:val="0"/>
      <w:color w:val="auto"/>
      <w:sz w:val="20"/>
    </w:rPr>
  </w:style>
  <w:style w:type="paragraph" w:customStyle="1" w:styleId="ECHRHeading5">
    <w:name w:val="ECHR_Heading_5"/>
    <w:aliases w:val="Ju_H_i"/>
    <w:basedOn w:val="Heading5"/>
    <w:next w:val="ECHRPara"/>
    <w:uiPriority w:val="23"/>
    <w:qFormat/>
    <w:rsid w:val="003B4061"/>
    <w:pPr>
      <w:keepNext/>
      <w:keepLines/>
      <w:tabs>
        <w:tab w:val="left" w:pos="1191"/>
      </w:tabs>
      <w:spacing w:before="240" w:after="120"/>
      <w:ind w:left="1190" w:hanging="357"/>
    </w:pPr>
    <w:rPr>
      <w:b w:val="0"/>
      <w:i/>
      <w:color w:val="auto"/>
      <w:sz w:val="20"/>
    </w:rPr>
  </w:style>
  <w:style w:type="paragraph" w:customStyle="1" w:styleId="ECHRHeading6">
    <w:name w:val="ECHR_Heading_6"/>
    <w:aliases w:val="Ju_H_alpha"/>
    <w:basedOn w:val="Heading6"/>
    <w:next w:val="ECHRPara"/>
    <w:uiPriority w:val="24"/>
    <w:qFormat/>
    <w:rsid w:val="003B4061"/>
    <w:pPr>
      <w:keepNext/>
      <w:keepLines/>
      <w:tabs>
        <w:tab w:val="left" w:pos="1372"/>
      </w:tabs>
      <w:spacing w:before="240" w:after="120" w:line="240" w:lineRule="auto"/>
      <w:ind w:left="1373" w:hanging="335"/>
    </w:pPr>
    <w:rPr>
      <w:b w:val="0"/>
      <w:color w:val="auto"/>
      <w:sz w:val="20"/>
    </w:rPr>
  </w:style>
  <w:style w:type="paragraph" w:customStyle="1" w:styleId="ECHRHeading7">
    <w:name w:val="ECHR_Heading_7"/>
    <w:aliases w:val="Ju_H_–"/>
    <w:basedOn w:val="Heading7"/>
    <w:next w:val="ECHRPara"/>
    <w:uiPriority w:val="25"/>
    <w:qFormat/>
    <w:rsid w:val="003B4061"/>
    <w:pPr>
      <w:keepNext/>
      <w:keepLines/>
      <w:spacing w:before="240" w:after="120"/>
      <w:ind w:left="1236"/>
    </w:pPr>
    <w:rPr>
      <w:sz w:val="20"/>
    </w:rPr>
  </w:style>
  <w:style w:type="paragraph" w:customStyle="1" w:styleId="JuQuotSub">
    <w:name w:val="Ju_Quot_Sub"/>
    <w:basedOn w:val="ECHRParaQuote"/>
    <w:uiPriority w:val="15"/>
    <w:qFormat/>
    <w:rsid w:val="003B4061"/>
    <w:pPr>
      <w:ind w:left="567"/>
    </w:pPr>
  </w:style>
  <w:style w:type="character" w:customStyle="1" w:styleId="JuITMark">
    <w:name w:val="Ju_ITMark"/>
    <w:basedOn w:val="DefaultParagraphFont"/>
    <w:uiPriority w:val="38"/>
    <w:qFormat/>
    <w:rsid w:val="003B4061"/>
    <w:rPr>
      <w:vanish w:val="0"/>
      <w:color w:val="auto"/>
      <w:sz w:val="14"/>
      <w:bdr w:val="none" w:sz="0" w:space="0" w:color="auto"/>
      <w:shd w:val="clear" w:color="auto" w:fill="BEE5FF" w:themeFill="background1" w:themeFillTint="33"/>
    </w:rPr>
  </w:style>
  <w:style w:type="paragraph" w:customStyle="1" w:styleId="JuListi">
    <w:name w:val="Ju_List_i"/>
    <w:basedOn w:val="Normal"/>
    <w:next w:val="JuLista"/>
    <w:uiPriority w:val="28"/>
    <w:qFormat/>
    <w:rsid w:val="003B4061"/>
    <w:pPr>
      <w:ind w:left="794"/>
    </w:pPr>
  </w:style>
  <w:style w:type="paragraph" w:styleId="Header">
    <w:name w:val="header"/>
    <w:basedOn w:val="Normal"/>
    <w:link w:val="HeaderChar"/>
    <w:uiPriority w:val="57"/>
    <w:semiHidden/>
    <w:rsid w:val="003B4061"/>
    <w:pPr>
      <w:tabs>
        <w:tab w:val="center" w:pos="4536"/>
        <w:tab w:val="right" w:pos="9072"/>
      </w:tabs>
    </w:pPr>
    <w:rPr>
      <w:rFonts w:eastAsiaTheme="minorHAnsi"/>
    </w:rPr>
  </w:style>
  <w:style w:type="character" w:customStyle="1" w:styleId="HeaderChar">
    <w:name w:val="Header Char"/>
    <w:basedOn w:val="DefaultParagraphFont"/>
    <w:link w:val="Header"/>
    <w:uiPriority w:val="57"/>
    <w:semiHidden/>
    <w:rsid w:val="003B4061"/>
    <w:rPr>
      <w:sz w:val="24"/>
    </w:rPr>
  </w:style>
  <w:style w:type="character" w:customStyle="1" w:styleId="Heading1Char">
    <w:name w:val="Heading 1 Char"/>
    <w:basedOn w:val="DefaultParagraphFont"/>
    <w:link w:val="Heading1"/>
    <w:uiPriority w:val="99"/>
    <w:semiHidden/>
    <w:rsid w:val="003B4061"/>
    <w:rPr>
      <w:rFonts w:asciiTheme="majorHAnsi" w:eastAsiaTheme="majorEastAsia" w:hAnsiTheme="majorHAnsi" w:cstheme="majorBidi"/>
      <w:b/>
      <w:bCs/>
      <w:color w:val="333333"/>
      <w:sz w:val="28"/>
      <w:szCs w:val="28"/>
    </w:rPr>
  </w:style>
  <w:style w:type="paragraph" w:customStyle="1" w:styleId="ECHRHeading1">
    <w:name w:val="ECHR_Heading_1"/>
    <w:aliases w:val="Ju_H_I_Roman"/>
    <w:basedOn w:val="Heading1"/>
    <w:next w:val="ECHRPara"/>
    <w:uiPriority w:val="19"/>
    <w:qFormat/>
    <w:rsid w:val="003B4061"/>
    <w:pPr>
      <w:keepNext/>
      <w:keepLines/>
      <w:tabs>
        <w:tab w:val="left" w:pos="357"/>
      </w:tabs>
      <w:spacing w:before="360" w:after="240"/>
      <w:ind w:left="357" w:hanging="357"/>
      <w:contextualSpacing w:val="0"/>
    </w:pPr>
    <w:rPr>
      <w:b w:val="0"/>
      <w:color w:val="auto"/>
      <w:sz w:val="24"/>
    </w:rPr>
  </w:style>
  <w:style w:type="paragraph" w:customStyle="1" w:styleId="ECHRHeading2">
    <w:name w:val="ECHR_Heading_2"/>
    <w:aliases w:val="Ju_H_A"/>
    <w:basedOn w:val="Heading2"/>
    <w:next w:val="ECHRPara"/>
    <w:uiPriority w:val="20"/>
    <w:qFormat/>
    <w:rsid w:val="003B4061"/>
    <w:pPr>
      <w:keepNext/>
      <w:keepLines/>
      <w:tabs>
        <w:tab w:val="left" w:pos="584"/>
      </w:tabs>
      <w:spacing w:before="360" w:after="240"/>
      <w:ind w:left="584" w:hanging="352"/>
    </w:pPr>
    <w:rPr>
      <w:color w:val="auto"/>
      <w:sz w:val="24"/>
    </w:rPr>
  </w:style>
  <w:style w:type="character" w:customStyle="1" w:styleId="Heading2Char">
    <w:name w:val="Heading 2 Char"/>
    <w:basedOn w:val="DefaultParagraphFont"/>
    <w:link w:val="Heading2"/>
    <w:uiPriority w:val="99"/>
    <w:semiHidden/>
    <w:rsid w:val="003B4061"/>
    <w:rPr>
      <w:rFonts w:asciiTheme="majorHAnsi" w:eastAsiaTheme="majorEastAsia" w:hAnsiTheme="majorHAnsi" w:cstheme="majorBidi"/>
      <w:b/>
      <w:bCs/>
      <w:color w:val="4D4D4D"/>
      <w:sz w:val="26"/>
      <w:szCs w:val="26"/>
    </w:rPr>
  </w:style>
  <w:style w:type="character" w:customStyle="1" w:styleId="JUNAMES">
    <w:name w:val="JU_NAMES"/>
    <w:uiPriority w:val="17"/>
    <w:qFormat/>
    <w:rsid w:val="003B4061"/>
    <w:rPr>
      <w:caps w:val="0"/>
      <w:smallCaps/>
    </w:rPr>
  </w:style>
  <w:style w:type="paragraph" w:customStyle="1" w:styleId="JuCase">
    <w:name w:val="Ju_Case"/>
    <w:basedOn w:val="Normal"/>
    <w:next w:val="ECHRPara"/>
    <w:uiPriority w:val="10"/>
    <w:rsid w:val="003B4061"/>
    <w:pPr>
      <w:ind w:firstLine="284"/>
    </w:pPr>
    <w:rPr>
      <w:b/>
    </w:rPr>
  </w:style>
  <w:style w:type="character" w:customStyle="1" w:styleId="Heading3Char">
    <w:name w:val="Heading 3 Char"/>
    <w:basedOn w:val="DefaultParagraphFont"/>
    <w:link w:val="Heading3"/>
    <w:uiPriority w:val="99"/>
    <w:semiHidden/>
    <w:rsid w:val="003B4061"/>
    <w:rPr>
      <w:rFonts w:asciiTheme="majorHAnsi" w:eastAsiaTheme="majorEastAsia" w:hAnsiTheme="majorHAnsi" w:cstheme="majorBidi"/>
      <w:b/>
      <w:bCs/>
      <w:color w:val="5F5F5F"/>
      <w:sz w:val="24"/>
    </w:rPr>
  </w:style>
  <w:style w:type="character" w:customStyle="1" w:styleId="Heading4Char">
    <w:name w:val="Heading 4 Char"/>
    <w:basedOn w:val="DefaultParagraphFont"/>
    <w:link w:val="Heading4"/>
    <w:uiPriority w:val="99"/>
    <w:semiHidden/>
    <w:rsid w:val="003B4061"/>
    <w:rPr>
      <w:rFonts w:asciiTheme="majorHAnsi" w:eastAsiaTheme="majorEastAsia" w:hAnsiTheme="majorHAnsi" w:cstheme="majorBidi"/>
      <w:b/>
      <w:bCs/>
      <w:i/>
      <w:iCs/>
      <w:color w:val="777777"/>
      <w:sz w:val="24"/>
    </w:rPr>
  </w:style>
  <w:style w:type="character" w:customStyle="1" w:styleId="Heading5Char">
    <w:name w:val="Heading 5 Char"/>
    <w:basedOn w:val="DefaultParagraphFont"/>
    <w:link w:val="Heading5"/>
    <w:uiPriority w:val="99"/>
    <w:semiHidden/>
    <w:rsid w:val="003B4061"/>
    <w:rPr>
      <w:rFonts w:asciiTheme="majorHAnsi" w:eastAsiaTheme="majorEastAsia" w:hAnsiTheme="majorHAnsi" w:cstheme="majorBidi"/>
      <w:b/>
      <w:bCs/>
      <w:color w:val="808080"/>
    </w:rPr>
  </w:style>
  <w:style w:type="character" w:styleId="SubtleEmphasis">
    <w:name w:val="Subtle Emphasis"/>
    <w:uiPriority w:val="99"/>
    <w:semiHidden/>
    <w:qFormat/>
    <w:rsid w:val="003B4061"/>
    <w:rPr>
      <w:i/>
      <w:iCs/>
    </w:rPr>
  </w:style>
  <w:style w:type="table" w:customStyle="1" w:styleId="ECHRTable">
    <w:name w:val="ECHR_Table"/>
    <w:basedOn w:val="TableNormal"/>
    <w:rsid w:val="00860B03"/>
    <w:rPr>
      <w:rFonts w:eastAsia="Times New Roman" w:cs="Times New Roman"/>
      <w:sz w:val="20"/>
      <w:szCs w:val="20"/>
      <w:lang w:val="en-GB"/>
    </w:rPr>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tblStylePr w:type="firstCol">
      <w:rPr>
        <w:b/>
      </w:rPr>
    </w:tblStylePr>
    <w:tblStylePr w:type="band2Vert">
      <w:tblPr/>
      <w:tcPr>
        <w:tcBorders>
          <w:top w:val="nil"/>
          <w:left w:val="nil"/>
          <w:bottom w:val="nil"/>
          <w:right w:val="nil"/>
          <w:insideH w:val="nil"/>
          <w:insideV w:val="nil"/>
          <w:tl2br w:val="nil"/>
          <w:tr2bl w:val="nil"/>
        </w:tcBorders>
        <w:shd w:val="clear" w:color="auto" w:fill="DFDFDF" w:themeFill="background2" w:themeFillShade="E6"/>
      </w:tcPr>
    </w:tblStylePr>
    <w:tblStylePr w:type="band2Horz">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style>
  <w:style w:type="table" w:customStyle="1" w:styleId="ECHRTableBoxHeader">
    <w:name w:val="ECHR_Table_Box_Header"/>
    <w:basedOn w:val="TableNormal"/>
    <w:rsid w:val="004C086C"/>
    <w:rPr>
      <w:rFonts w:ascii="Verdana" w:eastAsia="Times New Roman" w:hAnsi="Verdana" w:cs="Times New Roman"/>
      <w:sz w:val="20"/>
      <w:szCs w:val="20"/>
      <w:lang w:val="en-GB"/>
    </w:rPr>
    <w:tblPr>
      <w:tblCellMar>
        <w:top w:w="57" w:type="dxa"/>
        <w:left w:w="57" w:type="dxa"/>
        <w:bottom w:w="57" w:type="dxa"/>
        <w:right w:w="57" w:type="dxa"/>
      </w:tblCellMar>
    </w:tblPr>
    <w:tcPr>
      <w:shd w:val="clear" w:color="auto" w:fill="F8F8F8" w:themeFill="background2"/>
    </w:tcPr>
    <w:tblStylePr w:type="firstCol">
      <w:rPr>
        <w:b/>
        <w:color w:val="5F5F5F" w:themeColor="accent3"/>
      </w:rPr>
    </w:tblStylePr>
  </w:style>
  <w:style w:type="paragraph" w:customStyle="1" w:styleId="ECHRTitle1">
    <w:name w:val="ECHR_Title_1"/>
    <w:aliases w:val="Ju_H_Head"/>
    <w:basedOn w:val="Normal"/>
    <w:next w:val="ECHRPara"/>
    <w:uiPriority w:val="18"/>
    <w:qFormat/>
    <w:rsid w:val="003B4061"/>
    <w:pPr>
      <w:keepNext/>
      <w:keepLines/>
      <w:spacing w:before="720" w:after="240"/>
      <w:outlineLvl w:val="0"/>
    </w:pPr>
    <w:rPr>
      <w:rFonts w:asciiTheme="majorHAnsi" w:hAnsiTheme="majorHAnsi"/>
      <w:sz w:val="28"/>
    </w:rPr>
  </w:style>
  <w:style w:type="character" w:styleId="Emphasis">
    <w:name w:val="Emphasis"/>
    <w:uiPriority w:val="99"/>
    <w:semiHidden/>
    <w:qFormat/>
    <w:rsid w:val="003B4061"/>
    <w:rPr>
      <w:b/>
      <w:bCs/>
      <w:i/>
      <w:iCs/>
      <w:spacing w:val="10"/>
      <w:bdr w:val="none" w:sz="0" w:space="0" w:color="auto"/>
      <w:shd w:val="clear" w:color="auto" w:fill="auto"/>
    </w:rPr>
  </w:style>
  <w:style w:type="paragraph" w:styleId="Footer">
    <w:name w:val="footer"/>
    <w:basedOn w:val="Normal"/>
    <w:link w:val="FooterChar"/>
    <w:uiPriority w:val="57"/>
    <w:semiHidden/>
    <w:rsid w:val="003B4061"/>
    <w:pPr>
      <w:tabs>
        <w:tab w:val="center" w:pos="4536"/>
        <w:tab w:val="right" w:pos="9696"/>
      </w:tabs>
      <w:ind w:left="-680" w:right="-680"/>
    </w:pPr>
    <w:rPr>
      <w:rFonts w:eastAsiaTheme="minorHAnsi"/>
    </w:rPr>
  </w:style>
  <w:style w:type="character" w:customStyle="1" w:styleId="FooterChar">
    <w:name w:val="Footer Char"/>
    <w:basedOn w:val="DefaultParagraphFont"/>
    <w:link w:val="Footer"/>
    <w:uiPriority w:val="57"/>
    <w:semiHidden/>
    <w:rsid w:val="003B4061"/>
    <w:rPr>
      <w:sz w:val="24"/>
    </w:rPr>
  </w:style>
  <w:style w:type="character" w:styleId="FootnoteReference">
    <w:name w:val="footnote reference"/>
    <w:basedOn w:val="DefaultParagraphFont"/>
    <w:uiPriority w:val="99"/>
    <w:semiHidden/>
    <w:rsid w:val="003B4061"/>
    <w:rPr>
      <w:vertAlign w:val="superscript"/>
    </w:rPr>
  </w:style>
  <w:style w:type="paragraph" w:styleId="FootnoteText">
    <w:name w:val="footnote text"/>
    <w:basedOn w:val="Normal"/>
    <w:link w:val="FootnoteTextChar"/>
    <w:uiPriority w:val="99"/>
    <w:semiHidden/>
    <w:rsid w:val="003B4061"/>
    <w:rPr>
      <w:sz w:val="20"/>
      <w:szCs w:val="20"/>
    </w:rPr>
  </w:style>
  <w:style w:type="character" w:customStyle="1" w:styleId="FootnoteTextChar">
    <w:name w:val="Footnote Text Char"/>
    <w:basedOn w:val="DefaultParagraphFont"/>
    <w:link w:val="FootnoteText"/>
    <w:uiPriority w:val="99"/>
    <w:semiHidden/>
    <w:rsid w:val="003B4061"/>
    <w:rPr>
      <w:rFonts w:eastAsiaTheme="minorEastAsia"/>
      <w:sz w:val="20"/>
      <w:szCs w:val="20"/>
    </w:rPr>
  </w:style>
  <w:style w:type="character" w:customStyle="1" w:styleId="Heading6Char">
    <w:name w:val="Heading 6 Char"/>
    <w:basedOn w:val="DefaultParagraphFont"/>
    <w:link w:val="Heading6"/>
    <w:uiPriority w:val="99"/>
    <w:semiHidden/>
    <w:rsid w:val="003B4061"/>
    <w:rPr>
      <w:rFonts w:asciiTheme="majorHAnsi" w:eastAsiaTheme="majorEastAsia" w:hAnsiTheme="majorHAnsi" w:cstheme="majorBidi"/>
      <w:b/>
      <w:bCs/>
      <w:i/>
      <w:iCs/>
      <w:color w:val="7F7F7F" w:themeColor="text1" w:themeTint="80"/>
      <w:sz w:val="24"/>
      <w:lang w:bidi="en-US"/>
    </w:rPr>
  </w:style>
  <w:style w:type="character" w:customStyle="1" w:styleId="Heading7Char">
    <w:name w:val="Heading 7 Char"/>
    <w:basedOn w:val="DefaultParagraphFont"/>
    <w:link w:val="Heading7"/>
    <w:uiPriority w:val="99"/>
    <w:semiHidden/>
    <w:rsid w:val="003B4061"/>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9"/>
    <w:semiHidden/>
    <w:rsid w:val="003B4061"/>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9"/>
    <w:semiHidden/>
    <w:rsid w:val="003B4061"/>
    <w:rPr>
      <w:rFonts w:asciiTheme="majorHAnsi" w:eastAsiaTheme="majorEastAsia" w:hAnsiTheme="majorHAnsi" w:cstheme="majorBidi"/>
      <w:i/>
      <w:iCs/>
      <w:spacing w:val="5"/>
      <w:sz w:val="20"/>
      <w:szCs w:val="20"/>
      <w:lang w:bidi="en-US"/>
    </w:rPr>
  </w:style>
  <w:style w:type="character" w:styleId="Hyperlink">
    <w:name w:val="Hyperlink"/>
    <w:basedOn w:val="DefaultParagraphFont"/>
    <w:uiPriority w:val="99"/>
    <w:semiHidden/>
    <w:rsid w:val="003B4061"/>
    <w:rPr>
      <w:color w:val="0072BC" w:themeColor="hyperlink"/>
      <w:u w:val="single"/>
    </w:rPr>
  </w:style>
  <w:style w:type="character" w:styleId="IntenseEmphasis">
    <w:name w:val="Intense Emphasis"/>
    <w:uiPriority w:val="99"/>
    <w:semiHidden/>
    <w:qFormat/>
    <w:rsid w:val="003B4061"/>
    <w:rPr>
      <w:b/>
      <w:bCs/>
    </w:rPr>
  </w:style>
  <w:style w:type="paragraph" w:styleId="IntenseQuote">
    <w:name w:val="Intense Quote"/>
    <w:basedOn w:val="Normal"/>
    <w:next w:val="Normal"/>
    <w:link w:val="IntenseQuoteChar"/>
    <w:uiPriority w:val="99"/>
    <w:semiHidden/>
    <w:qFormat/>
    <w:rsid w:val="003B4061"/>
    <w:pPr>
      <w:pBdr>
        <w:bottom w:val="single" w:sz="4" w:space="1" w:color="auto"/>
      </w:pBdr>
      <w:spacing w:before="200" w:after="280"/>
      <w:ind w:left="1008" w:right="1152"/>
    </w:pPr>
    <w:rPr>
      <w:b/>
      <w:bCs/>
      <w:i/>
      <w:iCs/>
      <w:sz w:val="22"/>
      <w:lang w:bidi="en-US"/>
    </w:rPr>
  </w:style>
  <w:style w:type="character" w:customStyle="1" w:styleId="IntenseQuoteChar">
    <w:name w:val="Intense Quote Char"/>
    <w:basedOn w:val="DefaultParagraphFont"/>
    <w:link w:val="IntenseQuote"/>
    <w:uiPriority w:val="99"/>
    <w:semiHidden/>
    <w:rsid w:val="003B4061"/>
    <w:rPr>
      <w:rFonts w:eastAsiaTheme="minorEastAsia"/>
      <w:b/>
      <w:bCs/>
      <w:i/>
      <w:iCs/>
      <w:lang w:bidi="en-US"/>
    </w:rPr>
  </w:style>
  <w:style w:type="character" w:styleId="IntenseReference">
    <w:name w:val="Intense Reference"/>
    <w:uiPriority w:val="99"/>
    <w:semiHidden/>
    <w:qFormat/>
    <w:rsid w:val="003B4061"/>
    <w:rPr>
      <w:smallCaps/>
      <w:spacing w:val="5"/>
      <w:u w:val="single"/>
    </w:rPr>
  </w:style>
  <w:style w:type="paragraph" w:styleId="ListParagraph">
    <w:name w:val="List Paragraph"/>
    <w:basedOn w:val="Normal"/>
    <w:uiPriority w:val="99"/>
    <w:semiHidden/>
    <w:qFormat/>
    <w:rsid w:val="003B4061"/>
    <w:pPr>
      <w:ind w:left="720"/>
      <w:contextualSpacing/>
    </w:pPr>
  </w:style>
  <w:style w:type="table" w:customStyle="1" w:styleId="LtrTableAddress">
    <w:name w:val="Ltr_Table_Address"/>
    <w:basedOn w:val="TableNormal"/>
    <w:uiPriority w:val="99"/>
    <w:rsid w:val="001E6F32"/>
    <w:tblPr>
      <w:tblInd w:w="5103" w:type="dxa"/>
    </w:tblPr>
  </w:style>
  <w:style w:type="paragraph" w:styleId="Quote">
    <w:name w:val="Quote"/>
    <w:basedOn w:val="Normal"/>
    <w:next w:val="Normal"/>
    <w:link w:val="QuoteChar"/>
    <w:uiPriority w:val="99"/>
    <w:semiHidden/>
    <w:qFormat/>
    <w:rsid w:val="003B4061"/>
    <w:pPr>
      <w:spacing w:before="200"/>
      <w:ind w:left="360" w:right="360"/>
    </w:pPr>
    <w:rPr>
      <w:i/>
      <w:iCs/>
      <w:sz w:val="22"/>
      <w:lang w:bidi="en-US"/>
    </w:rPr>
  </w:style>
  <w:style w:type="character" w:customStyle="1" w:styleId="QuoteChar">
    <w:name w:val="Quote Char"/>
    <w:basedOn w:val="DefaultParagraphFont"/>
    <w:link w:val="Quote"/>
    <w:uiPriority w:val="99"/>
    <w:semiHidden/>
    <w:rsid w:val="003B4061"/>
    <w:rPr>
      <w:rFonts w:eastAsiaTheme="minorEastAsia"/>
      <w:i/>
      <w:iCs/>
      <w:lang w:bidi="en-US"/>
    </w:rPr>
  </w:style>
  <w:style w:type="character" w:styleId="SubtleReference">
    <w:name w:val="Subtle Reference"/>
    <w:uiPriority w:val="99"/>
    <w:semiHidden/>
    <w:qFormat/>
    <w:rsid w:val="003B4061"/>
    <w:rPr>
      <w:smallCaps/>
    </w:rPr>
  </w:style>
  <w:style w:type="table" w:styleId="TableGrid">
    <w:name w:val="Table Grid"/>
    <w:basedOn w:val="TableNormal"/>
    <w:uiPriority w:val="59"/>
    <w:semiHidden/>
    <w:rsid w:val="003B4061"/>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99"/>
    <w:semiHidden/>
    <w:rsid w:val="003B4061"/>
    <w:pPr>
      <w:keepNext/>
      <w:tabs>
        <w:tab w:val="right" w:leader="dot" w:pos="7371"/>
      </w:tabs>
      <w:spacing w:before="160" w:after="60" w:line="240" w:lineRule="exact"/>
      <w:ind w:left="340" w:right="567" w:hanging="340"/>
    </w:pPr>
    <w:rPr>
      <w:b/>
      <w:sz w:val="22"/>
    </w:rPr>
  </w:style>
  <w:style w:type="paragraph" w:styleId="TOC2">
    <w:name w:val="toc 2"/>
    <w:basedOn w:val="Normal"/>
    <w:next w:val="Normal"/>
    <w:autoRedefine/>
    <w:uiPriority w:val="99"/>
    <w:semiHidden/>
    <w:rsid w:val="003B4061"/>
    <w:pPr>
      <w:keepNext/>
      <w:tabs>
        <w:tab w:val="right" w:leader="dot" w:pos="7371"/>
      </w:tabs>
      <w:spacing w:after="60" w:line="240" w:lineRule="exact"/>
      <w:ind w:left="680" w:right="567" w:hanging="340"/>
    </w:pPr>
    <w:rPr>
      <w:sz w:val="22"/>
    </w:rPr>
  </w:style>
  <w:style w:type="paragraph" w:styleId="TOC3">
    <w:name w:val="toc 3"/>
    <w:basedOn w:val="Normal"/>
    <w:next w:val="Normal"/>
    <w:autoRedefine/>
    <w:uiPriority w:val="99"/>
    <w:semiHidden/>
    <w:rsid w:val="003B4061"/>
    <w:pPr>
      <w:keepNext/>
      <w:tabs>
        <w:tab w:val="right" w:leader="dot" w:pos="7371"/>
      </w:tabs>
      <w:spacing w:after="60" w:line="240" w:lineRule="exact"/>
      <w:ind w:left="1020" w:right="567" w:hanging="340"/>
    </w:pPr>
    <w:rPr>
      <w:sz w:val="20"/>
    </w:rPr>
  </w:style>
  <w:style w:type="paragraph" w:styleId="TOC4">
    <w:name w:val="toc 4"/>
    <w:basedOn w:val="Normal"/>
    <w:next w:val="Normal"/>
    <w:autoRedefine/>
    <w:uiPriority w:val="99"/>
    <w:semiHidden/>
    <w:rsid w:val="003B4061"/>
    <w:pPr>
      <w:tabs>
        <w:tab w:val="right" w:leader="dot" w:pos="7371"/>
      </w:tabs>
      <w:spacing w:after="60" w:line="240" w:lineRule="exact"/>
      <w:ind w:left="1361" w:right="567" w:hanging="340"/>
    </w:pPr>
    <w:rPr>
      <w:sz w:val="20"/>
    </w:rPr>
  </w:style>
  <w:style w:type="paragraph" w:styleId="TOC5">
    <w:name w:val="toc 5"/>
    <w:basedOn w:val="Normal"/>
    <w:next w:val="Normal"/>
    <w:autoRedefine/>
    <w:uiPriority w:val="99"/>
    <w:semiHidden/>
    <w:rsid w:val="003B4061"/>
    <w:pPr>
      <w:tabs>
        <w:tab w:val="right" w:leader="dot" w:pos="7371"/>
      </w:tabs>
      <w:spacing w:after="60" w:line="240" w:lineRule="exact"/>
      <w:ind w:left="1701" w:right="567" w:hanging="340"/>
    </w:pPr>
    <w:rPr>
      <w:sz w:val="20"/>
    </w:rPr>
  </w:style>
  <w:style w:type="paragraph" w:styleId="TOCHeading">
    <w:name w:val="TOC Heading"/>
    <w:basedOn w:val="Normal"/>
    <w:next w:val="Normal"/>
    <w:uiPriority w:val="99"/>
    <w:semiHidden/>
    <w:qFormat/>
    <w:rsid w:val="003B4061"/>
    <w:pPr>
      <w:keepNext/>
      <w:keepLines/>
      <w:spacing w:before="240"/>
      <w:contextualSpacing/>
      <w:jc w:val="center"/>
    </w:pPr>
    <w:rPr>
      <w:rFonts w:asciiTheme="majorHAnsi" w:eastAsiaTheme="minorHAnsi" w:hAnsiTheme="majorHAnsi"/>
      <w:b/>
      <w:color w:val="474747" w:themeColor="accent3" w:themeShade="BF"/>
      <w:sz w:val="28"/>
    </w:rPr>
  </w:style>
  <w:style w:type="table" w:customStyle="1" w:styleId="UGTable">
    <w:name w:val="UG_Table"/>
    <w:basedOn w:val="TableNormal"/>
    <w:uiPriority w:val="99"/>
    <w:rsid w:val="00801300"/>
    <w:rPr>
      <w:rFonts w:eastAsiaTheme="minorEastAsia"/>
      <w:sz w:val="20"/>
      <w:lang w:val="en-GB" w:eastAsia="en-GB"/>
    </w:rPr>
    <w:tblPr>
      <w:tblInd w:w="-1191" w:type="dxa"/>
      <w:tblCellMar>
        <w:top w:w="57" w:type="dxa"/>
        <w:left w:w="0" w:type="dxa"/>
        <w:right w:w="0" w:type="dxa"/>
      </w:tblCellMar>
    </w:tblPr>
    <w:tblStylePr w:type="swCell">
      <w:tblPr/>
      <w:tcPr>
        <w:tcBorders>
          <w:top w:val="nil"/>
          <w:left w:val="nil"/>
          <w:bottom w:val="nil"/>
          <w:right w:val="nil"/>
          <w:insideH w:val="nil"/>
          <w:insideV w:val="nil"/>
          <w:tl2br w:val="nil"/>
          <w:tr2bl w:val="nil"/>
        </w:tcBorders>
        <w:shd w:val="clear" w:color="auto" w:fill="EAEAEA"/>
      </w:tcPr>
    </w:tblStylePr>
  </w:style>
  <w:style w:type="table" w:customStyle="1" w:styleId="UGTableWhiteBox">
    <w:name w:val="UG_Table_White_Box"/>
    <w:basedOn w:val="TableNormal"/>
    <w:uiPriority w:val="99"/>
    <w:rsid w:val="00801300"/>
    <w:rPr>
      <w:rFonts w:eastAsiaTheme="minorEastAsia"/>
      <w:lang w:val="en-GB" w:eastAsia="en-GB"/>
    </w:rPr>
    <w:tblPr>
      <w:tblBorders>
        <w:top w:val="single" w:sz="4" w:space="0" w:color="B9B9B9" w:themeColor="background2" w:themeShade="BF"/>
        <w:left w:val="single" w:sz="4" w:space="0" w:color="B9B9B9" w:themeColor="background2" w:themeShade="BF"/>
        <w:bottom w:val="single" w:sz="4" w:space="0" w:color="B9B9B9" w:themeColor="background2" w:themeShade="BF"/>
        <w:right w:val="single" w:sz="4" w:space="0" w:color="B9B9B9" w:themeColor="background2" w:themeShade="BF"/>
      </w:tblBorders>
      <w:tblCellMar>
        <w:top w:w="113" w:type="dxa"/>
        <w:left w:w="113" w:type="dxa"/>
        <w:bottom w:w="113" w:type="dxa"/>
        <w:right w:w="113" w:type="dxa"/>
      </w:tblCellMar>
    </w:tblPr>
    <w:tcPr>
      <w:shd w:val="clear" w:color="auto" w:fill="FFFFFF"/>
    </w:tcPr>
  </w:style>
  <w:style w:type="table" w:customStyle="1" w:styleId="PCFTableStyle">
    <w:name w:val="PCF_Table_Style"/>
    <w:basedOn w:val="TableNormal"/>
    <w:uiPriority w:val="99"/>
    <w:rsid w:val="00810B38"/>
    <w:rPr>
      <w:color w:val="000000" w:themeColor="text1"/>
      <w:sz w:val="18"/>
    </w:rPr>
    <w:tblPr>
      <w:tblBorders>
        <w:top w:val="single" w:sz="8" w:space="0" w:color="9F9F9F" w:themeColor="accent3" w:themeTint="99"/>
        <w:left w:val="single" w:sz="8" w:space="0" w:color="9F9F9F" w:themeColor="accent3" w:themeTint="99"/>
        <w:bottom w:val="single" w:sz="8" w:space="0" w:color="9F9F9F" w:themeColor="accent3" w:themeTint="99"/>
        <w:right w:val="single" w:sz="8" w:space="0" w:color="9F9F9F" w:themeColor="accent3" w:themeTint="99"/>
        <w:insideH w:val="single" w:sz="8" w:space="0" w:color="9F9F9F" w:themeColor="accent3" w:themeTint="99"/>
        <w:insideV w:val="single" w:sz="8" w:space="0" w:color="9F9F9F" w:themeColor="accent3" w:themeTint="99"/>
      </w:tblBorders>
    </w:tblPr>
    <w:tblStylePr w:type="firstRow">
      <w:pPr>
        <w:wordWrap/>
        <w:spacing w:beforeLines="0" w:before="120" w:beforeAutospacing="0" w:afterLines="0" w:after="120" w:afterAutospacing="0" w:line="240" w:lineRule="auto"/>
        <w:contextualSpacing/>
        <w:jc w:val="center"/>
      </w:pPr>
      <w:rPr>
        <w:b/>
        <w:i w:val="0"/>
        <w:color w:val="FFFFFF"/>
        <w:sz w:val="20"/>
      </w:rPr>
      <w:tblPr/>
      <w:tcPr>
        <w:tcBorders>
          <w:top w:val="nil"/>
          <w:left w:val="nil"/>
          <w:bottom w:val="nil"/>
          <w:right w:val="nil"/>
          <w:insideH w:val="nil"/>
          <w:insideV w:val="nil"/>
          <w:tl2br w:val="nil"/>
          <w:tr2bl w:val="nil"/>
        </w:tcBorders>
        <w:shd w:val="clear" w:color="auto" w:fill="0072BC" w:themeFill="accent1"/>
        <w:vAlign w:val="center"/>
      </w:tcPr>
    </w:tblStylePr>
    <w:tblStylePr w:type="firstCol">
      <w:pPr>
        <w:jc w:val="left"/>
      </w:pPr>
      <w:tblPr/>
      <w:tcPr>
        <w:vAlign w:val="center"/>
      </w:tcPr>
    </w:tblStylePr>
  </w:style>
  <w:style w:type="table" w:customStyle="1" w:styleId="ECHRTableFax">
    <w:name w:val="ECHR_Table_Fax"/>
    <w:basedOn w:val="TableNormal"/>
    <w:uiPriority w:val="99"/>
    <w:rsid w:val="00893576"/>
    <w:rPr>
      <w:color w:val="000000" w:themeColor="text1"/>
    </w:rPr>
    <w:tblPr>
      <w:tblInd w:w="-680" w:type="dxa"/>
      <w:tblBorders>
        <w:insideH w:val="single" w:sz="4" w:space="0" w:color="C6C6C6" w:themeColor="text2"/>
        <w:insideV w:val="single" w:sz="4" w:space="0" w:color="C6C6C6" w:themeColor="text2"/>
      </w:tblBorders>
      <w:tblCellMar>
        <w:top w:w="142" w:type="dxa"/>
        <w:bottom w:w="142" w:type="dxa"/>
      </w:tblCellMar>
    </w:tblPr>
    <w:trPr>
      <w:cantSplit/>
    </w:trPr>
  </w:style>
  <w:style w:type="table" w:customStyle="1" w:styleId="ECHRTableMemo">
    <w:name w:val="ECHR_Table_Memo"/>
    <w:basedOn w:val="TableNormal"/>
    <w:uiPriority w:val="99"/>
    <w:rsid w:val="00210338"/>
    <w:tblPr>
      <w:jc w:val="center"/>
      <w:tblCellMar>
        <w:top w:w="113" w:type="dxa"/>
        <w:left w:w="0" w:type="dxa"/>
        <w:bottom w:w="113" w:type="dxa"/>
        <w:right w:w="0" w:type="dxa"/>
      </w:tblCellMar>
    </w:tblPr>
    <w:trPr>
      <w:jc w:val="center"/>
    </w:trPr>
    <w:tblStylePr w:type="lastRow">
      <w:tblPr/>
      <w:tcPr>
        <w:tcBorders>
          <w:top w:val="nil"/>
          <w:left w:val="nil"/>
          <w:bottom w:val="single" w:sz="4" w:space="0" w:color="949494" w:themeColor="text2" w:themeShade="BF"/>
          <w:right w:val="nil"/>
          <w:insideH w:val="nil"/>
          <w:insideV w:val="nil"/>
          <w:tl2br w:val="nil"/>
          <w:tr2bl w:val="nil"/>
        </w:tcBorders>
      </w:tcPr>
    </w:tblStylePr>
  </w:style>
  <w:style w:type="table" w:customStyle="1" w:styleId="ECHRDNTable">
    <w:name w:val="ECHR_DN_Table"/>
    <w:aliases w:val="DN_Table"/>
    <w:basedOn w:val="TableNormal"/>
    <w:uiPriority w:val="99"/>
    <w:rsid w:val="0090506B"/>
    <w:tblPr>
      <w:jc w:val="center"/>
      <w:tblBorders>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57" w:type="dxa"/>
        <w:bottom w:w="57" w:type="dxa"/>
      </w:tblCellMar>
    </w:tblPr>
    <w:trPr>
      <w:jc w:val="center"/>
    </w:trPr>
    <w:tcPr>
      <w:vAlign w:val="center"/>
    </w:tcPr>
    <w:tblStylePr w:type="firstRow">
      <w:pPr>
        <w:wordWrap/>
        <w:spacing w:beforeLines="0"/>
        <w:ind w:leftChars="0" w:left="0"/>
      </w:pPr>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nil"/>
          <w:right w:val="single" w:sz="4" w:space="0" w:color="949494" w:themeColor="text2" w:themeShade="BF"/>
          <w:insideH w:val="nil"/>
          <w:insideV w:val="nil"/>
          <w:tl2br w:val="nil"/>
          <w:tr2bl w:val="nil"/>
        </w:tcBorders>
        <w:shd w:val="clear" w:color="auto" w:fill="DFDFDF" w:themeFill="background2" w:themeFillShade="E6"/>
      </w:tcPr>
    </w:tblStylePr>
  </w:style>
  <w:style w:type="paragraph" w:styleId="TOAHeading">
    <w:name w:val="toa heading"/>
    <w:basedOn w:val="Normal"/>
    <w:next w:val="Normal"/>
    <w:uiPriority w:val="99"/>
    <w:semiHidden/>
    <w:rsid w:val="003B4061"/>
    <w:pPr>
      <w:keepNext/>
      <w:keepLines/>
      <w:spacing w:before="240"/>
      <w:contextualSpacing/>
      <w:jc w:val="center"/>
    </w:pPr>
    <w:rPr>
      <w:rFonts w:asciiTheme="majorHAnsi" w:eastAsiaTheme="majorEastAsia" w:hAnsiTheme="majorHAnsi" w:cstheme="majorBidi"/>
      <w:b/>
      <w:bCs/>
      <w:color w:val="474747" w:themeColor="accent3" w:themeShade="BF"/>
      <w:sz w:val="28"/>
      <w:szCs w:val="24"/>
    </w:rPr>
  </w:style>
  <w:style w:type="paragraph" w:customStyle="1" w:styleId="ECHRParaQuote">
    <w:name w:val="ECHR_Para_Quote"/>
    <w:aliases w:val="Ju_Quot"/>
    <w:basedOn w:val="Normal"/>
    <w:uiPriority w:val="14"/>
    <w:qFormat/>
    <w:rsid w:val="003B4061"/>
    <w:pPr>
      <w:spacing w:before="120" w:after="120"/>
      <w:ind w:left="425" w:firstLine="142"/>
    </w:pPr>
    <w:rPr>
      <w:sz w:val="20"/>
    </w:rPr>
  </w:style>
  <w:style w:type="paragraph" w:customStyle="1" w:styleId="ECHRPara">
    <w:name w:val="ECHR_Para"/>
    <w:aliases w:val="Ju_Para"/>
    <w:basedOn w:val="Normal"/>
    <w:link w:val="ECHRParaChar"/>
    <w:uiPriority w:val="12"/>
    <w:qFormat/>
    <w:rsid w:val="003B4061"/>
    <w:pPr>
      <w:ind w:firstLine="284"/>
    </w:pPr>
  </w:style>
  <w:style w:type="table" w:customStyle="1" w:styleId="ECHRTableSimpleBox">
    <w:name w:val="ECHR_Table_Simple_Box"/>
    <w:basedOn w:val="TableNormal"/>
    <w:uiPriority w:val="99"/>
    <w:rsid w:val="00AE354C"/>
    <w:tblPr>
      <w:tblBorders>
        <w:top w:val="single" w:sz="4" w:space="0" w:color="9F9F9F" w:themeColor="accent3" w:themeTint="99"/>
        <w:left w:val="single" w:sz="4" w:space="0" w:color="9F9F9F" w:themeColor="accent3" w:themeTint="99"/>
        <w:bottom w:val="single" w:sz="4" w:space="0" w:color="9F9F9F" w:themeColor="accent3" w:themeTint="99"/>
        <w:right w:val="single" w:sz="4" w:space="0" w:color="9F9F9F" w:themeColor="accent3" w:themeTint="99"/>
      </w:tblBorders>
      <w:tblCellMar>
        <w:top w:w="113" w:type="dxa"/>
        <w:bottom w:w="113" w:type="dxa"/>
      </w:tblCellMar>
    </w:tblPr>
  </w:style>
  <w:style w:type="table" w:customStyle="1" w:styleId="ECHRTableNoLines">
    <w:name w:val="ECHR_Table_No_Lines"/>
    <w:basedOn w:val="TableNormal"/>
    <w:uiPriority w:val="99"/>
    <w:rsid w:val="00F218EF"/>
    <w:tblPr>
      <w:tblCellMar>
        <w:top w:w="85" w:type="dxa"/>
        <w:left w:w="142" w:type="dxa"/>
        <w:bottom w:w="28" w:type="dxa"/>
        <w:right w:w="142" w:type="dxa"/>
      </w:tblCellMar>
    </w:tblPr>
    <w:tblStylePr w:type="firstRow">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nil"/>
          <w:tl2br w:val="nil"/>
          <w:tr2bl w:val="nil"/>
        </w:tcBorders>
        <w:shd w:val="clear" w:color="auto" w:fill="DFDFDF" w:themeFill="background2" w:themeFillShade="E6"/>
      </w:tcPr>
    </w:tblStylePr>
    <w:tblStylePr w:type="firstCol">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tcPr>
    </w:tblStylePr>
  </w:style>
  <w:style w:type="table" w:customStyle="1" w:styleId="ECHRTableForInternalUse">
    <w:name w:val="ECHR_Table_For_Internal_Use"/>
    <w:basedOn w:val="TableNormal"/>
    <w:uiPriority w:val="99"/>
    <w:rsid w:val="005474E7"/>
    <w:rPr>
      <w:color w:val="636363" w:themeColor="text2" w:themeShade="80"/>
      <w:sz w:val="18"/>
    </w:rPr>
    <w:tblPr>
      <w:tblStyleColBandSize w:val="1"/>
      <w:jc w:val="right"/>
      <w:tblCellMar>
        <w:top w:w="113" w:type="dxa"/>
        <w:bottom w:w="28" w:type="dxa"/>
      </w:tblCellMar>
    </w:tblPr>
    <w:trPr>
      <w:jc w:val="right"/>
    </w:trPr>
    <w:tblStylePr w:type="firstRow">
      <w:rPr>
        <w:b/>
      </w:rPr>
    </w:tblStylePr>
    <w:tblStylePr w:type="lastCol">
      <w:pPr>
        <w:jc w:val="right"/>
      </w:p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tblStylePr w:type="band1Vert">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style>
  <w:style w:type="table" w:customStyle="1" w:styleId="ECHRListTable">
    <w:name w:val="ECHR_List_Table"/>
    <w:basedOn w:val="TableNormal"/>
    <w:uiPriority w:val="99"/>
    <w:rsid w:val="003B4061"/>
    <w:tblPr>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b/>
        <w:color w:val="474747" w:themeColor="accent3" w:themeShade="BF"/>
      </w:rPr>
      <w:tblPr/>
      <w:trPr>
        <w:tblHeader/>
      </w:tr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shd w:val="clear" w:color="auto" w:fill="DFDFDF" w:themeFill="background2" w:themeFillShade="E6"/>
      </w:tcPr>
    </w:tblStylePr>
  </w:style>
  <w:style w:type="table" w:customStyle="1" w:styleId="ECHRHeaderTable">
    <w:name w:val="ECHR_Header_Table"/>
    <w:basedOn w:val="TableNormal"/>
    <w:uiPriority w:val="99"/>
    <w:rsid w:val="00661971"/>
    <w:tblPr>
      <w:tblInd w:w="-680" w:type="dxa"/>
      <w:tblBorders>
        <w:bottom w:val="single" w:sz="6" w:space="0" w:color="949494" w:themeColor="text2" w:themeShade="BF"/>
      </w:tblBorders>
      <w:tblCellMar>
        <w:left w:w="0" w:type="dxa"/>
        <w:bottom w:w="28" w:type="dxa"/>
        <w:right w:w="0" w:type="dxa"/>
      </w:tblCellMar>
    </w:tblPr>
    <w:tcPr>
      <w:vAlign w:val="bottom"/>
    </w:tcPr>
    <w:tblStylePr w:type="lastCol">
      <w:pPr>
        <w:wordWrap/>
        <w:jc w:val="both"/>
      </w:pPr>
    </w:tblStylePr>
  </w:style>
  <w:style w:type="table" w:customStyle="1" w:styleId="ECHRTableOddBanded">
    <w:name w:val="ECHR_Table_Odd_Banded"/>
    <w:basedOn w:val="TableNormal"/>
    <w:uiPriority w:val="99"/>
    <w:rsid w:val="00860B03"/>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single" w:sz="4" w:space="0" w:color="949494" w:themeColor="text2" w:themeShade="BF"/>
          <w:tl2br w:val="nil"/>
          <w:tr2bl w:val="nil"/>
        </w:tcBorders>
        <w:shd w:val="clear" w:color="auto" w:fill="DFDFDF" w:themeFill="background2" w:themeFillShade="E6"/>
      </w:tcPr>
    </w:tblStylePr>
    <w:tblStylePr w:type="band1Vert">
      <w:tblPr/>
      <w:tcPr>
        <w:tcBorders>
          <w:top w:val="nil"/>
          <w:left w:val="nil"/>
          <w:bottom w:val="nil"/>
          <w:right w:val="nil"/>
          <w:insideH w:val="nil"/>
          <w:insideV w:val="nil"/>
          <w:tl2br w:val="nil"/>
          <w:tr2bl w:val="nil"/>
        </w:tcBorders>
        <w:shd w:val="clear" w:color="auto" w:fill="DFDFDF" w:themeFill="background2" w:themeFillShade="E6"/>
      </w:tcPr>
    </w:tblStylePr>
    <w:tblStylePr w:type="band1Horz">
      <w:rPr>
        <w:b/>
      </w:rPr>
      <w:tblPr/>
      <w:tcPr>
        <w:shd w:val="clear" w:color="auto" w:fill="DFDFDF" w:themeFill="background2" w:themeFillShade="E6"/>
      </w:tcPr>
    </w:tblStylePr>
  </w:style>
  <w:style w:type="paragraph" w:customStyle="1" w:styleId="ECHRDecisionBody">
    <w:name w:val="ECHR_Decision_Body"/>
    <w:aliases w:val="Ju_Judges"/>
    <w:basedOn w:val="Normal"/>
    <w:uiPriority w:val="11"/>
    <w:qFormat/>
    <w:rsid w:val="003B4061"/>
    <w:pPr>
      <w:tabs>
        <w:tab w:val="left" w:pos="567"/>
        <w:tab w:val="left" w:pos="1134"/>
      </w:tabs>
      <w:jc w:val="left"/>
    </w:pPr>
  </w:style>
  <w:style w:type="table" w:customStyle="1" w:styleId="ECHRHeaderTableReduced">
    <w:name w:val="ECHR_Header_Table_Reduced"/>
    <w:basedOn w:val="TableNormal"/>
    <w:uiPriority w:val="99"/>
    <w:rsid w:val="00B52BE0"/>
    <w:tblPr>
      <w:tblInd w:w="-680" w:type="dxa"/>
      <w:tblCellMar>
        <w:left w:w="0" w:type="dxa"/>
        <w:right w:w="0" w:type="dxa"/>
      </w:tblCellMar>
    </w:tblPr>
    <w:tcPr>
      <w:vAlign w:val="bottom"/>
    </w:tcPr>
    <w:tblStylePr w:type="firstRow">
      <w:tblPr/>
      <w:tcPr>
        <w:tcBorders>
          <w:top w:val="nil"/>
          <w:left w:val="nil"/>
          <w:bottom w:val="single" w:sz="6" w:space="0" w:color="949494" w:themeColor="text2" w:themeShade="BF"/>
          <w:right w:val="nil"/>
          <w:insideH w:val="nil"/>
          <w:insideV w:val="nil"/>
          <w:tl2br w:val="nil"/>
          <w:tr2bl w:val="nil"/>
        </w:tcBorders>
      </w:tcPr>
    </w:tblStylePr>
    <w:tblStylePr w:type="lastRow">
      <w:pPr>
        <w:jc w:val="right"/>
      </w:pPr>
      <w:tblPr/>
      <w:tcPr>
        <w:tcBorders>
          <w:top w:val="single" w:sz="6" w:space="0" w:color="949494" w:themeColor="text2" w:themeShade="BF"/>
          <w:left w:val="nil"/>
          <w:bottom w:val="nil"/>
          <w:right w:val="nil"/>
          <w:insideH w:val="nil"/>
          <w:insideV w:val="nil"/>
          <w:tl2br w:val="nil"/>
          <w:tr2bl w:val="nil"/>
        </w:tcBorders>
      </w:tcPr>
    </w:tblStylePr>
  </w:style>
  <w:style w:type="paragraph" w:customStyle="1" w:styleId="JuList">
    <w:name w:val="Ju_List"/>
    <w:basedOn w:val="Normal"/>
    <w:uiPriority w:val="28"/>
    <w:qFormat/>
    <w:rsid w:val="003B4061"/>
    <w:pPr>
      <w:ind w:left="340" w:hanging="340"/>
    </w:pPr>
  </w:style>
  <w:style w:type="paragraph" w:customStyle="1" w:styleId="JuSigned">
    <w:name w:val="Ju_Signed"/>
    <w:basedOn w:val="Normal"/>
    <w:next w:val="JuParaLast"/>
    <w:uiPriority w:val="32"/>
    <w:qFormat/>
    <w:rsid w:val="003B4061"/>
    <w:pPr>
      <w:tabs>
        <w:tab w:val="center" w:pos="851"/>
        <w:tab w:val="center" w:pos="6407"/>
      </w:tabs>
      <w:spacing w:before="720"/>
      <w:jc w:val="left"/>
    </w:pPr>
  </w:style>
  <w:style w:type="paragraph" w:customStyle="1" w:styleId="JuParaLast">
    <w:name w:val="Ju_Para_Last"/>
    <w:basedOn w:val="Normal"/>
    <w:next w:val="ECHRPara"/>
    <w:uiPriority w:val="30"/>
    <w:qFormat/>
    <w:rsid w:val="003B4061"/>
    <w:pPr>
      <w:keepNext/>
      <w:keepLines/>
      <w:spacing w:before="240"/>
      <w:ind w:firstLine="284"/>
    </w:pPr>
  </w:style>
  <w:style w:type="paragraph" w:customStyle="1" w:styleId="JuParaSub">
    <w:name w:val="Ju_Para_Sub"/>
    <w:basedOn w:val="ECHRPara"/>
    <w:uiPriority w:val="13"/>
    <w:qFormat/>
    <w:rsid w:val="003B4061"/>
    <w:pPr>
      <w:ind w:left="284"/>
    </w:pPr>
  </w:style>
  <w:style w:type="character" w:styleId="PageNumber">
    <w:name w:val="page number"/>
    <w:uiPriority w:val="99"/>
    <w:semiHidden/>
    <w:rsid w:val="00014566"/>
    <w:rPr>
      <w:sz w:val="18"/>
    </w:rPr>
  </w:style>
  <w:style w:type="paragraph" w:customStyle="1" w:styleId="JuLista">
    <w:name w:val="Ju_List_a"/>
    <w:basedOn w:val="JuList"/>
    <w:uiPriority w:val="28"/>
    <w:qFormat/>
    <w:rsid w:val="003B4061"/>
    <w:pPr>
      <w:ind w:left="346" w:firstLine="0"/>
    </w:pPr>
  </w:style>
  <w:style w:type="paragraph" w:customStyle="1" w:styleId="JuTitle">
    <w:name w:val="Ju_Title"/>
    <w:basedOn w:val="Normal"/>
    <w:next w:val="ECHRPara"/>
    <w:uiPriority w:val="3"/>
    <w:semiHidden/>
    <w:qFormat/>
    <w:rsid w:val="003B4061"/>
    <w:pPr>
      <w:spacing w:before="720" w:after="240"/>
      <w:jc w:val="center"/>
      <w:outlineLvl w:val="0"/>
    </w:pPr>
    <w:rPr>
      <w:rFonts w:asciiTheme="majorHAnsi" w:hAnsiTheme="majorHAnsi"/>
      <w:b/>
      <w:caps/>
    </w:rPr>
  </w:style>
  <w:style w:type="character" w:styleId="CommentReference">
    <w:name w:val="annotation reference"/>
    <w:uiPriority w:val="99"/>
    <w:semiHidden/>
    <w:rsid w:val="00014566"/>
    <w:rPr>
      <w:sz w:val="16"/>
    </w:rPr>
  </w:style>
  <w:style w:type="paragraph" w:styleId="CommentText">
    <w:name w:val="annotation text"/>
    <w:basedOn w:val="Normal"/>
    <w:link w:val="CommentTextChar"/>
    <w:semiHidden/>
    <w:rsid w:val="00014566"/>
    <w:rPr>
      <w:sz w:val="20"/>
    </w:rPr>
  </w:style>
  <w:style w:type="character" w:customStyle="1" w:styleId="CommentTextChar">
    <w:name w:val="Comment Text Char"/>
    <w:basedOn w:val="DefaultParagraphFont"/>
    <w:link w:val="CommentText"/>
    <w:semiHidden/>
    <w:rsid w:val="00014566"/>
    <w:rPr>
      <w:rFonts w:eastAsiaTheme="minorEastAsia"/>
      <w:sz w:val="20"/>
    </w:rPr>
  </w:style>
  <w:style w:type="paragraph" w:styleId="CommentSubject">
    <w:name w:val="annotation subject"/>
    <w:basedOn w:val="CommentText"/>
    <w:next w:val="CommentText"/>
    <w:link w:val="CommentSubjectChar"/>
    <w:uiPriority w:val="99"/>
    <w:semiHidden/>
    <w:rsid w:val="00014566"/>
    <w:rPr>
      <w:b/>
      <w:bCs/>
    </w:rPr>
  </w:style>
  <w:style w:type="character" w:customStyle="1" w:styleId="CommentSubjectChar">
    <w:name w:val="Comment Subject Char"/>
    <w:basedOn w:val="CommentTextChar"/>
    <w:link w:val="CommentSubject"/>
    <w:uiPriority w:val="99"/>
    <w:semiHidden/>
    <w:rsid w:val="00014566"/>
    <w:rPr>
      <w:rFonts w:eastAsiaTheme="minorEastAsia"/>
      <w:b/>
      <w:bCs/>
      <w:sz w:val="20"/>
    </w:rPr>
  </w:style>
  <w:style w:type="character" w:styleId="EndnoteReference">
    <w:name w:val="endnote reference"/>
    <w:uiPriority w:val="99"/>
    <w:semiHidden/>
    <w:rsid w:val="00014566"/>
    <w:rPr>
      <w:vertAlign w:val="superscript"/>
    </w:rPr>
  </w:style>
  <w:style w:type="paragraph" w:styleId="EndnoteText">
    <w:name w:val="endnote text"/>
    <w:basedOn w:val="Normal"/>
    <w:link w:val="EndnoteTextChar"/>
    <w:uiPriority w:val="99"/>
    <w:semiHidden/>
    <w:rsid w:val="00014566"/>
    <w:rPr>
      <w:sz w:val="20"/>
    </w:rPr>
  </w:style>
  <w:style w:type="character" w:customStyle="1" w:styleId="EndnoteTextChar">
    <w:name w:val="Endnote Text Char"/>
    <w:basedOn w:val="DefaultParagraphFont"/>
    <w:link w:val="EndnoteText"/>
    <w:uiPriority w:val="99"/>
    <w:semiHidden/>
    <w:rsid w:val="00014566"/>
    <w:rPr>
      <w:rFonts w:eastAsiaTheme="minorEastAsia"/>
      <w:sz w:val="20"/>
    </w:rPr>
  </w:style>
  <w:style w:type="character" w:styleId="FollowedHyperlink">
    <w:name w:val="FollowedHyperlink"/>
    <w:uiPriority w:val="99"/>
    <w:semiHidden/>
    <w:rsid w:val="00014566"/>
    <w:rPr>
      <w:color w:val="800080"/>
      <w:u w:val="single"/>
    </w:rPr>
  </w:style>
  <w:style w:type="paragraph" w:styleId="DocumentMap">
    <w:name w:val="Document Map"/>
    <w:basedOn w:val="Normal"/>
    <w:link w:val="DocumentMapChar"/>
    <w:uiPriority w:val="99"/>
    <w:semiHidden/>
    <w:rsid w:val="00014566"/>
    <w:pPr>
      <w:shd w:val="clear" w:color="auto" w:fill="000080"/>
    </w:pPr>
    <w:rPr>
      <w:rFonts w:ascii="Tahoma" w:hAnsi="Tahoma" w:cs="Tahoma"/>
      <w:sz w:val="20"/>
    </w:rPr>
  </w:style>
  <w:style w:type="character" w:customStyle="1" w:styleId="DocumentMapChar">
    <w:name w:val="Document Map Char"/>
    <w:basedOn w:val="DefaultParagraphFont"/>
    <w:link w:val="DocumentMap"/>
    <w:uiPriority w:val="99"/>
    <w:semiHidden/>
    <w:rsid w:val="00014566"/>
    <w:rPr>
      <w:rFonts w:ascii="Tahoma" w:eastAsiaTheme="minorEastAsia" w:hAnsi="Tahoma" w:cs="Tahoma"/>
      <w:sz w:val="20"/>
      <w:shd w:val="clear" w:color="auto" w:fill="000080"/>
    </w:rPr>
  </w:style>
  <w:style w:type="paragraph" w:customStyle="1" w:styleId="OpiH1">
    <w:name w:val="Opi_H_1"/>
    <w:basedOn w:val="ECHRHeading2"/>
    <w:uiPriority w:val="42"/>
    <w:qFormat/>
    <w:rsid w:val="003B4061"/>
    <w:pPr>
      <w:ind w:left="635" w:hanging="357"/>
      <w:outlineLvl w:val="2"/>
    </w:pPr>
  </w:style>
  <w:style w:type="paragraph" w:styleId="ListBullet">
    <w:name w:val="List Bullet"/>
    <w:basedOn w:val="Normal"/>
    <w:uiPriority w:val="99"/>
    <w:semiHidden/>
    <w:rsid w:val="00014566"/>
    <w:pPr>
      <w:numPr>
        <w:numId w:val="1"/>
      </w:numPr>
    </w:pPr>
  </w:style>
  <w:style w:type="paragraph" w:customStyle="1" w:styleId="OpiHa">
    <w:name w:val="Opi_H_a"/>
    <w:basedOn w:val="ECHRHeading3"/>
    <w:uiPriority w:val="43"/>
    <w:qFormat/>
    <w:rsid w:val="003B4061"/>
    <w:pPr>
      <w:ind w:left="833" w:hanging="357"/>
      <w:outlineLvl w:val="3"/>
    </w:pPr>
    <w:rPr>
      <w:b/>
      <w:i w:val="0"/>
      <w:sz w:val="20"/>
    </w:rPr>
  </w:style>
  <w:style w:type="paragraph" w:styleId="Subtitle">
    <w:name w:val="Subtitle"/>
    <w:basedOn w:val="Normal"/>
    <w:next w:val="Normal"/>
    <w:link w:val="SubtitleChar"/>
    <w:uiPriority w:val="99"/>
    <w:semiHidden/>
    <w:qFormat/>
    <w:rsid w:val="003B4061"/>
    <w:pPr>
      <w:spacing w:after="600"/>
    </w:pPr>
    <w:rPr>
      <w:rFonts w:asciiTheme="majorHAnsi" w:eastAsiaTheme="majorEastAsia" w:hAnsiTheme="majorHAnsi" w:cstheme="majorBidi"/>
      <w:i/>
      <w:iCs/>
      <w:spacing w:val="13"/>
      <w:szCs w:val="24"/>
      <w:lang w:bidi="en-US"/>
    </w:rPr>
  </w:style>
  <w:style w:type="character" w:customStyle="1" w:styleId="SubtitleChar">
    <w:name w:val="Subtitle Char"/>
    <w:basedOn w:val="DefaultParagraphFont"/>
    <w:link w:val="Subtitle"/>
    <w:uiPriority w:val="99"/>
    <w:semiHidden/>
    <w:rsid w:val="003B4061"/>
    <w:rPr>
      <w:rFonts w:asciiTheme="majorHAnsi" w:eastAsiaTheme="majorEastAsia" w:hAnsiTheme="majorHAnsi" w:cstheme="majorBidi"/>
      <w:i/>
      <w:iCs/>
      <w:spacing w:val="13"/>
      <w:sz w:val="24"/>
      <w:szCs w:val="24"/>
      <w:lang w:bidi="en-US"/>
    </w:rPr>
  </w:style>
  <w:style w:type="numbering" w:styleId="111111">
    <w:name w:val="Outline List 2"/>
    <w:basedOn w:val="NoList"/>
    <w:uiPriority w:val="99"/>
    <w:semiHidden/>
    <w:rsid w:val="00014566"/>
    <w:pPr>
      <w:numPr>
        <w:numId w:val="2"/>
      </w:numPr>
    </w:pPr>
  </w:style>
  <w:style w:type="numbering" w:styleId="1ai">
    <w:name w:val="Outline List 1"/>
    <w:basedOn w:val="NoList"/>
    <w:uiPriority w:val="99"/>
    <w:semiHidden/>
    <w:rsid w:val="00014566"/>
    <w:pPr>
      <w:numPr>
        <w:numId w:val="3"/>
      </w:numPr>
    </w:pPr>
  </w:style>
  <w:style w:type="numbering" w:styleId="ArticleSection">
    <w:name w:val="Outline List 3"/>
    <w:basedOn w:val="NoList"/>
    <w:uiPriority w:val="99"/>
    <w:semiHidden/>
    <w:rsid w:val="00014566"/>
    <w:pPr>
      <w:numPr>
        <w:numId w:val="4"/>
      </w:numPr>
    </w:pPr>
  </w:style>
  <w:style w:type="paragraph" w:styleId="Bibliography">
    <w:name w:val="Bibliography"/>
    <w:basedOn w:val="Normal"/>
    <w:next w:val="Normal"/>
    <w:uiPriority w:val="99"/>
    <w:semiHidden/>
    <w:unhideWhenUsed/>
    <w:rsid w:val="00014566"/>
  </w:style>
  <w:style w:type="paragraph" w:styleId="BlockText">
    <w:name w:val="Block Text"/>
    <w:basedOn w:val="Normal"/>
    <w:uiPriority w:val="99"/>
    <w:semiHidden/>
    <w:rsid w:val="00014566"/>
    <w:pPr>
      <w:pBdr>
        <w:top w:val="single" w:sz="2" w:space="10" w:color="0072BC" w:themeColor="accent1" w:shadow="1" w:frame="1"/>
        <w:left w:val="single" w:sz="2" w:space="10" w:color="0072BC" w:themeColor="accent1" w:shadow="1" w:frame="1"/>
        <w:bottom w:val="single" w:sz="2" w:space="10" w:color="0072BC" w:themeColor="accent1" w:shadow="1" w:frame="1"/>
        <w:right w:val="single" w:sz="2" w:space="10" w:color="0072BC" w:themeColor="accent1" w:shadow="1" w:frame="1"/>
      </w:pBdr>
      <w:ind w:left="1152" w:right="1152"/>
    </w:pPr>
    <w:rPr>
      <w:i/>
      <w:iCs/>
      <w:color w:val="0072BC" w:themeColor="accent1"/>
    </w:rPr>
  </w:style>
  <w:style w:type="paragraph" w:styleId="BodyText">
    <w:name w:val="Body Text"/>
    <w:basedOn w:val="Normal"/>
    <w:link w:val="BodyTextChar"/>
    <w:uiPriority w:val="99"/>
    <w:semiHidden/>
    <w:rsid w:val="00014566"/>
    <w:pPr>
      <w:spacing w:after="120"/>
    </w:pPr>
  </w:style>
  <w:style w:type="character" w:customStyle="1" w:styleId="BodyTextChar">
    <w:name w:val="Body Text Char"/>
    <w:basedOn w:val="DefaultParagraphFont"/>
    <w:link w:val="BodyText"/>
    <w:uiPriority w:val="99"/>
    <w:semiHidden/>
    <w:rsid w:val="00014566"/>
    <w:rPr>
      <w:rFonts w:eastAsiaTheme="minorEastAsia"/>
      <w:sz w:val="24"/>
    </w:rPr>
  </w:style>
  <w:style w:type="paragraph" w:styleId="BodyText2">
    <w:name w:val="Body Text 2"/>
    <w:basedOn w:val="Normal"/>
    <w:link w:val="BodyText2Char"/>
    <w:uiPriority w:val="99"/>
    <w:semiHidden/>
    <w:rsid w:val="00014566"/>
    <w:pPr>
      <w:spacing w:after="120" w:line="480" w:lineRule="auto"/>
    </w:pPr>
  </w:style>
  <w:style w:type="character" w:customStyle="1" w:styleId="BodyText2Char">
    <w:name w:val="Body Text 2 Char"/>
    <w:basedOn w:val="DefaultParagraphFont"/>
    <w:link w:val="BodyText2"/>
    <w:uiPriority w:val="99"/>
    <w:semiHidden/>
    <w:rsid w:val="00014566"/>
    <w:rPr>
      <w:rFonts w:eastAsiaTheme="minorEastAsia"/>
      <w:sz w:val="24"/>
    </w:rPr>
  </w:style>
  <w:style w:type="paragraph" w:styleId="BodyText3">
    <w:name w:val="Body Text 3"/>
    <w:basedOn w:val="Normal"/>
    <w:link w:val="BodyText3Char"/>
    <w:uiPriority w:val="99"/>
    <w:semiHidden/>
    <w:rsid w:val="00014566"/>
    <w:pPr>
      <w:spacing w:after="120"/>
    </w:pPr>
    <w:rPr>
      <w:sz w:val="16"/>
      <w:szCs w:val="16"/>
    </w:rPr>
  </w:style>
  <w:style w:type="character" w:customStyle="1" w:styleId="BodyText3Char">
    <w:name w:val="Body Text 3 Char"/>
    <w:basedOn w:val="DefaultParagraphFont"/>
    <w:link w:val="BodyText3"/>
    <w:uiPriority w:val="99"/>
    <w:semiHidden/>
    <w:rsid w:val="00014566"/>
    <w:rPr>
      <w:rFonts w:eastAsiaTheme="minorEastAsia"/>
      <w:sz w:val="16"/>
      <w:szCs w:val="16"/>
    </w:rPr>
  </w:style>
  <w:style w:type="paragraph" w:styleId="BodyTextFirstIndent">
    <w:name w:val="Body Text First Indent"/>
    <w:basedOn w:val="BodyText"/>
    <w:link w:val="BodyTextFirstIndentChar"/>
    <w:uiPriority w:val="99"/>
    <w:semiHidden/>
    <w:rsid w:val="00014566"/>
    <w:pPr>
      <w:spacing w:after="0"/>
      <w:ind w:firstLine="360"/>
    </w:pPr>
  </w:style>
  <w:style w:type="character" w:customStyle="1" w:styleId="BodyTextFirstIndentChar">
    <w:name w:val="Body Text First Indent Char"/>
    <w:basedOn w:val="BodyTextChar"/>
    <w:link w:val="BodyTextFirstIndent"/>
    <w:uiPriority w:val="99"/>
    <w:semiHidden/>
    <w:rsid w:val="00014566"/>
    <w:rPr>
      <w:rFonts w:eastAsiaTheme="minorEastAsia"/>
      <w:sz w:val="24"/>
    </w:rPr>
  </w:style>
  <w:style w:type="paragraph" w:styleId="BodyTextIndent">
    <w:name w:val="Body Text Indent"/>
    <w:basedOn w:val="Normal"/>
    <w:link w:val="BodyTextIndentChar"/>
    <w:uiPriority w:val="99"/>
    <w:semiHidden/>
    <w:rsid w:val="00014566"/>
    <w:pPr>
      <w:spacing w:after="120"/>
      <w:ind w:left="283"/>
    </w:pPr>
  </w:style>
  <w:style w:type="character" w:customStyle="1" w:styleId="BodyTextIndentChar">
    <w:name w:val="Body Text Indent Char"/>
    <w:basedOn w:val="DefaultParagraphFont"/>
    <w:link w:val="BodyTextIndent"/>
    <w:uiPriority w:val="99"/>
    <w:semiHidden/>
    <w:rsid w:val="00014566"/>
    <w:rPr>
      <w:rFonts w:eastAsiaTheme="minorEastAsia"/>
      <w:sz w:val="24"/>
    </w:rPr>
  </w:style>
  <w:style w:type="paragraph" w:styleId="BodyTextFirstIndent2">
    <w:name w:val="Body Text First Indent 2"/>
    <w:basedOn w:val="BodyTextIndent"/>
    <w:link w:val="BodyTextFirstIndent2Char"/>
    <w:uiPriority w:val="99"/>
    <w:semiHidden/>
    <w:rsid w:val="00014566"/>
    <w:pPr>
      <w:spacing w:after="0"/>
      <w:ind w:left="360" w:firstLine="360"/>
    </w:pPr>
  </w:style>
  <w:style w:type="character" w:customStyle="1" w:styleId="BodyTextFirstIndent2Char">
    <w:name w:val="Body Text First Indent 2 Char"/>
    <w:basedOn w:val="BodyTextIndentChar"/>
    <w:link w:val="BodyTextFirstIndent2"/>
    <w:uiPriority w:val="99"/>
    <w:semiHidden/>
    <w:rsid w:val="00014566"/>
    <w:rPr>
      <w:rFonts w:eastAsiaTheme="minorEastAsia"/>
      <w:sz w:val="24"/>
    </w:rPr>
  </w:style>
  <w:style w:type="paragraph" w:styleId="BodyTextIndent2">
    <w:name w:val="Body Text Indent 2"/>
    <w:basedOn w:val="Normal"/>
    <w:link w:val="BodyTextIndent2Char"/>
    <w:uiPriority w:val="99"/>
    <w:semiHidden/>
    <w:rsid w:val="00014566"/>
    <w:pPr>
      <w:spacing w:after="120" w:line="480" w:lineRule="auto"/>
      <w:ind w:left="283"/>
    </w:pPr>
  </w:style>
  <w:style w:type="character" w:customStyle="1" w:styleId="BodyTextIndent2Char">
    <w:name w:val="Body Text Indent 2 Char"/>
    <w:basedOn w:val="DefaultParagraphFont"/>
    <w:link w:val="BodyTextIndent2"/>
    <w:uiPriority w:val="99"/>
    <w:semiHidden/>
    <w:rsid w:val="00014566"/>
    <w:rPr>
      <w:rFonts w:eastAsiaTheme="minorEastAsia"/>
      <w:sz w:val="24"/>
    </w:rPr>
  </w:style>
  <w:style w:type="paragraph" w:styleId="BodyTextIndent3">
    <w:name w:val="Body Text Indent 3"/>
    <w:basedOn w:val="Normal"/>
    <w:link w:val="BodyTextIndent3Char"/>
    <w:uiPriority w:val="99"/>
    <w:semiHidden/>
    <w:rsid w:val="00014566"/>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014566"/>
    <w:rPr>
      <w:rFonts w:eastAsiaTheme="minorEastAsia"/>
      <w:sz w:val="16"/>
      <w:szCs w:val="16"/>
    </w:rPr>
  </w:style>
  <w:style w:type="paragraph" w:styleId="Caption">
    <w:name w:val="caption"/>
    <w:basedOn w:val="Normal"/>
    <w:next w:val="Normal"/>
    <w:uiPriority w:val="99"/>
    <w:semiHidden/>
    <w:qFormat/>
    <w:rsid w:val="00014566"/>
    <w:pPr>
      <w:spacing w:after="200"/>
    </w:pPr>
    <w:rPr>
      <w:b/>
      <w:bCs/>
      <w:color w:val="0072BC" w:themeColor="accent1"/>
      <w:sz w:val="18"/>
      <w:szCs w:val="18"/>
    </w:rPr>
  </w:style>
  <w:style w:type="paragraph" w:styleId="Closing">
    <w:name w:val="Closing"/>
    <w:basedOn w:val="Normal"/>
    <w:link w:val="ClosingChar"/>
    <w:uiPriority w:val="99"/>
    <w:semiHidden/>
    <w:rsid w:val="00014566"/>
    <w:pPr>
      <w:ind w:left="4252"/>
    </w:pPr>
  </w:style>
  <w:style w:type="character" w:customStyle="1" w:styleId="ClosingChar">
    <w:name w:val="Closing Char"/>
    <w:basedOn w:val="DefaultParagraphFont"/>
    <w:link w:val="Closing"/>
    <w:uiPriority w:val="99"/>
    <w:semiHidden/>
    <w:rsid w:val="00014566"/>
    <w:rPr>
      <w:rFonts w:eastAsiaTheme="minorEastAsia"/>
      <w:sz w:val="24"/>
    </w:rPr>
  </w:style>
  <w:style w:type="table" w:styleId="ColorfulGrid">
    <w:name w:val="Colorful Grid"/>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0072BC" w:themeColor="background1"/>
      </w:rPr>
      <w:tblPr/>
      <w:tcPr>
        <w:shd w:val="clear" w:color="auto" w:fill="000000" w:themeFill="text1" w:themeFillShade="BF"/>
      </w:tcPr>
    </w:tblStylePr>
    <w:tblStylePr w:type="lastCol">
      <w:rPr>
        <w:color w:val="0072BC"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BEE5FF" w:themeFill="accent1" w:themeFillTint="33"/>
    </w:tcPr>
    <w:tblStylePr w:type="firstRow">
      <w:rPr>
        <w:b/>
        <w:bCs/>
      </w:rPr>
      <w:tblPr/>
      <w:tcPr>
        <w:shd w:val="clear" w:color="auto" w:fill="7ECBFF" w:themeFill="accent1" w:themeFillTint="66"/>
      </w:tcPr>
    </w:tblStylePr>
    <w:tblStylePr w:type="lastRow">
      <w:rPr>
        <w:b/>
        <w:bCs/>
        <w:color w:val="000000" w:themeColor="text1"/>
      </w:rPr>
      <w:tblPr/>
      <w:tcPr>
        <w:shd w:val="clear" w:color="auto" w:fill="7ECBFF" w:themeFill="accent1" w:themeFillTint="66"/>
      </w:tcPr>
    </w:tblStylePr>
    <w:tblStylePr w:type="firstCol">
      <w:rPr>
        <w:color w:val="0072BC" w:themeColor="background1"/>
      </w:rPr>
      <w:tblPr/>
      <w:tcPr>
        <w:shd w:val="clear" w:color="auto" w:fill="00548C" w:themeFill="accent1" w:themeFillShade="BF"/>
      </w:tcPr>
    </w:tblStylePr>
    <w:tblStylePr w:type="lastCol">
      <w:rPr>
        <w:color w:val="0072BC" w:themeColor="background1"/>
      </w:rPr>
      <w:tblPr/>
      <w:tcPr>
        <w:shd w:val="clear" w:color="auto" w:fill="00548C" w:themeFill="accent1" w:themeFillShade="BF"/>
      </w:tc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ColorfulGrid-Accent2">
    <w:name w:val="Colorful Grid Accent 2"/>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FFBFBF" w:themeFill="accent2" w:themeFillTint="33"/>
    </w:tcPr>
    <w:tblStylePr w:type="firstRow">
      <w:rPr>
        <w:b/>
        <w:bCs/>
      </w:rPr>
      <w:tblPr/>
      <w:tcPr>
        <w:shd w:val="clear" w:color="auto" w:fill="FF7F7F" w:themeFill="accent2" w:themeFillTint="66"/>
      </w:tcPr>
    </w:tblStylePr>
    <w:tblStylePr w:type="lastRow">
      <w:rPr>
        <w:b/>
        <w:bCs/>
        <w:color w:val="000000" w:themeColor="text1"/>
      </w:rPr>
      <w:tblPr/>
      <w:tcPr>
        <w:shd w:val="clear" w:color="auto" w:fill="FF7F7F" w:themeFill="accent2" w:themeFillTint="66"/>
      </w:tcPr>
    </w:tblStylePr>
    <w:tblStylePr w:type="firstCol">
      <w:rPr>
        <w:color w:val="0072BC" w:themeColor="background1"/>
      </w:rPr>
      <w:tblPr/>
      <w:tcPr>
        <w:shd w:val="clear" w:color="auto" w:fill="8F0000" w:themeFill="accent2" w:themeFillShade="BF"/>
      </w:tcPr>
    </w:tblStylePr>
    <w:tblStylePr w:type="lastCol">
      <w:rPr>
        <w:color w:val="0072BC" w:themeColor="background1"/>
      </w:rPr>
      <w:tblPr/>
      <w:tcPr>
        <w:shd w:val="clear" w:color="auto" w:fill="8F0000" w:themeFill="accent2" w:themeFillShade="BF"/>
      </w:tc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ColorfulGrid-Accent3">
    <w:name w:val="Colorful Grid Accent 3"/>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FDFDF" w:themeFill="accent3" w:themeFillTint="33"/>
    </w:tcPr>
    <w:tblStylePr w:type="firstRow">
      <w:rPr>
        <w:b/>
        <w:bCs/>
      </w:rPr>
      <w:tblPr/>
      <w:tcPr>
        <w:shd w:val="clear" w:color="auto" w:fill="BFBFBF" w:themeFill="accent3" w:themeFillTint="66"/>
      </w:tcPr>
    </w:tblStylePr>
    <w:tblStylePr w:type="lastRow">
      <w:rPr>
        <w:b/>
        <w:bCs/>
        <w:color w:val="000000" w:themeColor="text1"/>
      </w:rPr>
      <w:tblPr/>
      <w:tcPr>
        <w:shd w:val="clear" w:color="auto" w:fill="BFBFBF" w:themeFill="accent3" w:themeFillTint="66"/>
      </w:tcPr>
    </w:tblStylePr>
    <w:tblStylePr w:type="firstCol">
      <w:rPr>
        <w:color w:val="0072BC" w:themeColor="background1"/>
      </w:rPr>
      <w:tblPr/>
      <w:tcPr>
        <w:shd w:val="clear" w:color="auto" w:fill="474747" w:themeFill="accent3" w:themeFillShade="BF"/>
      </w:tcPr>
    </w:tblStylePr>
    <w:tblStylePr w:type="lastCol">
      <w:rPr>
        <w:color w:val="0072BC" w:themeColor="background1"/>
      </w:rPr>
      <w:tblPr/>
      <w:tcPr>
        <w:shd w:val="clear" w:color="auto" w:fill="474747" w:themeFill="accent3" w:themeFillShade="BF"/>
      </w:tc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ColorfulGrid-Accent4">
    <w:name w:val="Colorful Grid Accent 4"/>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EAEAEA" w:themeFill="accent4" w:themeFillTint="33"/>
    </w:tcPr>
    <w:tblStylePr w:type="firstRow">
      <w:rPr>
        <w:b/>
        <w:bCs/>
      </w:rPr>
      <w:tblPr/>
      <w:tcPr>
        <w:shd w:val="clear" w:color="auto" w:fill="D5D5D5" w:themeFill="accent4" w:themeFillTint="66"/>
      </w:tcPr>
    </w:tblStylePr>
    <w:tblStylePr w:type="lastRow">
      <w:rPr>
        <w:b/>
        <w:bCs/>
        <w:color w:val="000000" w:themeColor="text1"/>
      </w:rPr>
      <w:tblPr/>
      <w:tcPr>
        <w:shd w:val="clear" w:color="auto" w:fill="D5D5D5" w:themeFill="accent4" w:themeFillTint="66"/>
      </w:tcPr>
    </w:tblStylePr>
    <w:tblStylePr w:type="firstCol">
      <w:rPr>
        <w:color w:val="0072BC" w:themeColor="background1"/>
      </w:rPr>
      <w:tblPr/>
      <w:tcPr>
        <w:shd w:val="clear" w:color="auto" w:fill="707070" w:themeFill="accent4" w:themeFillShade="BF"/>
      </w:tcPr>
    </w:tblStylePr>
    <w:tblStylePr w:type="lastCol">
      <w:rPr>
        <w:color w:val="0072BC" w:themeColor="background1"/>
      </w:rPr>
      <w:tblPr/>
      <w:tcPr>
        <w:shd w:val="clear" w:color="auto" w:fill="707070" w:themeFill="accent4" w:themeFillShade="BF"/>
      </w:tc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ColorfulGrid-Accent5">
    <w:name w:val="Colorful Grid Accent 5"/>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0072BC" w:themeColor="background1"/>
      </w:rPr>
      <w:tblPr/>
      <w:tcPr>
        <w:shd w:val="clear" w:color="auto" w:fill="474747" w:themeFill="accent5" w:themeFillShade="BF"/>
      </w:tcPr>
    </w:tblStylePr>
    <w:tblStylePr w:type="lastCol">
      <w:rPr>
        <w:color w:val="0072BC"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0072BC" w:themeColor="background1"/>
      </w:rPr>
      <w:tblPr/>
      <w:tcPr>
        <w:shd w:val="clear" w:color="auto" w:fill="393939" w:themeFill="accent6" w:themeFillShade="BF"/>
      </w:tcPr>
    </w:tblStylePr>
    <w:tblStylePr w:type="lastCol">
      <w:rPr>
        <w:color w:val="0072BC"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99"/>
    <w:semiHidden/>
    <w:rsid w:val="00014566"/>
    <w:rPr>
      <w:color w:val="000000" w:themeColor="text1"/>
      <w:lang w:val="fr-FR" w:eastAsia="fr-FR"/>
    </w:rPr>
    <w:tblPr>
      <w:tblStyleRowBandSize w:val="1"/>
      <w:tblStyleColBandSize w:val="1"/>
    </w:tblPr>
    <w:tcPr>
      <w:shd w:val="clear" w:color="auto" w:fill="E6E6E6" w:themeFill="tex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99"/>
    <w:semiHidden/>
    <w:rsid w:val="00014566"/>
    <w:rPr>
      <w:color w:val="000000" w:themeColor="text1"/>
      <w:lang w:val="fr-FR" w:eastAsia="fr-FR"/>
    </w:rPr>
    <w:tblPr>
      <w:tblStyleRowBandSize w:val="1"/>
      <w:tblStyleColBandSize w:val="1"/>
    </w:tblPr>
    <w:tcPr>
      <w:shd w:val="clear" w:color="auto" w:fill="DFF2FF" w:themeFill="accen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FFF" w:themeFill="accent1" w:themeFillTint="3F"/>
      </w:tcPr>
    </w:tblStylePr>
    <w:tblStylePr w:type="band1Horz">
      <w:tblPr/>
      <w:tcPr>
        <w:shd w:val="clear" w:color="auto" w:fill="BEE5FF" w:themeFill="accent1" w:themeFillTint="33"/>
      </w:tcPr>
    </w:tblStylePr>
  </w:style>
  <w:style w:type="table" w:styleId="ColorfulList-Accent2">
    <w:name w:val="Colorful List Accent 2"/>
    <w:basedOn w:val="TableNormal"/>
    <w:uiPriority w:val="99"/>
    <w:semiHidden/>
    <w:rsid w:val="00014566"/>
    <w:rPr>
      <w:color w:val="000000" w:themeColor="text1"/>
      <w:lang w:val="fr-FR" w:eastAsia="fr-FR"/>
    </w:rPr>
    <w:tblPr>
      <w:tblStyleRowBandSize w:val="1"/>
      <w:tblStyleColBandSize w:val="1"/>
    </w:tblPr>
    <w:tcPr>
      <w:shd w:val="clear" w:color="auto" w:fill="FFDFDF" w:themeFill="accent2"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0B0" w:themeFill="accent2" w:themeFillTint="3F"/>
      </w:tcPr>
    </w:tblStylePr>
    <w:tblStylePr w:type="band1Horz">
      <w:tblPr/>
      <w:tcPr>
        <w:shd w:val="clear" w:color="auto" w:fill="FFBFBF" w:themeFill="accent2" w:themeFillTint="33"/>
      </w:tcPr>
    </w:tblStylePr>
  </w:style>
  <w:style w:type="table" w:styleId="ColorfulList-Accent3">
    <w:name w:val="Colorful List Accent 3"/>
    <w:basedOn w:val="TableNormal"/>
    <w:uiPriority w:val="99"/>
    <w:semiHidden/>
    <w:rsid w:val="00014566"/>
    <w:rPr>
      <w:color w:val="000000" w:themeColor="text1"/>
      <w:lang w:val="fr-FR" w:eastAsia="fr-FR"/>
    </w:rPr>
    <w:tblPr>
      <w:tblStyleRowBandSize w:val="1"/>
      <w:tblStyleColBandSize w:val="1"/>
    </w:tblPr>
    <w:tcPr>
      <w:shd w:val="clear" w:color="auto" w:fill="EFEFEF" w:themeFill="accent3" w:themeFillTint="19"/>
    </w:tcPr>
    <w:tblStylePr w:type="firstRow">
      <w:rPr>
        <w:b/>
        <w:bCs/>
        <w:color w:val="0072BC" w:themeColor="background1"/>
      </w:rPr>
      <w:tblPr/>
      <w:tcPr>
        <w:tcBorders>
          <w:bottom w:val="single" w:sz="12" w:space="0" w:color="0072BC" w:themeColor="background1"/>
        </w:tcBorders>
        <w:shd w:val="clear" w:color="auto" w:fill="787878" w:themeFill="accent4" w:themeFillShade="CC"/>
      </w:tcPr>
    </w:tblStylePr>
    <w:tblStylePr w:type="lastRow">
      <w:rPr>
        <w:b/>
        <w:bCs/>
        <w:color w:val="787878" w:themeColor="accent4"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3" w:themeFillTint="3F"/>
      </w:tcPr>
    </w:tblStylePr>
    <w:tblStylePr w:type="band1Horz">
      <w:tblPr/>
      <w:tcPr>
        <w:shd w:val="clear" w:color="auto" w:fill="DFDFDF" w:themeFill="accent3" w:themeFillTint="33"/>
      </w:tcPr>
    </w:tblStylePr>
  </w:style>
  <w:style w:type="table" w:styleId="ColorfulList-Accent4">
    <w:name w:val="Colorful List Accent 4"/>
    <w:basedOn w:val="TableNormal"/>
    <w:uiPriority w:val="99"/>
    <w:semiHidden/>
    <w:rsid w:val="00014566"/>
    <w:rPr>
      <w:color w:val="000000" w:themeColor="text1"/>
      <w:lang w:val="fr-FR" w:eastAsia="fr-FR"/>
    </w:rPr>
    <w:tblPr>
      <w:tblStyleRowBandSize w:val="1"/>
      <w:tblStyleColBandSize w:val="1"/>
    </w:tblPr>
    <w:tcPr>
      <w:shd w:val="clear" w:color="auto" w:fill="F4F4F4" w:themeFill="accent4" w:themeFillTint="19"/>
    </w:tcPr>
    <w:tblStylePr w:type="firstRow">
      <w:rPr>
        <w:b/>
        <w:bCs/>
        <w:color w:val="0072BC" w:themeColor="background1"/>
      </w:rPr>
      <w:tblPr/>
      <w:tcPr>
        <w:tcBorders>
          <w:bottom w:val="single" w:sz="12" w:space="0" w:color="0072BC" w:themeColor="background1"/>
        </w:tcBorders>
        <w:shd w:val="clear" w:color="auto" w:fill="4C4C4C" w:themeFill="accent3" w:themeFillShade="CC"/>
      </w:tcPr>
    </w:tblStylePr>
    <w:tblStylePr w:type="lastRow">
      <w:rPr>
        <w:b/>
        <w:bCs/>
        <w:color w:val="4C4C4C" w:themeColor="accent3"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4" w:themeFillTint="3F"/>
      </w:tcPr>
    </w:tblStylePr>
    <w:tblStylePr w:type="band1Horz">
      <w:tblPr/>
      <w:tcPr>
        <w:shd w:val="clear" w:color="auto" w:fill="EAEAEA" w:themeFill="accent4" w:themeFillTint="33"/>
      </w:tcPr>
    </w:tblStylePr>
  </w:style>
  <w:style w:type="table" w:styleId="ColorfulList-Accent5">
    <w:name w:val="Colorful List Accent 5"/>
    <w:basedOn w:val="TableNormal"/>
    <w:uiPriority w:val="99"/>
    <w:semiHidden/>
    <w:rsid w:val="00014566"/>
    <w:rPr>
      <w:color w:val="000000" w:themeColor="text1"/>
      <w:lang w:val="fr-FR" w:eastAsia="fr-FR"/>
    </w:rPr>
    <w:tblPr>
      <w:tblStyleRowBandSize w:val="1"/>
      <w:tblStyleColBandSize w:val="1"/>
    </w:tblPr>
    <w:tcPr>
      <w:shd w:val="clear" w:color="auto" w:fill="EFEFEF" w:themeFill="accent5" w:themeFillTint="19"/>
    </w:tcPr>
    <w:tblStylePr w:type="firstRow">
      <w:rPr>
        <w:b/>
        <w:bCs/>
        <w:color w:val="0072BC" w:themeColor="background1"/>
      </w:rPr>
      <w:tblPr/>
      <w:tcPr>
        <w:tcBorders>
          <w:bottom w:val="single" w:sz="12" w:space="0" w:color="0072BC"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99"/>
    <w:semiHidden/>
    <w:rsid w:val="00014566"/>
    <w:rPr>
      <w:color w:val="000000" w:themeColor="text1"/>
      <w:lang w:val="fr-FR" w:eastAsia="fr-FR"/>
    </w:rPr>
    <w:tblPr>
      <w:tblStyleRowBandSize w:val="1"/>
      <w:tblStyleColBandSize w:val="1"/>
    </w:tblPr>
    <w:tcPr>
      <w:shd w:val="clear" w:color="auto" w:fill="EDEDED" w:themeFill="accent6" w:themeFillTint="19"/>
    </w:tcPr>
    <w:tblStylePr w:type="firstRow">
      <w:rPr>
        <w:b/>
        <w:bCs/>
        <w:color w:val="0072BC" w:themeColor="background1"/>
      </w:rPr>
      <w:tblPr/>
      <w:tcPr>
        <w:tcBorders>
          <w:bottom w:val="single" w:sz="12" w:space="0" w:color="0072BC"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000000" w:themeColor="text1"/>
        <w:bottom w:val="single" w:sz="4" w:space="0" w:color="000000" w:themeColor="text1"/>
        <w:right w:val="single" w:sz="4" w:space="0" w:color="000000" w:themeColor="text1"/>
        <w:insideH w:val="single" w:sz="4" w:space="0" w:color="0072BC" w:themeColor="background1"/>
        <w:insideV w:val="single" w:sz="4" w:space="0" w:color="0072BC" w:themeColor="background1"/>
      </w:tblBorders>
    </w:tblPr>
    <w:tcPr>
      <w:shd w:val="clear" w:color="auto" w:fill="E6E6E6" w:themeFill="tex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0000" w:themeFill="text1" w:themeFillShade="99"/>
      </w:tcPr>
    </w:tblStylePr>
    <w:tblStylePr w:type="firstCol">
      <w:rPr>
        <w:color w:val="0072BC"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0072BC"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0072BC" w:themeColor="accent1"/>
        <w:bottom w:val="single" w:sz="4" w:space="0" w:color="0072BC" w:themeColor="accent1"/>
        <w:right w:val="single" w:sz="4" w:space="0" w:color="0072BC" w:themeColor="accent1"/>
        <w:insideH w:val="single" w:sz="4" w:space="0" w:color="0072BC" w:themeColor="background1"/>
        <w:insideV w:val="single" w:sz="4" w:space="0" w:color="0072BC" w:themeColor="background1"/>
      </w:tblBorders>
    </w:tblPr>
    <w:tcPr>
      <w:shd w:val="clear" w:color="auto" w:fill="DFF2FF" w:themeFill="accen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4470" w:themeFill="accent1" w:themeFillShade="99"/>
      </w:tcPr>
    </w:tblStylePr>
    <w:tblStylePr w:type="firstCol">
      <w:rPr>
        <w:color w:val="0072BC" w:themeColor="background1"/>
      </w:rPr>
      <w:tblPr/>
      <w:tcPr>
        <w:tcBorders>
          <w:top w:val="nil"/>
          <w:left w:val="nil"/>
          <w:bottom w:val="nil"/>
          <w:right w:val="nil"/>
          <w:insideH w:val="single" w:sz="4" w:space="0" w:color="004470" w:themeColor="accent1" w:themeShade="99"/>
          <w:insideV w:val="nil"/>
        </w:tcBorders>
        <w:shd w:val="clear" w:color="auto" w:fill="004470" w:themeFill="accent1" w:themeFillShade="99"/>
      </w:tcPr>
    </w:tblStylePr>
    <w:tblStylePr w:type="lastCol">
      <w:rPr>
        <w:color w:val="0072BC" w:themeColor="background1"/>
      </w:rPr>
      <w:tblPr/>
      <w:tcPr>
        <w:tcBorders>
          <w:top w:val="nil"/>
          <w:left w:val="nil"/>
          <w:bottom w:val="nil"/>
          <w:right w:val="nil"/>
          <w:insideH w:val="nil"/>
          <w:insideV w:val="nil"/>
        </w:tcBorders>
        <w:shd w:val="clear" w:color="auto" w:fill="004470" w:themeFill="accent1" w:themeFillShade="99"/>
      </w:tcPr>
    </w:tblStylePr>
    <w:tblStylePr w:type="band1Vert">
      <w:tblPr/>
      <w:tcPr>
        <w:shd w:val="clear" w:color="auto" w:fill="7ECBFF" w:themeFill="accent1" w:themeFillTint="66"/>
      </w:tcPr>
    </w:tblStylePr>
    <w:tblStylePr w:type="band1Horz">
      <w:tblPr/>
      <w:tcPr>
        <w:shd w:val="clear" w:color="auto" w:fill="5EBF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C00000" w:themeColor="accent2"/>
        <w:bottom w:val="single" w:sz="4" w:space="0" w:color="C00000" w:themeColor="accent2"/>
        <w:right w:val="single" w:sz="4" w:space="0" w:color="C00000" w:themeColor="accent2"/>
        <w:insideH w:val="single" w:sz="4" w:space="0" w:color="0072BC" w:themeColor="background1"/>
        <w:insideV w:val="single" w:sz="4" w:space="0" w:color="0072BC" w:themeColor="background1"/>
      </w:tblBorders>
    </w:tblPr>
    <w:tcPr>
      <w:shd w:val="clear" w:color="auto" w:fill="FFDFDF" w:themeFill="accent2"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730000" w:themeFill="accent2" w:themeFillShade="99"/>
      </w:tcPr>
    </w:tblStylePr>
    <w:tblStylePr w:type="firstCol">
      <w:rPr>
        <w:color w:val="0072BC" w:themeColor="background1"/>
      </w:rPr>
      <w:tblPr/>
      <w:tcPr>
        <w:tcBorders>
          <w:top w:val="nil"/>
          <w:left w:val="nil"/>
          <w:bottom w:val="nil"/>
          <w:right w:val="nil"/>
          <w:insideH w:val="single" w:sz="4" w:space="0" w:color="730000" w:themeColor="accent2" w:themeShade="99"/>
          <w:insideV w:val="nil"/>
        </w:tcBorders>
        <w:shd w:val="clear" w:color="auto" w:fill="730000" w:themeFill="accent2" w:themeFillShade="99"/>
      </w:tcPr>
    </w:tblStylePr>
    <w:tblStylePr w:type="lastCol">
      <w:rPr>
        <w:color w:val="0072BC" w:themeColor="background1"/>
      </w:rPr>
      <w:tblPr/>
      <w:tcPr>
        <w:tcBorders>
          <w:top w:val="nil"/>
          <w:left w:val="nil"/>
          <w:bottom w:val="nil"/>
          <w:right w:val="nil"/>
          <w:insideH w:val="nil"/>
          <w:insideV w:val="nil"/>
        </w:tcBorders>
        <w:shd w:val="clear" w:color="auto" w:fill="730000" w:themeFill="accent2" w:themeFillShade="99"/>
      </w:tcPr>
    </w:tblStylePr>
    <w:tblStylePr w:type="band1Vert">
      <w:tblPr/>
      <w:tcPr>
        <w:shd w:val="clear" w:color="auto" w:fill="FF7F7F" w:themeFill="accent2" w:themeFillTint="66"/>
      </w:tcPr>
    </w:tblStylePr>
    <w:tblStylePr w:type="band1Horz">
      <w:tblPr/>
      <w:tcPr>
        <w:shd w:val="clear" w:color="auto" w:fill="FF606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99"/>
    <w:semiHidden/>
    <w:rsid w:val="00014566"/>
    <w:rPr>
      <w:color w:val="000000" w:themeColor="text1"/>
      <w:lang w:val="fr-FR" w:eastAsia="fr-FR"/>
    </w:rPr>
    <w:tblPr>
      <w:tblStyleRowBandSize w:val="1"/>
      <w:tblStyleColBandSize w:val="1"/>
      <w:tblBorders>
        <w:top w:val="single" w:sz="24" w:space="0" w:color="969696" w:themeColor="accent4"/>
        <w:left w:val="single" w:sz="4" w:space="0" w:color="5F5F5F" w:themeColor="accent3"/>
        <w:bottom w:val="single" w:sz="4" w:space="0" w:color="5F5F5F" w:themeColor="accent3"/>
        <w:right w:val="single" w:sz="4" w:space="0" w:color="5F5F5F" w:themeColor="accent3"/>
        <w:insideH w:val="single" w:sz="4" w:space="0" w:color="0072BC" w:themeColor="background1"/>
        <w:insideV w:val="single" w:sz="4" w:space="0" w:color="0072BC" w:themeColor="background1"/>
      </w:tblBorders>
    </w:tblPr>
    <w:tcPr>
      <w:shd w:val="clear" w:color="auto" w:fill="EFEFEF" w:themeFill="accent3" w:themeFillTint="19"/>
    </w:tcPr>
    <w:tblStylePr w:type="firstRow">
      <w:rPr>
        <w:b/>
        <w:bCs/>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3" w:themeFillShade="99"/>
      </w:tcPr>
    </w:tblStylePr>
    <w:tblStylePr w:type="firstCol">
      <w:rPr>
        <w:color w:val="0072BC" w:themeColor="background1"/>
      </w:rPr>
      <w:tblPr/>
      <w:tcPr>
        <w:tcBorders>
          <w:top w:val="nil"/>
          <w:left w:val="nil"/>
          <w:bottom w:val="nil"/>
          <w:right w:val="nil"/>
          <w:insideH w:val="single" w:sz="4" w:space="0" w:color="393939" w:themeColor="accent3" w:themeShade="99"/>
          <w:insideV w:val="nil"/>
        </w:tcBorders>
        <w:shd w:val="clear" w:color="auto" w:fill="393939" w:themeFill="accent3"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3" w:themeFillShade="99"/>
      </w:tcPr>
    </w:tblStylePr>
    <w:tblStylePr w:type="band1Vert">
      <w:tblPr/>
      <w:tcPr>
        <w:shd w:val="clear" w:color="auto" w:fill="BFBFBF" w:themeFill="accent3" w:themeFillTint="66"/>
      </w:tcPr>
    </w:tblStylePr>
    <w:tblStylePr w:type="band1Horz">
      <w:tblPr/>
      <w:tcPr>
        <w:shd w:val="clear" w:color="auto" w:fill="AFAFAF" w:themeFill="accent3" w:themeFillTint="7F"/>
      </w:tcPr>
    </w:tblStylePr>
  </w:style>
  <w:style w:type="table" w:styleId="ColorfulShading-Accent4">
    <w:name w:val="Colorful Shading Accent 4"/>
    <w:basedOn w:val="TableNormal"/>
    <w:uiPriority w:val="99"/>
    <w:semiHidden/>
    <w:rsid w:val="00014566"/>
    <w:rPr>
      <w:color w:val="000000" w:themeColor="text1"/>
      <w:lang w:val="fr-FR" w:eastAsia="fr-FR"/>
    </w:rPr>
    <w:tblPr>
      <w:tblStyleRowBandSize w:val="1"/>
      <w:tblStyleColBandSize w:val="1"/>
      <w:tblBorders>
        <w:top w:val="single" w:sz="24" w:space="0" w:color="5F5F5F" w:themeColor="accent3"/>
        <w:left w:val="single" w:sz="4" w:space="0" w:color="969696" w:themeColor="accent4"/>
        <w:bottom w:val="single" w:sz="4" w:space="0" w:color="969696" w:themeColor="accent4"/>
        <w:right w:val="single" w:sz="4" w:space="0" w:color="969696" w:themeColor="accent4"/>
        <w:insideH w:val="single" w:sz="4" w:space="0" w:color="0072BC" w:themeColor="background1"/>
        <w:insideV w:val="single" w:sz="4" w:space="0" w:color="0072BC" w:themeColor="background1"/>
      </w:tblBorders>
    </w:tblPr>
    <w:tcPr>
      <w:shd w:val="clear" w:color="auto" w:fill="F4F4F4" w:themeFill="accent4" w:themeFillTint="19"/>
    </w:tcPr>
    <w:tblStylePr w:type="firstRow">
      <w:rPr>
        <w:b/>
        <w:bCs/>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5A5A5A" w:themeFill="accent4" w:themeFillShade="99"/>
      </w:tcPr>
    </w:tblStylePr>
    <w:tblStylePr w:type="firstCol">
      <w:rPr>
        <w:color w:val="0072BC" w:themeColor="background1"/>
      </w:rPr>
      <w:tblPr/>
      <w:tcPr>
        <w:tcBorders>
          <w:top w:val="nil"/>
          <w:left w:val="nil"/>
          <w:bottom w:val="nil"/>
          <w:right w:val="nil"/>
          <w:insideH w:val="single" w:sz="4" w:space="0" w:color="5A5A5A" w:themeColor="accent4" w:themeShade="99"/>
          <w:insideV w:val="nil"/>
        </w:tcBorders>
        <w:shd w:val="clear" w:color="auto" w:fill="5A5A5A" w:themeFill="accent4" w:themeFillShade="99"/>
      </w:tcPr>
    </w:tblStylePr>
    <w:tblStylePr w:type="lastCol">
      <w:rPr>
        <w:color w:val="0072BC" w:themeColor="background1"/>
      </w:rPr>
      <w:tblPr/>
      <w:tcPr>
        <w:tcBorders>
          <w:top w:val="nil"/>
          <w:left w:val="nil"/>
          <w:bottom w:val="nil"/>
          <w:right w:val="nil"/>
          <w:insideH w:val="nil"/>
          <w:insideV w:val="nil"/>
        </w:tcBorders>
        <w:shd w:val="clear" w:color="auto" w:fill="5A5A5A" w:themeFill="accent4" w:themeFillShade="99"/>
      </w:tcPr>
    </w:tblStylePr>
    <w:tblStylePr w:type="band1Vert">
      <w:tblPr/>
      <w:tcPr>
        <w:shd w:val="clear" w:color="auto" w:fill="D5D5D5" w:themeFill="accent4" w:themeFillTint="66"/>
      </w:tcPr>
    </w:tblStylePr>
    <w:tblStylePr w:type="band1Horz">
      <w:tblPr/>
      <w:tcPr>
        <w:shd w:val="clear" w:color="auto" w:fill="CACACA"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99"/>
    <w:semiHidden/>
    <w:rsid w:val="00014566"/>
    <w:rPr>
      <w:color w:val="000000" w:themeColor="text1"/>
      <w:lang w:val="fr-FR" w:eastAsia="fr-FR"/>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0072BC" w:themeColor="background1"/>
        <w:insideV w:val="single" w:sz="4" w:space="0" w:color="0072BC"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5" w:themeFillShade="99"/>
      </w:tcPr>
    </w:tblStylePr>
    <w:tblStylePr w:type="firstCol">
      <w:rPr>
        <w:color w:val="0072BC"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99"/>
    <w:semiHidden/>
    <w:rsid w:val="00014566"/>
    <w:rPr>
      <w:color w:val="000000" w:themeColor="text1"/>
      <w:lang w:val="fr-FR" w:eastAsia="fr-FR"/>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0072BC" w:themeColor="background1"/>
        <w:insideV w:val="single" w:sz="4" w:space="0" w:color="0072BC"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2E2E2E" w:themeFill="accent6" w:themeFillShade="99"/>
      </w:tcPr>
    </w:tblStylePr>
    <w:tblStylePr w:type="firstCol">
      <w:rPr>
        <w:color w:val="0072BC"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0072BC"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99"/>
    <w:semiHidden/>
    <w:rsid w:val="00014566"/>
    <w:rPr>
      <w:color w:val="0072BC" w:themeColor="background1"/>
      <w:lang w:val="fr-FR" w:eastAsia="fr-FR"/>
    </w:rPr>
    <w:tblPr>
      <w:tblStyleRowBandSize w:val="1"/>
      <w:tblStyleColBandSize w:val="1"/>
    </w:tblPr>
    <w:tcPr>
      <w:shd w:val="clear" w:color="auto" w:fill="000000" w:themeFill="tex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0072BC" w:themeColor="background1"/>
          <w:insideH w:val="nil"/>
          <w:insideV w:val="nil"/>
        </w:tcBorders>
        <w:shd w:val="clear" w:color="auto" w:fill="000000" w:themeFill="text1" w:themeFillShade="BF"/>
      </w:tcPr>
    </w:tblStylePr>
    <w:tblStylePr w:type="lastCol">
      <w:tblPr/>
      <w:tcPr>
        <w:tcBorders>
          <w:top w:val="nil"/>
          <w:left w:val="single" w:sz="18" w:space="0" w:color="0072BC"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99"/>
    <w:semiHidden/>
    <w:rsid w:val="00014566"/>
    <w:rPr>
      <w:color w:val="0072BC" w:themeColor="background1"/>
      <w:lang w:val="fr-FR" w:eastAsia="fr-FR"/>
    </w:rPr>
    <w:tblPr>
      <w:tblStyleRowBandSize w:val="1"/>
      <w:tblStyleColBandSize w:val="1"/>
    </w:tblPr>
    <w:tcPr>
      <w:shd w:val="clear" w:color="auto" w:fill="0072BC" w:themeFill="accen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385D" w:themeFill="accent1" w:themeFillShade="7F"/>
      </w:tcPr>
    </w:tblStylePr>
    <w:tblStylePr w:type="firstCol">
      <w:tblPr/>
      <w:tcPr>
        <w:tcBorders>
          <w:top w:val="nil"/>
          <w:left w:val="nil"/>
          <w:bottom w:val="nil"/>
          <w:right w:val="single" w:sz="18" w:space="0" w:color="0072BC" w:themeColor="background1"/>
          <w:insideH w:val="nil"/>
          <w:insideV w:val="nil"/>
        </w:tcBorders>
        <w:shd w:val="clear" w:color="auto" w:fill="00548C" w:themeFill="accent1" w:themeFillShade="BF"/>
      </w:tcPr>
    </w:tblStylePr>
    <w:tblStylePr w:type="lastCol">
      <w:tblPr/>
      <w:tcPr>
        <w:tcBorders>
          <w:top w:val="nil"/>
          <w:left w:val="single" w:sz="18" w:space="0" w:color="0072BC" w:themeColor="background1"/>
          <w:bottom w:val="nil"/>
          <w:right w:val="nil"/>
          <w:insideH w:val="nil"/>
          <w:insideV w:val="nil"/>
        </w:tcBorders>
        <w:shd w:val="clear" w:color="auto" w:fill="00548C" w:themeFill="accent1" w:themeFillShade="BF"/>
      </w:tcPr>
    </w:tblStylePr>
    <w:tblStylePr w:type="band1Vert">
      <w:tblPr/>
      <w:tcPr>
        <w:tcBorders>
          <w:top w:val="nil"/>
          <w:left w:val="nil"/>
          <w:bottom w:val="nil"/>
          <w:right w:val="nil"/>
          <w:insideH w:val="nil"/>
          <w:insideV w:val="nil"/>
        </w:tcBorders>
        <w:shd w:val="clear" w:color="auto" w:fill="00548C" w:themeFill="accent1" w:themeFillShade="BF"/>
      </w:tcPr>
    </w:tblStylePr>
    <w:tblStylePr w:type="band1Horz">
      <w:tblPr/>
      <w:tcPr>
        <w:tcBorders>
          <w:top w:val="nil"/>
          <w:left w:val="nil"/>
          <w:bottom w:val="nil"/>
          <w:right w:val="nil"/>
          <w:insideH w:val="nil"/>
          <w:insideV w:val="nil"/>
        </w:tcBorders>
        <w:shd w:val="clear" w:color="auto" w:fill="00548C" w:themeFill="accent1" w:themeFillShade="BF"/>
      </w:tcPr>
    </w:tblStylePr>
  </w:style>
  <w:style w:type="table" w:styleId="DarkList-Accent2">
    <w:name w:val="Dark List Accent 2"/>
    <w:basedOn w:val="TableNormal"/>
    <w:uiPriority w:val="99"/>
    <w:semiHidden/>
    <w:rsid w:val="00014566"/>
    <w:rPr>
      <w:color w:val="0072BC" w:themeColor="background1"/>
      <w:lang w:val="fr-FR" w:eastAsia="fr-FR"/>
    </w:rPr>
    <w:tblPr>
      <w:tblStyleRowBandSize w:val="1"/>
      <w:tblStyleColBandSize w:val="1"/>
    </w:tblPr>
    <w:tcPr>
      <w:shd w:val="clear" w:color="auto" w:fill="C00000" w:themeFill="accent2"/>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5F0000" w:themeFill="accent2" w:themeFillShade="7F"/>
      </w:tcPr>
    </w:tblStylePr>
    <w:tblStylePr w:type="firstCol">
      <w:tblPr/>
      <w:tcPr>
        <w:tcBorders>
          <w:top w:val="nil"/>
          <w:left w:val="nil"/>
          <w:bottom w:val="nil"/>
          <w:right w:val="single" w:sz="18" w:space="0" w:color="0072BC" w:themeColor="background1"/>
          <w:insideH w:val="nil"/>
          <w:insideV w:val="nil"/>
        </w:tcBorders>
        <w:shd w:val="clear" w:color="auto" w:fill="8F0000" w:themeFill="accent2" w:themeFillShade="BF"/>
      </w:tcPr>
    </w:tblStylePr>
    <w:tblStylePr w:type="lastCol">
      <w:tblPr/>
      <w:tcPr>
        <w:tcBorders>
          <w:top w:val="nil"/>
          <w:left w:val="single" w:sz="18" w:space="0" w:color="0072BC" w:themeColor="background1"/>
          <w:bottom w:val="nil"/>
          <w:right w:val="nil"/>
          <w:insideH w:val="nil"/>
          <w:insideV w:val="nil"/>
        </w:tcBorders>
        <w:shd w:val="clear" w:color="auto" w:fill="8F0000" w:themeFill="accent2" w:themeFillShade="BF"/>
      </w:tcPr>
    </w:tblStylePr>
    <w:tblStylePr w:type="band1Vert">
      <w:tblPr/>
      <w:tcPr>
        <w:tcBorders>
          <w:top w:val="nil"/>
          <w:left w:val="nil"/>
          <w:bottom w:val="nil"/>
          <w:right w:val="nil"/>
          <w:insideH w:val="nil"/>
          <w:insideV w:val="nil"/>
        </w:tcBorders>
        <w:shd w:val="clear" w:color="auto" w:fill="8F0000" w:themeFill="accent2" w:themeFillShade="BF"/>
      </w:tcPr>
    </w:tblStylePr>
    <w:tblStylePr w:type="band1Horz">
      <w:tblPr/>
      <w:tcPr>
        <w:tcBorders>
          <w:top w:val="nil"/>
          <w:left w:val="nil"/>
          <w:bottom w:val="nil"/>
          <w:right w:val="nil"/>
          <w:insideH w:val="nil"/>
          <w:insideV w:val="nil"/>
        </w:tcBorders>
        <w:shd w:val="clear" w:color="auto" w:fill="8F0000" w:themeFill="accent2" w:themeFillShade="BF"/>
      </w:tcPr>
    </w:tblStylePr>
  </w:style>
  <w:style w:type="table" w:styleId="DarkList-Accent3">
    <w:name w:val="Dark List Accent 3"/>
    <w:basedOn w:val="TableNormal"/>
    <w:uiPriority w:val="99"/>
    <w:semiHidden/>
    <w:rsid w:val="00014566"/>
    <w:rPr>
      <w:color w:val="0072BC" w:themeColor="background1"/>
      <w:lang w:val="fr-FR" w:eastAsia="fr-FR"/>
    </w:rPr>
    <w:tblPr>
      <w:tblStyleRowBandSize w:val="1"/>
      <w:tblStyleColBandSize w:val="1"/>
    </w:tblPr>
    <w:tcPr>
      <w:shd w:val="clear" w:color="auto" w:fill="5F5F5F" w:themeFill="accent3"/>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3"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3"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3" w:themeFillShade="BF"/>
      </w:tcPr>
    </w:tblStylePr>
    <w:tblStylePr w:type="band1Vert">
      <w:tblPr/>
      <w:tcPr>
        <w:tcBorders>
          <w:top w:val="nil"/>
          <w:left w:val="nil"/>
          <w:bottom w:val="nil"/>
          <w:right w:val="nil"/>
          <w:insideH w:val="nil"/>
          <w:insideV w:val="nil"/>
        </w:tcBorders>
        <w:shd w:val="clear" w:color="auto" w:fill="474747" w:themeFill="accent3" w:themeFillShade="BF"/>
      </w:tcPr>
    </w:tblStylePr>
    <w:tblStylePr w:type="band1Horz">
      <w:tblPr/>
      <w:tcPr>
        <w:tcBorders>
          <w:top w:val="nil"/>
          <w:left w:val="nil"/>
          <w:bottom w:val="nil"/>
          <w:right w:val="nil"/>
          <w:insideH w:val="nil"/>
          <w:insideV w:val="nil"/>
        </w:tcBorders>
        <w:shd w:val="clear" w:color="auto" w:fill="474747" w:themeFill="accent3" w:themeFillShade="BF"/>
      </w:tcPr>
    </w:tblStylePr>
  </w:style>
  <w:style w:type="table" w:styleId="DarkList-Accent4">
    <w:name w:val="Dark List Accent 4"/>
    <w:basedOn w:val="TableNormal"/>
    <w:uiPriority w:val="99"/>
    <w:semiHidden/>
    <w:rsid w:val="00014566"/>
    <w:rPr>
      <w:color w:val="0072BC" w:themeColor="background1"/>
      <w:lang w:val="fr-FR" w:eastAsia="fr-FR"/>
    </w:rPr>
    <w:tblPr>
      <w:tblStyleRowBandSize w:val="1"/>
      <w:tblStyleColBandSize w:val="1"/>
    </w:tblPr>
    <w:tcPr>
      <w:shd w:val="clear" w:color="auto" w:fill="969696" w:themeFill="accent4"/>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4A4A4A" w:themeFill="accent4" w:themeFillShade="7F"/>
      </w:tcPr>
    </w:tblStylePr>
    <w:tblStylePr w:type="firstCol">
      <w:tblPr/>
      <w:tcPr>
        <w:tcBorders>
          <w:top w:val="nil"/>
          <w:left w:val="nil"/>
          <w:bottom w:val="nil"/>
          <w:right w:val="single" w:sz="18" w:space="0" w:color="0072BC" w:themeColor="background1"/>
          <w:insideH w:val="nil"/>
          <w:insideV w:val="nil"/>
        </w:tcBorders>
        <w:shd w:val="clear" w:color="auto" w:fill="707070" w:themeFill="accent4" w:themeFillShade="BF"/>
      </w:tcPr>
    </w:tblStylePr>
    <w:tblStylePr w:type="lastCol">
      <w:tblPr/>
      <w:tcPr>
        <w:tcBorders>
          <w:top w:val="nil"/>
          <w:left w:val="single" w:sz="18" w:space="0" w:color="0072BC" w:themeColor="background1"/>
          <w:bottom w:val="nil"/>
          <w:right w:val="nil"/>
          <w:insideH w:val="nil"/>
          <w:insideV w:val="nil"/>
        </w:tcBorders>
        <w:shd w:val="clear" w:color="auto" w:fill="707070" w:themeFill="accent4" w:themeFillShade="BF"/>
      </w:tcPr>
    </w:tblStylePr>
    <w:tblStylePr w:type="band1Vert">
      <w:tblPr/>
      <w:tcPr>
        <w:tcBorders>
          <w:top w:val="nil"/>
          <w:left w:val="nil"/>
          <w:bottom w:val="nil"/>
          <w:right w:val="nil"/>
          <w:insideH w:val="nil"/>
          <w:insideV w:val="nil"/>
        </w:tcBorders>
        <w:shd w:val="clear" w:color="auto" w:fill="707070" w:themeFill="accent4" w:themeFillShade="BF"/>
      </w:tcPr>
    </w:tblStylePr>
    <w:tblStylePr w:type="band1Horz">
      <w:tblPr/>
      <w:tcPr>
        <w:tcBorders>
          <w:top w:val="nil"/>
          <w:left w:val="nil"/>
          <w:bottom w:val="nil"/>
          <w:right w:val="nil"/>
          <w:insideH w:val="nil"/>
          <w:insideV w:val="nil"/>
        </w:tcBorders>
        <w:shd w:val="clear" w:color="auto" w:fill="707070" w:themeFill="accent4" w:themeFillShade="BF"/>
      </w:tcPr>
    </w:tblStylePr>
  </w:style>
  <w:style w:type="table" w:styleId="DarkList-Accent5">
    <w:name w:val="Dark List Accent 5"/>
    <w:basedOn w:val="TableNormal"/>
    <w:uiPriority w:val="99"/>
    <w:semiHidden/>
    <w:rsid w:val="00014566"/>
    <w:rPr>
      <w:color w:val="0072BC" w:themeColor="background1"/>
      <w:lang w:val="fr-FR" w:eastAsia="fr-FR"/>
    </w:rPr>
    <w:tblPr>
      <w:tblStyleRowBandSize w:val="1"/>
      <w:tblStyleColBandSize w:val="1"/>
    </w:tblPr>
    <w:tcPr>
      <w:shd w:val="clear" w:color="auto" w:fill="5F5F5F" w:themeFill="accent5"/>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5"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99"/>
    <w:semiHidden/>
    <w:rsid w:val="00014566"/>
    <w:rPr>
      <w:color w:val="0072BC" w:themeColor="background1"/>
      <w:lang w:val="fr-FR" w:eastAsia="fr-FR"/>
    </w:rPr>
    <w:tblPr>
      <w:tblStyleRowBandSize w:val="1"/>
      <w:tblStyleColBandSize w:val="1"/>
    </w:tblPr>
    <w:tcPr>
      <w:shd w:val="clear" w:color="auto" w:fill="4D4D4D" w:themeFill="accent6"/>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0072BC" w:themeColor="background1"/>
          <w:insideH w:val="nil"/>
          <w:insideV w:val="nil"/>
        </w:tcBorders>
        <w:shd w:val="clear" w:color="auto" w:fill="393939" w:themeFill="accent6" w:themeFillShade="BF"/>
      </w:tcPr>
    </w:tblStylePr>
    <w:tblStylePr w:type="lastCol">
      <w:tblPr/>
      <w:tcPr>
        <w:tcBorders>
          <w:top w:val="nil"/>
          <w:left w:val="single" w:sz="18" w:space="0" w:color="0072BC"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99"/>
    <w:semiHidden/>
    <w:rsid w:val="00014566"/>
  </w:style>
  <w:style w:type="character" w:customStyle="1" w:styleId="DateChar">
    <w:name w:val="Date Char"/>
    <w:basedOn w:val="DefaultParagraphFont"/>
    <w:link w:val="Date"/>
    <w:uiPriority w:val="99"/>
    <w:semiHidden/>
    <w:rsid w:val="00014566"/>
    <w:rPr>
      <w:rFonts w:eastAsiaTheme="minorEastAsia"/>
      <w:sz w:val="24"/>
    </w:rPr>
  </w:style>
  <w:style w:type="paragraph" w:styleId="E-mailSignature">
    <w:name w:val="E-mail Signature"/>
    <w:basedOn w:val="Normal"/>
    <w:link w:val="E-mailSignatureChar"/>
    <w:uiPriority w:val="99"/>
    <w:semiHidden/>
    <w:rsid w:val="00014566"/>
  </w:style>
  <w:style w:type="character" w:customStyle="1" w:styleId="E-mailSignatureChar">
    <w:name w:val="E-mail Signature Char"/>
    <w:basedOn w:val="DefaultParagraphFont"/>
    <w:link w:val="E-mailSignature"/>
    <w:uiPriority w:val="99"/>
    <w:semiHidden/>
    <w:rsid w:val="00014566"/>
    <w:rPr>
      <w:rFonts w:eastAsiaTheme="minorEastAsia"/>
      <w:sz w:val="24"/>
    </w:rPr>
  </w:style>
  <w:style w:type="paragraph" w:styleId="EnvelopeAddress">
    <w:name w:val="envelope address"/>
    <w:basedOn w:val="Normal"/>
    <w:uiPriority w:val="99"/>
    <w:semiHidden/>
    <w:rsid w:val="00014566"/>
    <w:pPr>
      <w:framePr w:w="7938" w:h="1985" w:hRule="exact" w:hSpace="141" w:wrap="auto" w:hAnchor="page" w:xAlign="center" w:yAlign="bottom"/>
      <w:ind w:left="2835"/>
    </w:pPr>
    <w:rPr>
      <w:rFonts w:asciiTheme="majorHAnsi" w:eastAsiaTheme="majorEastAsia" w:hAnsiTheme="majorHAnsi" w:cstheme="majorBidi"/>
      <w:szCs w:val="24"/>
    </w:rPr>
  </w:style>
  <w:style w:type="paragraph" w:styleId="EnvelopeReturn">
    <w:name w:val="envelope return"/>
    <w:basedOn w:val="Normal"/>
    <w:uiPriority w:val="99"/>
    <w:semiHidden/>
    <w:rsid w:val="00014566"/>
    <w:rPr>
      <w:rFonts w:asciiTheme="majorHAnsi" w:eastAsiaTheme="majorEastAsia" w:hAnsiTheme="majorHAnsi" w:cstheme="majorBidi"/>
      <w:sz w:val="20"/>
      <w:szCs w:val="20"/>
    </w:rPr>
  </w:style>
  <w:style w:type="character" w:styleId="HTMLAcronym">
    <w:name w:val="HTML Acronym"/>
    <w:basedOn w:val="DefaultParagraphFont"/>
    <w:uiPriority w:val="99"/>
    <w:semiHidden/>
    <w:rsid w:val="00014566"/>
  </w:style>
  <w:style w:type="paragraph" w:styleId="HTMLAddress">
    <w:name w:val="HTML Address"/>
    <w:basedOn w:val="Normal"/>
    <w:link w:val="HTMLAddressChar"/>
    <w:uiPriority w:val="99"/>
    <w:semiHidden/>
    <w:rsid w:val="00014566"/>
    <w:rPr>
      <w:i/>
      <w:iCs/>
    </w:rPr>
  </w:style>
  <w:style w:type="character" w:customStyle="1" w:styleId="HTMLAddressChar">
    <w:name w:val="HTML Address Char"/>
    <w:basedOn w:val="DefaultParagraphFont"/>
    <w:link w:val="HTMLAddress"/>
    <w:uiPriority w:val="99"/>
    <w:semiHidden/>
    <w:rsid w:val="00014566"/>
    <w:rPr>
      <w:rFonts w:eastAsiaTheme="minorEastAsia"/>
      <w:i/>
      <w:iCs/>
      <w:sz w:val="24"/>
    </w:rPr>
  </w:style>
  <w:style w:type="character" w:styleId="HTMLCite">
    <w:name w:val="HTML Cite"/>
    <w:basedOn w:val="DefaultParagraphFont"/>
    <w:uiPriority w:val="99"/>
    <w:semiHidden/>
    <w:rsid w:val="00014566"/>
    <w:rPr>
      <w:i/>
      <w:iCs/>
    </w:rPr>
  </w:style>
  <w:style w:type="character" w:styleId="HTMLCode">
    <w:name w:val="HTML Code"/>
    <w:basedOn w:val="DefaultParagraphFont"/>
    <w:uiPriority w:val="99"/>
    <w:semiHidden/>
    <w:rsid w:val="00014566"/>
    <w:rPr>
      <w:rFonts w:ascii="Consolas" w:hAnsi="Consolas" w:cs="Consolas"/>
      <w:sz w:val="20"/>
      <w:szCs w:val="20"/>
    </w:rPr>
  </w:style>
  <w:style w:type="character" w:styleId="HTMLDefinition">
    <w:name w:val="HTML Definition"/>
    <w:basedOn w:val="DefaultParagraphFont"/>
    <w:uiPriority w:val="99"/>
    <w:semiHidden/>
    <w:rsid w:val="00014566"/>
    <w:rPr>
      <w:i/>
      <w:iCs/>
    </w:rPr>
  </w:style>
  <w:style w:type="character" w:styleId="HTMLKeyboard">
    <w:name w:val="HTML Keyboard"/>
    <w:basedOn w:val="DefaultParagraphFont"/>
    <w:uiPriority w:val="99"/>
    <w:semiHidden/>
    <w:rsid w:val="00014566"/>
    <w:rPr>
      <w:rFonts w:ascii="Consolas" w:hAnsi="Consolas" w:cs="Consolas"/>
      <w:sz w:val="20"/>
      <w:szCs w:val="20"/>
    </w:rPr>
  </w:style>
  <w:style w:type="paragraph" w:styleId="HTMLPreformatted">
    <w:name w:val="HTML Preformatted"/>
    <w:basedOn w:val="Normal"/>
    <w:link w:val="HTMLPreformattedChar"/>
    <w:uiPriority w:val="99"/>
    <w:semiHidden/>
    <w:rsid w:val="00014566"/>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14566"/>
    <w:rPr>
      <w:rFonts w:ascii="Consolas" w:eastAsiaTheme="minorEastAsia" w:hAnsi="Consolas" w:cs="Consolas"/>
      <w:sz w:val="20"/>
      <w:szCs w:val="20"/>
    </w:rPr>
  </w:style>
  <w:style w:type="character" w:styleId="HTMLSample">
    <w:name w:val="HTML Sample"/>
    <w:basedOn w:val="DefaultParagraphFont"/>
    <w:uiPriority w:val="99"/>
    <w:semiHidden/>
    <w:rsid w:val="00014566"/>
    <w:rPr>
      <w:rFonts w:ascii="Consolas" w:hAnsi="Consolas" w:cs="Consolas"/>
      <w:sz w:val="24"/>
      <w:szCs w:val="24"/>
    </w:rPr>
  </w:style>
  <w:style w:type="character" w:styleId="HTMLTypewriter">
    <w:name w:val="HTML Typewriter"/>
    <w:basedOn w:val="DefaultParagraphFont"/>
    <w:uiPriority w:val="99"/>
    <w:semiHidden/>
    <w:rsid w:val="00014566"/>
    <w:rPr>
      <w:rFonts w:ascii="Consolas" w:hAnsi="Consolas" w:cs="Consolas"/>
      <w:sz w:val="20"/>
      <w:szCs w:val="20"/>
    </w:rPr>
  </w:style>
  <w:style w:type="character" w:styleId="HTMLVariable">
    <w:name w:val="HTML Variable"/>
    <w:basedOn w:val="DefaultParagraphFont"/>
    <w:uiPriority w:val="99"/>
    <w:semiHidden/>
    <w:rsid w:val="00014566"/>
    <w:rPr>
      <w:i/>
      <w:iCs/>
    </w:rPr>
  </w:style>
  <w:style w:type="paragraph" w:styleId="Index1">
    <w:name w:val="index 1"/>
    <w:basedOn w:val="Normal"/>
    <w:next w:val="Normal"/>
    <w:autoRedefine/>
    <w:uiPriority w:val="99"/>
    <w:semiHidden/>
    <w:rsid w:val="00014566"/>
    <w:pPr>
      <w:ind w:left="240" w:hanging="240"/>
    </w:pPr>
  </w:style>
  <w:style w:type="paragraph" w:styleId="Index2">
    <w:name w:val="index 2"/>
    <w:basedOn w:val="Normal"/>
    <w:next w:val="Normal"/>
    <w:autoRedefine/>
    <w:uiPriority w:val="99"/>
    <w:semiHidden/>
    <w:rsid w:val="00014566"/>
    <w:pPr>
      <w:ind w:left="480" w:hanging="240"/>
    </w:pPr>
  </w:style>
  <w:style w:type="paragraph" w:styleId="Index3">
    <w:name w:val="index 3"/>
    <w:basedOn w:val="Normal"/>
    <w:next w:val="Normal"/>
    <w:autoRedefine/>
    <w:uiPriority w:val="99"/>
    <w:semiHidden/>
    <w:rsid w:val="00014566"/>
    <w:pPr>
      <w:ind w:left="720" w:hanging="240"/>
    </w:pPr>
  </w:style>
  <w:style w:type="paragraph" w:styleId="Index4">
    <w:name w:val="index 4"/>
    <w:basedOn w:val="Normal"/>
    <w:next w:val="Normal"/>
    <w:autoRedefine/>
    <w:uiPriority w:val="99"/>
    <w:semiHidden/>
    <w:rsid w:val="00014566"/>
    <w:pPr>
      <w:ind w:left="960" w:hanging="240"/>
    </w:pPr>
  </w:style>
  <w:style w:type="paragraph" w:styleId="Index5">
    <w:name w:val="index 5"/>
    <w:basedOn w:val="Normal"/>
    <w:next w:val="Normal"/>
    <w:autoRedefine/>
    <w:uiPriority w:val="99"/>
    <w:semiHidden/>
    <w:rsid w:val="00014566"/>
    <w:pPr>
      <w:ind w:left="1200" w:hanging="240"/>
    </w:pPr>
  </w:style>
  <w:style w:type="paragraph" w:styleId="Index6">
    <w:name w:val="index 6"/>
    <w:basedOn w:val="Normal"/>
    <w:next w:val="Normal"/>
    <w:autoRedefine/>
    <w:uiPriority w:val="99"/>
    <w:semiHidden/>
    <w:rsid w:val="00014566"/>
    <w:pPr>
      <w:ind w:left="1440" w:hanging="240"/>
    </w:pPr>
  </w:style>
  <w:style w:type="paragraph" w:styleId="Index7">
    <w:name w:val="index 7"/>
    <w:basedOn w:val="Normal"/>
    <w:next w:val="Normal"/>
    <w:autoRedefine/>
    <w:uiPriority w:val="99"/>
    <w:semiHidden/>
    <w:rsid w:val="00014566"/>
    <w:pPr>
      <w:ind w:left="1680" w:hanging="240"/>
    </w:pPr>
  </w:style>
  <w:style w:type="paragraph" w:styleId="Index8">
    <w:name w:val="index 8"/>
    <w:basedOn w:val="Normal"/>
    <w:next w:val="Normal"/>
    <w:autoRedefine/>
    <w:uiPriority w:val="99"/>
    <w:semiHidden/>
    <w:rsid w:val="00014566"/>
    <w:pPr>
      <w:ind w:left="1920" w:hanging="240"/>
    </w:pPr>
  </w:style>
  <w:style w:type="paragraph" w:styleId="Index9">
    <w:name w:val="index 9"/>
    <w:basedOn w:val="Normal"/>
    <w:next w:val="Normal"/>
    <w:autoRedefine/>
    <w:uiPriority w:val="99"/>
    <w:semiHidden/>
    <w:rsid w:val="00014566"/>
    <w:pPr>
      <w:ind w:left="2160" w:hanging="240"/>
    </w:pPr>
  </w:style>
  <w:style w:type="paragraph" w:styleId="IndexHeading">
    <w:name w:val="index heading"/>
    <w:basedOn w:val="Normal"/>
    <w:next w:val="Index1"/>
    <w:uiPriority w:val="99"/>
    <w:semiHidden/>
    <w:rsid w:val="00014566"/>
    <w:rPr>
      <w:rFonts w:asciiTheme="majorHAnsi" w:eastAsiaTheme="majorEastAsia" w:hAnsiTheme="majorHAnsi" w:cstheme="majorBidi"/>
      <w:b/>
      <w:bCs/>
    </w:rPr>
  </w:style>
  <w:style w:type="table" w:styleId="LightGrid">
    <w:name w:val="Light Grid"/>
    <w:basedOn w:val="TableNormal"/>
    <w:uiPriority w:val="99"/>
    <w:semiHidden/>
    <w:rsid w:val="00014566"/>
    <w:rPr>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rsid w:val="00014566"/>
    <w:rPr>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18" w:space="0" w:color="0072BC" w:themeColor="accent1"/>
          <w:right w:val="single" w:sz="8" w:space="0" w:color="0072BC" w:themeColor="accent1"/>
          <w:insideH w:val="nil"/>
          <w:insideV w:val="single" w:sz="8" w:space="0" w:color="0072B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insideH w:val="nil"/>
          <w:insideV w:val="single" w:sz="8" w:space="0" w:color="0072B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shd w:val="clear" w:color="auto" w:fill="AFDFFF" w:themeFill="accent1" w:themeFillTint="3F"/>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shd w:val="clear" w:color="auto" w:fill="AFDFFF" w:themeFill="accent1" w:themeFillTint="3F"/>
      </w:tcPr>
    </w:tblStylePr>
    <w:tblStylePr w:type="band2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tcPr>
    </w:tblStylePr>
  </w:style>
  <w:style w:type="table" w:styleId="LightGrid-Accent2">
    <w:name w:val="Light Grid Accent 2"/>
    <w:basedOn w:val="TableNormal"/>
    <w:uiPriority w:val="99"/>
    <w:semiHidden/>
    <w:rsid w:val="00014566"/>
    <w:rPr>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18" w:space="0" w:color="C00000" w:themeColor="accent2"/>
          <w:right w:val="single" w:sz="8" w:space="0" w:color="C00000" w:themeColor="accent2"/>
          <w:insideH w:val="nil"/>
          <w:insideV w:val="single" w:sz="8" w:space="0" w:color="C0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insideH w:val="nil"/>
          <w:insideV w:val="single" w:sz="8" w:space="0" w:color="C0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shd w:val="clear" w:color="auto" w:fill="FFB0B0" w:themeFill="accent2" w:themeFillTint="3F"/>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shd w:val="clear" w:color="auto" w:fill="FFB0B0" w:themeFill="accent2" w:themeFillTint="3F"/>
      </w:tcPr>
    </w:tblStylePr>
    <w:tblStylePr w:type="band2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tcPr>
    </w:tblStylePr>
  </w:style>
  <w:style w:type="table" w:styleId="LightGrid-Accent3">
    <w:name w:val="Light Grid Accent 3"/>
    <w:basedOn w:val="TableNormal"/>
    <w:uiPriority w:val="99"/>
    <w:semiHidden/>
    <w:rsid w:val="00014566"/>
    <w:rPr>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18" w:space="0" w:color="5F5F5F" w:themeColor="accent3"/>
          <w:right w:val="single" w:sz="8" w:space="0" w:color="5F5F5F" w:themeColor="accent3"/>
          <w:insideH w:val="nil"/>
          <w:insideV w:val="single" w:sz="8" w:space="0" w:color="5F5F5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insideH w:val="nil"/>
          <w:insideV w:val="single" w:sz="8" w:space="0" w:color="5F5F5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shd w:val="clear" w:color="auto" w:fill="D7D7D7" w:themeFill="accent3" w:themeFillTint="3F"/>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shd w:val="clear" w:color="auto" w:fill="D7D7D7" w:themeFill="accent3" w:themeFillTint="3F"/>
      </w:tcPr>
    </w:tblStylePr>
    <w:tblStylePr w:type="band2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tcPr>
    </w:tblStylePr>
  </w:style>
  <w:style w:type="table" w:styleId="LightGrid-Accent4">
    <w:name w:val="Light Grid Accent 4"/>
    <w:basedOn w:val="TableNormal"/>
    <w:uiPriority w:val="99"/>
    <w:semiHidden/>
    <w:rsid w:val="00014566"/>
    <w:rPr>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18" w:space="0" w:color="969696" w:themeColor="accent4"/>
          <w:right w:val="single" w:sz="8" w:space="0" w:color="969696" w:themeColor="accent4"/>
          <w:insideH w:val="nil"/>
          <w:insideV w:val="single" w:sz="8" w:space="0" w:color="9696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insideH w:val="nil"/>
          <w:insideV w:val="single" w:sz="8" w:space="0" w:color="9696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shd w:val="clear" w:color="auto" w:fill="E5E5E5" w:themeFill="accent4" w:themeFillTint="3F"/>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shd w:val="clear" w:color="auto" w:fill="E5E5E5" w:themeFill="accent4" w:themeFillTint="3F"/>
      </w:tcPr>
    </w:tblStylePr>
    <w:tblStylePr w:type="band2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tcPr>
    </w:tblStylePr>
  </w:style>
  <w:style w:type="table" w:styleId="LightGrid-Accent5">
    <w:name w:val="Light Grid Accent 5"/>
    <w:basedOn w:val="TableNormal"/>
    <w:uiPriority w:val="99"/>
    <w:semiHidden/>
    <w:rsid w:val="00014566"/>
    <w:rPr>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99"/>
    <w:semiHidden/>
    <w:rsid w:val="00014566"/>
    <w:rPr>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99"/>
    <w:semiHidden/>
    <w:rsid w:val="00014566"/>
    <w:rPr>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0072BC"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rsid w:val="00014566"/>
    <w:rPr>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pPr>
        <w:spacing w:before="0" w:after="0" w:line="240" w:lineRule="auto"/>
      </w:pPr>
      <w:rPr>
        <w:b/>
        <w:bCs/>
        <w:color w:val="0072BC" w:themeColor="background1"/>
      </w:rPr>
      <w:tblPr/>
      <w:tcPr>
        <w:shd w:val="clear" w:color="auto" w:fill="0072BC" w:themeFill="accent1"/>
      </w:tcPr>
    </w:tblStylePr>
    <w:tblStylePr w:type="lastRow">
      <w:pPr>
        <w:spacing w:before="0" w:after="0" w:line="240" w:lineRule="auto"/>
      </w:pPr>
      <w:rPr>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tcBorders>
      </w:tcPr>
    </w:tblStylePr>
    <w:tblStylePr w:type="firstCol">
      <w:rPr>
        <w:b/>
        <w:bCs/>
      </w:rPr>
    </w:tblStylePr>
    <w:tblStylePr w:type="lastCol">
      <w:rPr>
        <w:b/>
        <w:bCs/>
      </w:r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style>
  <w:style w:type="table" w:styleId="LightList-Accent2">
    <w:name w:val="Light List Accent 2"/>
    <w:basedOn w:val="TableNormal"/>
    <w:uiPriority w:val="99"/>
    <w:semiHidden/>
    <w:rsid w:val="00014566"/>
    <w:rPr>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pPr>
        <w:spacing w:before="0" w:after="0" w:line="240" w:lineRule="auto"/>
      </w:pPr>
      <w:rPr>
        <w:b/>
        <w:bCs/>
        <w:color w:val="0072BC" w:themeColor="background1"/>
      </w:rPr>
      <w:tblPr/>
      <w:tcPr>
        <w:shd w:val="clear" w:color="auto" w:fill="C00000" w:themeFill="accent2"/>
      </w:tcPr>
    </w:tblStylePr>
    <w:tblStylePr w:type="lastRow">
      <w:pPr>
        <w:spacing w:before="0" w:after="0" w:line="240" w:lineRule="auto"/>
      </w:pPr>
      <w:rPr>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tcBorders>
      </w:tcPr>
    </w:tblStylePr>
    <w:tblStylePr w:type="firstCol">
      <w:rPr>
        <w:b/>
        <w:bCs/>
      </w:rPr>
    </w:tblStylePr>
    <w:tblStylePr w:type="lastCol">
      <w:rPr>
        <w:b/>
        <w:bCs/>
      </w:r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style>
  <w:style w:type="table" w:styleId="LightList-Accent3">
    <w:name w:val="Light List Accent 3"/>
    <w:basedOn w:val="TableNormal"/>
    <w:uiPriority w:val="99"/>
    <w:semiHidden/>
    <w:rsid w:val="00014566"/>
    <w:rPr>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pPr>
        <w:spacing w:before="0" w:after="0" w:line="240" w:lineRule="auto"/>
      </w:pPr>
      <w:rPr>
        <w:b/>
        <w:bCs/>
        <w:color w:val="0072BC" w:themeColor="background1"/>
      </w:rPr>
      <w:tblPr/>
      <w:tcPr>
        <w:shd w:val="clear" w:color="auto" w:fill="5F5F5F" w:themeFill="accent3"/>
      </w:tcPr>
    </w:tblStylePr>
    <w:tblStylePr w:type="lastRow">
      <w:pPr>
        <w:spacing w:before="0" w:after="0" w:line="240" w:lineRule="auto"/>
      </w:pPr>
      <w:rPr>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tcBorders>
      </w:tcPr>
    </w:tblStylePr>
    <w:tblStylePr w:type="firstCol">
      <w:rPr>
        <w:b/>
        <w:bCs/>
      </w:rPr>
    </w:tblStylePr>
    <w:tblStylePr w:type="lastCol">
      <w:rPr>
        <w:b/>
        <w:bCs/>
      </w:r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style>
  <w:style w:type="table" w:styleId="LightList-Accent4">
    <w:name w:val="Light List Accent 4"/>
    <w:basedOn w:val="TableNormal"/>
    <w:uiPriority w:val="99"/>
    <w:semiHidden/>
    <w:rsid w:val="00014566"/>
    <w:rPr>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pPr>
        <w:spacing w:before="0" w:after="0" w:line="240" w:lineRule="auto"/>
      </w:pPr>
      <w:rPr>
        <w:b/>
        <w:bCs/>
        <w:color w:val="0072BC" w:themeColor="background1"/>
      </w:rPr>
      <w:tblPr/>
      <w:tcPr>
        <w:shd w:val="clear" w:color="auto" w:fill="969696" w:themeFill="accent4"/>
      </w:tcPr>
    </w:tblStylePr>
    <w:tblStylePr w:type="lastRow">
      <w:pPr>
        <w:spacing w:before="0" w:after="0" w:line="240" w:lineRule="auto"/>
      </w:pPr>
      <w:rPr>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tcBorders>
      </w:tcPr>
    </w:tblStylePr>
    <w:tblStylePr w:type="firstCol">
      <w:rPr>
        <w:b/>
        <w:bCs/>
      </w:rPr>
    </w:tblStylePr>
    <w:tblStylePr w:type="lastCol">
      <w:rPr>
        <w:b/>
        <w:bCs/>
      </w:r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style>
  <w:style w:type="table" w:styleId="LightList-Accent5">
    <w:name w:val="Light List Accent 5"/>
    <w:basedOn w:val="TableNormal"/>
    <w:uiPriority w:val="99"/>
    <w:semiHidden/>
    <w:rsid w:val="00014566"/>
    <w:rPr>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0072BC"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99"/>
    <w:semiHidden/>
    <w:rsid w:val="00014566"/>
    <w:rPr>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0072BC"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99"/>
    <w:semiHidden/>
    <w:rsid w:val="00014566"/>
    <w:rPr>
      <w:color w:val="000000" w:themeColor="text1" w:themeShade="BF"/>
      <w:lang w:val="fr-FR" w:eastAsia="fr-F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rsid w:val="00014566"/>
    <w:rPr>
      <w:color w:val="00548C" w:themeColor="accent1" w:themeShade="BF"/>
      <w:lang w:val="fr-FR" w:eastAsia="fr-FR"/>
    </w:rPr>
    <w:tblPr>
      <w:tblStyleRowBandSize w:val="1"/>
      <w:tblStyleColBandSize w:val="1"/>
      <w:tblBorders>
        <w:top w:val="single" w:sz="8" w:space="0" w:color="0072BC" w:themeColor="accent1"/>
        <w:bottom w:val="single" w:sz="8" w:space="0" w:color="0072BC" w:themeColor="accent1"/>
      </w:tblBorders>
    </w:tblPr>
    <w:tblStylePr w:type="fir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la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left w:val="nil"/>
          <w:right w:val="nil"/>
          <w:insideH w:val="nil"/>
          <w:insideV w:val="nil"/>
        </w:tcBorders>
        <w:shd w:val="clear" w:color="auto" w:fill="AFDFFF" w:themeFill="accent1" w:themeFillTint="3F"/>
      </w:tcPr>
    </w:tblStylePr>
  </w:style>
  <w:style w:type="table" w:styleId="LightShading-Accent2">
    <w:name w:val="Light Shading Accent 2"/>
    <w:basedOn w:val="TableNormal"/>
    <w:uiPriority w:val="99"/>
    <w:semiHidden/>
    <w:rsid w:val="00014566"/>
    <w:rPr>
      <w:color w:val="8F0000" w:themeColor="accent2" w:themeShade="BF"/>
      <w:lang w:val="fr-FR" w:eastAsia="fr-FR"/>
    </w:rPr>
    <w:tblPr>
      <w:tblStyleRowBandSize w:val="1"/>
      <w:tblStyleColBandSize w:val="1"/>
      <w:tblBorders>
        <w:top w:val="single" w:sz="8" w:space="0" w:color="C00000" w:themeColor="accent2"/>
        <w:bottom w:val="single" w:sz="8" w:space="0" w:color="C00000" w:themeColor="accent2"/>
      </w:tblBorders>
    </w:tblPr>
    <w:tblStylePr w:type="fir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la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left w:val="nil"/>
          <w:right w:val="nil"/>
          <w:insideH w:val="nil"/>
          <w:insideV w:val="nil"/>
        </w:tcBorders>
        <w:shd w:val="clear" w:color="auto" w:fill="FFB0B0" w:themeFill="accent2" w:themeFillTint="3F"/>
      </w:tcPr>
    </w:tblStylePr>
  </w:style>
  <w:style w:type="table" w:styleId="LightShading-Accent3">
    <w:name w:val="Light Shading Accent 3"/>
    <w:basedOn w:val="TableNormal"/>
    <w:uiPriority w:val="99"/>
    <w:semiHidden/>
    <w:rsid w:val="00014566"/>
    <w:rPr>
      <w:color w:val="474747" w:themeColor="accent3" w:themeShade="BF"/>
      <w:lang w:val="fr-FR" w:eastAsia="fr-FR"/>
    </w:rPr>
    <w:tblPr>
      <w:tblStyleRowBandSize w:val="1"/>
      <w:tblStyleColBandSize w:val="1"/>
      <w:tblBorders>
        <w:top w:val="single" w:sz="8" w:space="0" w:color="5F5F5F" w:themeColor="accent3"/>
        <w:bottom w:val="single" w:sz="8" w:space="0" w:color="5F5F5F" w:themeColor="accent3"/>
      </w:tblBorders>
    </w:tblPr>
    <w:tblStylePr w:type="fir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la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left w:val="nil"/>
          <w:right w:val="nil"/>
          <w:insideH w:val="nil"/>
          <w:insideV w:val="nil"/>
        </w:tcBorders>
        <w:shd w:val="clear" w:color="auto" w:fill="D7D7D7" w:themeFill="accent3" w:themeFillTint="3F"/>
      </w:tcPr>
    </w:tblStylePr>
  </w:style>
  <w:style w:type="table" w:styleId="LightShading-Accent4">
    <w:name w:val="Light Shading Accent 4"/>
    <w:basedOn w:val="TableNormal"/>
    <w:uiPriority w:val="99"/>
    <w:semiHidden/>
    <w:rsid w:val="00014566"/>
    <w:rPr>
      <w:color w:val="707070" w:themeColor="accent4" w:themeShade="BF"/>
      <w:lang w:val="fr-FR" w:eastAsia="fr-FR"/>
    </w:rPr>
    <w:tblPr>
      <w:tblStyleRowBandSize w:val="1"/>
      <w:tblStyleColBandSize w:val="1"/>
      <w:tblBorders>
        <w:top w:val="single" w:sz="8" w:space="0" w:color="969696" w:themeColor="accent4"/>
        <w:bottom w:val="single" w:sz="8" w:space="0" w:color="969696" w:themeColor="accent4"/>
      </w:tblBorders>
    </w:tblPr>
    <w:tblStylePr w:type="fir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la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left w:val="nil"/>
          <w:right w:val="nil"/>
          <w:insideH w:val="nil"/>
          <w:insideV w:val="nil"/>
        </w:tcBorders>
        <w:shd w:val="clear" w:color="auto" w:fill="E5E5E5" w:themeFill="accent4" w:themeFillTint="3F"/>
      </w:tcPr>
    </w:tblStylePr>
  </w:style>
  <w:style w:type="table" w:styleId="LightShading-Accent5">
    <w:name w:val="Light Shading Accent 5"/>
    <w:basedOn w:val="TableNormal"/>
    <w:uiPriority w:val="99"/>
    <w:semiHidden/>
    <w:rsid w:val="00014566"/>
    <w:rPr>
      <w:color w:val="474747" w:themeColor="accent5" w:themeShade="BF"/>
      <w:lang w:val="fr-FR" w:eastAsia="fr-FR"/>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99"/>
    <w:semiHidden/>
    <w:rsid w:val="00014566"/>
    <w:rPr>
      <w:color w:val="393939" w:themeColor="accent6" w:themeShade="BF"/>
      <w:lang w:val="fr-FR" w:eastAsia="fr-FR"/>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rsid w:val="00014566"/>
  </w:style>
  <w:style w:type="paragraph" w:styleId="List">
    <w:name w:val="List"/>
    <w:basedOn w:val="Normal"/>
    <w:uiPriority w:val="99"/>
    <w:semiHidden/>
    <w:rsid w:val="00014566"/>
    <w:pPr>
      <w:ind w:left="283" w:hanging="283"/>
      <w:contextualSpacing/>
    </w:pPr>
  </w:style>
  <w:style w:type="paragraph" w:styleId="List2">
    <w:name w:val="List 2"/>
    <w:basedOn w:val="Normal"/>
    <w:uiPriority w:val="99"/>
    <w:semiHidden/>
    <w:rsid w:val="00014566"/>
    <w:pPr>
      <w:ind w:left="566" w:hanging="283"/>
      <w:contextualSpacing/>
    </w:pPr>
  </w:style>
  <w:style w:type="paragraph" w:styleId="List3">
    <w:name w:val="List 3"/>
    <w:basedOn w:val="Normal"/>
    <w:uiPriority w:val="99"/>
    <w:semiHidden/>
    <w:rsid w:val="00014566"/>
    <w:pPr>
      <w:ind w:left="849" w:hanging="283"/>
      <w:contextualSpacing/>
    </w:pPr>
  </w:style>
  <w:style w:type="paragraph" w:styleId="List4">
    <w:name w:val="List 4"/>
    <w:basedOn w:val="Normal"/>
    <w:uiPriority w:val="99"/>
    <w:semiHidden/>
    <w:rsid w:val="00014566"/>
    <w:pPr>
      <w:ind w:left="1132" w:hanging="283"/>
      <w:contextualSpacing/>
    </w:pPr>
  </w:style>
  <w:style w:type="paragraph" w:styleId="List5">
    <w:name w:val="List 5"/>
    <w:basedOn w:val="Normal"/>
    <w:uiPriority w:val="99"/>
    <w:semiHidden/>
    <w:rsid w:val="00014566"/>
    <w:pPr>
      <w:ind w:left="1415" w:hanging="283"/>
      <w:contextualSpacing/>
    </w:pPr>
  </w:style>
  <w:style w:type="paragraph" w:styleId="ListBullet2">
    <w:name w:val="List Bullet 2"/>
    <w:basedOn w:val="Normal"/>
    <w:uiPriority w:val="99"/>
    <w:semiHidden/>
    <w:rsid w:val="00014566"/>
    <w:pPr>
      <w:numPr>
        <w:numId w:val="5"/>
      </w:numPr>
      <w:contextualSpacing/>
    </w:pPr>
  </w:style>
  <w:style w:type="paragraph" w:styleId="ListBullet3">
    <w:name w:val="List Bullet 3"/>
    <w:basedOn w:val="Normal"/>
    <w:uiPriority w:val="99"/>
    <w:semiHidden/>
    <w:rsid w:val="00014566"/>
    <w:pPr>
      <w:numPr>
        <w:numId w:val="6"/>
      </w:numPr>
      <w:contextualSpacing/>
    </w:pPr>
  </w:style>
  <w:style w:type="paragraph" w:styleId="ListBullet4">
    <w:name w:val="List Bullet 4"/>
    <w:basedOn w:val="Normal"/>
    <w:uiPriority w:val="99"/>
    <w:semiHidden/>
    <w:rsid w:val="00014566"/>
    <w:pPr>
      <w:numPr>
        <w:numId w:val="7"/>
      </w:numPr>
      <w:contextualSpacing/>
    </w:pPr>
  </w:style>
  <w:style w:type="paragraph" w:styleId="ListBullet5">
    <w:name w:val="List Bullet 5"/>
    <w:basedOn w:val="Normal"/>
    <w:uiPriority w:val="99"/>
    <w:semiHidden/>
    <w:rsid w:val="00014566"/>
    <w:pPr>
      <w:numPr>
        <w:numId w:val="8"/>
      </w:numPr>
      <w:contextualSpacing/>
    </w:pPr>
  </w:style>
  <w:style w:type="paragraph" w:styleId="ListContinue">
    <w:name w:val="List Continue"/>
    <w:basedOn w:val="Normal"/>
    <w:uiPriority w:val="99"/>
    <w:semiHidden/>
    <w:rsid w:val="00014566"/>
    <w:pPr>
      <w:spacing w:after="120"/>
      <w:ind w:left="283"/>
      <w:contextualSpacing/>
    </w:pPr>
  </w:style>
  <w:style w:type="paragraph" w:styleId="ListContinue2">
    <w:name w:val="List Continue 2"/>
    <w:basedOn w:val="Normal"/>
    <w:uiPriority w:val="99"/>
    <w:semiHidden/>
    <w:rsid w:val="00014566"/>
    <w:pPr>
      <w:spacing w:after="120"/>
      <w:ind w:left="566"/>
      <w:contextualSpacing/>
    </w:pPr>
  </w:style>
  <w:style w:type="paragraph" w:styleId="ListContinue3">
    <w:name w:val="List Continue 3"/>
    <w:basedOn w:val="Normal"/>
    <w:uiPriority w:val="99"/>
    <w:semiHidden/>
    <w:rsid w:val="00014566"/>
    <w:pPr>
      <w:spacing w:after="120"/>
      <w:ind w:left="849"/>
      <w:contextualSpacing/>
    </w:pPr>
  </w:style>
  <w:style w:type="paragraph" w:styleId="ListContinue4">
    <w:name w:val="List Continue 4"/>
    <w:basedOn w:val="Normal"/>
    <w:uiPriority w:val="99"/>
    <w:semiHidden/>
    <w:rsid w:val="00014566"/>
    <w:pPr>
      <w:spacing w:after="120"/>
      <w:ind w:left="1132"/>
      <w:contextualSpacing/>
    </w:pPr>
  </w:style>
  <w:style w:type="paragraph" w:styleId="ListContinue5">
    <w:name w:val="List Continue 5"/>
    <w:basedOn w:val="Normal"/>
    <w:uiPriority w:val="99"/>
    <w:semiHidden/>
    <w:rsid w:val="00014566"/>
    <w:pPr>
      <w:spacing w:after="120"/>
      <w:ind w:left="1415"/>
      <w:contextualSpacing/>
    </w:pPr>
  </w:style>
  <w:style w:type="paragraph" w:styleId="ListNumber">
    <w:name w:val="List Number"/>
    <w:basedOn w:val="Normal"/>
    <w:uiPriority w:val="99"/>
    <w:semiHidden/>
    <w:rsid w:val="00014566"/>
    <w:pPr>
      <w:numPr>
        <w:numId w:val="9"/>
      </w:numPr>
      <w:contextualSpacing/>
    </w:pPr>
  </w:style>
  <w:style w:type="paragraph" w:styleId="ListNumber2">
    <w:name w:val="List Number 2"/>
    <w:basedOn w:val="Normal"/>
    <w:uiPriority w:val="99"/>
    <w:semiHidden/>
    <w:rsid w:val="00014566"/>
    <w:pPr>
      <w:numPr>
        <w:numId w:val="10"/>
      </w:numPr>
      <w:contextualSpacing/>
    </w:pPr>
  </w:style>
  <w:style w:type="paragraph" w:styleId="ListNumber3">
    <w:name w:val="List Number 3"/>
    <w:basedOn w:val="Normal"/>
    <w:uiPriority w:val="99"/>
    <w:semiHidden/>
    <w:rsid w:val="00014566"/>
    <w:pPr>
      <w:numPr>
        <w:numId w:val="11"/>
      </w:numPr>
      <w:contextualSpacing/>
    </w:pPr>
  </w:style>
  <w:style w:type="paragraph" w:styleId="ListNumber4">
    <w:name w:val="List Number 4"/>
    <w:basedOn w:val="Normal"/>
    <w:uiPriority w:val="99"/>
    <w:semiHidden/>
    <w:rsid w:val="00014566"/>
    <w:pPr>
      <w:numPr>
        <w:numId w:val="12"/>
      </w:numPr>
      <w:contextualSpacing/>
    </w:pPr>
  </w:style>
  <w:style w:type="paragraph" w:styleId="ListNumber5">
    <w:name w:val="List Number 5"/>
    <w:basedOn w:val="Normal"/>
    <w:uiPriority w:val="99"/>
    <w:semiHidden/>
    <w:rsid w:val="00014566"/>
    <w:pPr>
      <w:numPr>
        <w:numId w:val="13"/>
      </w:numPr>
      <w:contextualSpacing/>
    </w:pPr>
  </w:style>
  <w:style w:type="paragraph" w:styleId="MacroText">
    <w:name w:val="macro"/>
    <w:link w:val="MacroTextChar"/>
    <w:uiPriority w:val="99"/>
    <w:semiHidden/>
    <w:rsid w:val="00014566"/>
    <w:pPr>
      <w:tabs>
        <w:tab w:val="left" w:pos="480"/>
        <w:tab w:val="left" w:pos="960"/>
        <w:tab w:val="left" w:pos="1440"/>
        <w:tab w:val="left" w:pos="1920"/>
        <w:tab w:val="left" w:pos="2400"/>
        <w:tab w:val="left" w:pos="2880"/>
        <w:tab w:val="left" w:pos="3360"/>
        <w:tab w:val="left" w:pos="3840"/>
        <w:tab w:val="left" w:pos="4320"/>
      </w:tabs>
      <w:suppressAutoHyphens/>
    </w:pPr>
    <w:rPr>
      <w:rFonts w:ascii="Consolas" w:hAnsi="Consolas" w:cs="Consolas"/>
      <w:sz w:val="20"/>
      <w:szCs w:val="20"/>
      <w:lang w:val="en-GB" w:eastAsia="fr-FR"/>
    </w:rPr>
  </w:style>
  <w:style w:type="character" w:customStyle="1" w:styleId="MacroTextChar">
    <w:name w:val="Macro Text Char"/>
    <w:basedOn w:val="DefaultParagraphFont"/>
    <w:link w:val="MacroText"/>
    <w:uiPriority w:val="99"/>
    <w:semiHidden/>
    <w:rsid w:val="00014566"/>
    <w:rPr>
      <w:rFonts w:ascii="Consolas" w:hAnsi="Consolas" w:cs="Consolas"/>
      <w:sz w:val="20"/>
      <w:szCs w:val="20"/>
      <w:lang w:val="en-GB" w:eastAsia="fr-FR"/>
    </w:rPr>
  </w:style>
  <w:style w:type="table" w:styleId="MediumGrid1">
    <w:name w:val="Medium Grid 1"/>
    <w:basedOn w:val="TableNormal"/>
    <w:uiPriority w:val="99"/>
    <w:semiHidden/>
    <w:rsid w:val="00014566"/>
    <w:rPr>
      <w:lang w:val="fr-FR" w:eastAsia="fr-FR"/>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99"/>
    <w:semiHidden/>
    <w:rsid w:val="00014566"/>
    <w:rPr>
      <w:lang w:val="fr-FR" w:eastAsia="fr-FR"/>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insideV w:val="single" w:sz="8" w:space="0" w:color="0D9FFF" w:themeColor="accent1" w:themeTint="BF"/>
      </w:tblBorders>
    </w:tblPr>
    <w:tcPr>
      <w:shd w:val="clear" w:color="auto" w:fill="AFDFFF" w:themeFill="accent1" w:themeFillTint="3F"/>
    </w:tcPr>
    <w:tblStylePr w:type="firstRow">
      <w:rPr>
        <w:b/>
        <w:bCs/>
      </w:rPr>
    </w:tblStylePr>
    <w:tblStylePr w:type="lastRow">
      <w:rPr>
        <w:b/>
        <w:bCs/>
      </w:rPr>
      <w:tblPr/>
      <w:tcPr>
        <w:tcBorders>
          <w:top w:val="single" w:sz="18" w:space="0" w:color="0D9FFF" w:themeColor="accent1" w:themeTint="BF"/>
        </w:tcBorders>
      </w:tcPr>
    </w:tblStylePr>
    <w:tblStylePr w:type="firstCol">
      <w:rPr>
        <w:b/>
        <w:bCs/>
      </w:rPr>
    </w:tblStylePr>
    <w:tblStylePr w:type="lastCol">
      <w:rPr>
        <w:b/>
        <w:bCs/>
      </w:r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MediumGrid1-Accent2">
    <w:name w:val="Medium Grid 1 Accent 2"/>
    <w:basedOn w:val="TableNormal"/>
    <w:uiPriority w:val="99"/>
    <w:semiHidden/>
    <w:rsid w:val="00014566"/>
    <w:rPr>
      <w:lang w:val="fr-FR" w:eastAsia="fr-FR"/>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insideV w:val="single" w:sz="8" w:space="0" w:color="FF1010" w:themeColor="accent2" w:themeTint="BF"/>
      </w:tblBorders>
    </w:tblPr>
    <w:tcPr>
      <w:shd w:val="clear" w:color="auto" w:fill="FFB0B0" w:themeFill="accent2" w:themeFillTint="3F"/>
    </w:tcPr>
    <w:tblStylePr w:type="firstRow">
      <w:rPr>
        <w:b/>
        <w:bCs/>
      </w:rPr>
    </w:tblStylePr>
    <w:tblStylePr w:type="lastRow">
      <w:rPr>
        <w:b/>
        <w:bCs/>
      </w:rPr>
      <w:tblPr/>
      <w:tcPr>
        <w:tcBorders>
          <w:top w:val="single" w:sz="18" w:space="0" w:color="FF1010" w:themeColor="accent2" w:themeTint="BF"/>
        </w:tcBorders>
      </w:tcPr>
    </w:tblStylePr>
    <w:tblStylePr w:type="firstCol">
      <w:rPr>
        <w:b/>
        <w:bCs/>
      </w:rPr>
    </w:tblStylePr>
    <w:tblStylePr w:type="lastCol">
      <w:rPr>
        <w:b/>
        <w:bCs/>
      </w:r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MediumGrid1-Accent3">
    <w:name w:val="Medium Grid 1 Accent 3"/>
    <w:basedOn w:val="TableNormal"/>
    <w:uiPriority w:val="99"/>
    <w:semiHidden/>
    <w:rsid w:val="00014566"/>
    <w:rPr>
      <w:lang w:val="fr-FR" w:eastAsia="fr-FR"/>
    </w:rPr>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insideV w:val="single" w:sz="8" w:space="0" w:color="878787" w:themeColor="accent3" w:themeTint="BF"/>
      </w:tblBorders>
    </w:tblPr>
    <w:tcPr>
      <w:shd w:val="clear" w:color="auto" w:fill="D7D7D7" w:themeFill="accent3" w:themeFillTint="3F"/>
    </w:tcPr>
    <w:tblStylePr w:type="firstRow">
      <w:rPr>
        <w:b/>
        <w:bCs/>
      </w:rPr>
    </w:tblStylePr>
    <w:tblStylePr w:type="lastRow">
      <w:rPr>
        <w:b/>
        <w:bCs/>
      </w:rPr>
      <w:tblPr/>
      <w:tcPr>
        <w:tcBorders>
          <w:top w:val="single" w:sz="18" w:space="0" w:color="878787" w:themeColor="accent3" w:themeTint="BF"/>
        </w:tcBorders>
      </w:tcPr>
    </w:tblStylePr>
    <w:tblStylePr w:type="firstCol">
      <w:rPr>
        <w:b/>
        <w:bCs/>
      </w:rPr>
    </w:tblStylePr>
    <w:tblStylePr w:type="lastCol">
      <w:rPr>
        <w:b/>
        <w:bCs/>
      </w:r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MediumGrid1-Accent4">
    <w:name w:val="Medium Grid 1 Accent 4"/>
    <w:basedOn w:val="TableNormal"/>
    <w:uiPriority w:val="99"/>
    <w:semiHidden/>
    <w:rsid w:val="00014566"/>
    <w:rPr>
      <w:lang w:val="fr-FR" w:eastAsia="fr-FR"/>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insideV w:val="single" w:sz="8" w:space="0" w:color="B0B0B0" w:themeColor="accent4" w:themeTint="BF"/>
      </w:tblBorders>
    </w:tblPr>
    <w:tcPr>
      <w:shd w:val="clear" w:color="auto" w:fill="E5E5E5" w:themeFill="accent4" w:themeFillTint="3F"/>
    </w:tcPr>
    <w:tblStylePr w:type="firstRow">
      <w:rPr>
        <w:b/>
        <w:bCs/>
      </w:rPr>
    </w:tblStylePr>
    <w:tblStylePr w:type="lastRow">
      <w:rPr>
        <w:b/>
        <w:bCs/>
      </w:rPr>
      <w:tblPr/>
      <w:tcPr>
        <w:tcBorders>
          <w:top w:val="single" w:sz="18" w:space="0" w:color="B0B0B0" w:themeColor="accent4" w:themeTint="BF"/>
        </w:tcBorders>
      </w:tcPr>
    </w:tblStylePr>
    <w:tblStylePr w:type="firstCol">
      <w:rPr>
        <w:b/>
        <w:bCs/>
      </w:rPr>
    </w:tblStylePr>
    <w:tblStylePr w:type="lastCol">
      <w:rPr>
        <w:b/>
        <w:bCs/>
      </w:r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MediumGrid1-Accent5">
    <w:name w:val="Medium Grid 1 Accent 5"/>
    <w:basedOn w:val="TableNormal"/>
    <w:uiPriority w:val="99"/>
    <w:semiHidden/>
    <w:rsid w:val="00014566"/>
    <w:rPr>
      <w:lang w:val="fr-FR" w:eastAsia="fr-FR"/>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99"/>
    <w:semiHidden/>
    <w:rsid w:val="00014566"/>
    <w:rPr>
      <w:lang w:val="fr-FR" w:eastAsia="fr-FR"/>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0072BC" w:themeFill="background1"/>
      </w:tcPr>
    </w:tblStylePr>
  </w:style>
  <w:style w:type="table" w:styleId="MediumGrid2-Accent1">
    <w:name w:val="Medium Grid 2 Accent 1"/>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cPr>
      <w:shd w:val="clear" w:color="auto" w:fill="AFDFFF" w:themeFill="accent1" w:themeFillTint="3F"/>
    </w:tcPr>
    <w:tblStylePr w:type="firstRow">
      <w:rPr>
        <w:b/>
        <w:bCs/>
        <w:color w:val="000000" w:themeColor="text1"/>
      </w:rPr>
      <w:tblPr/>
      <w:tcPr>
        <w:shd w:val="clear" w:color="auto" w:fill="DFF2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E5FF" w:themeFill="accent1" w:themeFillTint="33"/>
      </w:tcPr>
    </w:tblStylePr>
    <w:tblStylePr w:type="band1Vert">
      <w:tblPr/>
      <w:tcPr>
        <w:shd w:val="clear" w:color="auto" w:fill="5EBFFF" w:themeFill="accent1" w:themeFillTint="7F"/>
      </w:tcPr>
    </w:tblStylePr>
    <w:tblStylePr w:type="band1Horz">
      <w:tblPr/>
      <w:tcPr>
        <w:tcBorders>
          <w:insideH w:val="single" w:sz="6" w:space="0" w:color="0072BC" w:themeColor="accent1"/>
          <w:insideV w:val="single" w:sz="6" w:space="0" w:color="0072BC" w:themeColor="accent1"/>
        </w:tcBorders>
        <w:shd w:val="clear" w:color="auto" w:fill="5EBFFF" w:themeFill="accent1" w:themeFillTint="7F"/>
      </w:tcPr>
    </w:tblStylePr>
    <w:tblStylePr w:type="nwCell">
      <w:tblPr/>
      <w:tcPr>
        <w:shd w:val="clear" w:color="auto" w:fill="0072BC" w:themeFill="background1"/>
      </w:tcPr>
    </w:tblStylePr>
  </w:style>
  <w:style w:type="table" w:styleId="MediumGrid2-Accent2">
    <w:name w:val="Medium Grid 2 Accen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cPr>
      <w:shd w:val="clear" w:color="auto" w:fill="FFB0B0" w:themeFill="accent2" w:themeFillTint="3F"/>
    </w:tcPr>
    <w:tblStylePr w:type="firstRow">
      <w:rPr>
        <w:b/>
        <w:bCs/>
        <w:color w:val="000000" w:themeColor="text1"/>
      </w:rPr>
      <w:tblPr/>
      <w:tcPr>
        <w:shd w:val="clear" w:color="auto" w:fill="FFDFD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FBF" w:themeFill="accent2" w:themeFillTint="33"/>
      </w:tcPr>
    </w:tblStylePr>
    <w:tblStylePr w:type="band1Vert">
      <w:tblPr/>
      <w:tcPr>
        <w:shd w:val="clear" w:color="auto" w:fill="FF6060" w:themeFill="accent2" w:themeFillTint="7F"/>
      </w:tcPr>
    </w:tblStylePr>
    <w:tblStylePr w:type="band1Horz">
      <w:tblPr/>
      <w:tcPr>
        <w:tcBorders>
          <w:insideH w:val="single" w:sz="6" w:space="0" w:color="C00000" w:themeColor="accent2"/>
          <w:insideV w:val="single" w:sz="6" w:space="0" w:color="C00000" w:themeColor="accent2"/>
        </w:tcBorders>
        <w:shd w:val="clear" w:color="auto" w:fill="FF6060" w:themeFill="accent2" w:themeFillTint="7F"/>
      </w:tcPr>
    </w:tblStylePr>
    <w:tblStylePr w:type="nwCell">
      <w:tblPr/>
      <w:tcPr>
        <w:shd w:val="clear" w:color="auto" w:fill="0072BC" w:themeFill="background1"/>
      </w:tcPr>
    </w:tblStylePr>
  </w:style>
  <w:style w:type="table" w:styleId="MediumGrid2-Accent3">
    <w:name w:val="Medium Grid 2 Accent 3"/>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cPr>
      <w:shd w:val="clear" w:color="auto" w:fill="D7D7D7" w:themeFill="accent3" w:themeFillTint="3F"/>
    </w:tcPr>
    <w:tblStylePr w:type="firstRow">
      <w:rPr>
        <w:b/>
        <w:bCs/>
        <w:color w:val="000000" w:themeColor="text1"/>
      </w:rPr>
      <w:tblPr/>
      <w:tcPr>
        <w:shd w:val="clear" w:color="auto" w:fill="EF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3" w:themeFillTint="33"/>
      </w:tcPr>
    </w:tblStylePr>
    <w:tblStylePr w:type="band1Vert">
      <w:tblPr/>
      <w:tcPr>
        <w:shd w:val="clear" w:color="auto" w:fill="AFAFAF" w:themeFill="accent3" w:themeFillTint="7F"/>
      </w:tcPr>
    </w:tblStylePr>
    <w:tblStylePr w:type="band1Horz">
      <w:tblPr/>
      <w:tcPr>
        <w:tcBorders>
          <w:insideH w:val="single" w:sz="6" w:space="0" w:color="5F5F5F" w:themeColor="accent3"/>
          <w:insideV w:val="single" w:sz="6" w:space="0" w:color="5F5F5F" w:themeColor="accent3"/>
        </w:tcBorders>
        <w:shd w:val="clear" w:color="auto" w:fill="AFAFAF" w:themeFill="accent3" w:themeFillTint="7F"/>
      </w:tcPr>
    </w:tblStylePr>
    <w:tblStylePr w:type="nwCell">
      <w:tblPr/>
      <w:tcPr>
        <w:shd w:val="clear" w:color="auto" w:fill="0072BC" w:themeFill="background1"/>
      </w:tcPr>
    </w:tblStylePr>
  </w:style>
  <w:style w:type="table" w:styleId="MediumGrid2-Accent4">
    <w:name w:val="Medium Grid 2 Accent 4"/>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cPr>
      <w:shd w:val="clear" w:color="auto" w:fill="E5E5E5" w:themeFill="accent4" w:themeFillTint="3F"/>
    </w:tcPr>
    <w:tblStylePr w:type="firstRow">
      <w:rPr>
        <w:b/>
        <w:bCs/>
        <w:color w:val="000000" w:themeColor="text1"/>
      </w:rPr>
      <w:tblPr/>
      <w:tcPr>
        <w:shd w:val="clear" w:color="auto" w:fill="F4F4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4" w:themeFillTint="33"/>
      </w:tcPr>
    </w:tblStylePr>
    <w:tblStylePr w:type="band1Vert">
      <w:tblPr/>
      <w:tcPr>
        <w:shd w:val="clear" w:color="auto" w:fill="CACACA" w:themeFill="accent4" w:themeFillTint="7F"/>
      </w:tcPr>
    </w:tblStylePr>
    <w:tblStylePr w:type="band1Horz">
      <w:tblPr/>
      <w:tcPr>
        <w:tcBorders>
          <w:insideH w:val="single" w:sz="6" w:space="0" w:color="969696" w:themeColor="accent4"/>
          <w:insideV w:val="single" w:sz="6" w:space="0" w:color="969696" w:themeColor="accent4"/>
        </w:tcBorders>
        <w:shd w:val="clear" w:color="auto" w:fill="CACACA" w:themeFill="accent4" w:themeFillTint="7F"/>
      </w:tcPr>
    </w:tblStylePr>
    <w:tblStylePr w:type="nwCell">
      <w:tblPr/>
      <w:tcPr>
        <w:shd w:val="clear" w:color="auto" w:fill="0072BC" w:themeFill="background1"/>
      </w:tcPr>
    </w:tblStylePr>
  </w:style>
  <w:style w:type="table" w:styleId="MediumGrid2-Accent5">
    <w:name w:val="Medium Grid 2 Accent 5"/>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0072BC" w:themeFill="background1"/>
      </w:tcPr>
    </w:tblStylePr>
  </w:style>
  <w:style w:type="table" w:styleId="MediumGrid2-Accent6">
    <w:name w:val="Medium Grid 2 Accent 6"/>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0072BC" w:themeFill="background1"/>
      </w:tcPr>
    </w:tblStylePr>
  </w:style>
  <w:style w:type="table" w:styleId="MediumGrid3">
    <w:name w:val="Medium Grid 3"/>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C0C0C0" w:themeFill="tex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0000" w:themeFill="tex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0000" w:themeFill="tex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808080" w:themeFill="tex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808080" w:themeFill="text1" w:themeFillTint="7F"/>
      </w:tcPr>
    </w:tblStylePr>
  </w:style>
  <w:style w:type="table" w:styleId="MediumGrid3-Accent1">
    <w:name w:val="Medium Grid 3 Accent 1"/>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AFDFFF" w:themeFill="accen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72BC" w:themeFill="accen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72BC" w:themeFill="accen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5EBFFF" w:themeFill="accen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5EBFFF" w:themeFill="accent1" w:themeFillTint="7F"/>
      </w:tcPr>
    </w:tblStylePr>
  </w:style>
  <w:style w:type="table" w:styleId="MediumGrid3-Accent2">
    <w:name w:val="Medium Grid 3 Accent 2"/>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FFB0B0" w:themeFill="accent2"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C00000" w:themeFill="accent2"/>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C00000" w:themeFill="accent2"/>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FF6060" w:themeFill="accent2"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FF6060" w:themeFill="accent2" w:themeFillTint="7F"/>
      </w:tcPr>
    </w:tblStylePr>
  </w:style>
  <w:style w:type="table" w:styleId="MediumGrid3-Accent3">
    <w:name w:val="Medium Grid 3 Accent 3"/>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3"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3"/>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3"/>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3"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3" w:themeFillTint="7F"/>
      </w:tcPr>
    </w:tblStylePr>
  </w:style>
  <w:style w:type="table" w:styleId="MediumGrid3-Accent4">
    <w:name w:val="Medium Grid 3 Accent 4"/>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E5E5E5" w:themeFill="accent4"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969696" w:themeFill="accent4"/>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969696" w:themeFill="accent4"/>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CACACA" w:themeFill="accent4"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CACACA" w:themeFill="accent4" w:themeFillTint="7F"/>
      </w:tcPr>
    </w:tblStylePr>
  </w:style>
  <w:style w:type="table" w:styleId="MediumGrid3-Accent5">
    <w:name w:val="Medium Grid 3 Accent 5"/>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5"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5"/>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5"/>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5"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5" w:themeFillTint="7F"/>
      </w:tcPr>
    </w:tblStylePr>
  </w:style>
  <w:style w:type="table" w:styleId="MediumGrid3-Accent6">
    <w:name w:val="Medium Grid 3 Accent 6"/>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3D3D3" w:themeFill="accent6"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4D4D4D" w:themeFill="accent6"/>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4D4D4D" w:themeFill="accent6"/>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6A6A6" w:themeFill="accent6"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6A6A6" w:themeFill="accent6" w:themeFillTint="7F"/>
      </w:tcPr>
    </w:tblStylePr>
  </w:style>
  <w:style w:type="table" w:styleId="MediumList1">
    <w:name w:val="Medium List 1"/>
    <w:basedOn w:val="TableNormal"/>
    <w:uiPriority w:val="99"/>
    <w:semiHidden/>
    <w:rsid w:val="00014566"/>
    <w:rPr>
      <w:color w:val="000000" w:themeColor="text1"/>
      <w:lang w:val="fr-FR" w:eastAsia="fr-FR"/>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C6C6C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rsid w:val="00014566"/>
    <w:rPr>
      <w:color w:val="000000" w:themeColor="text1"/>
      <w:lang w:val="fr-FR" w:eastAsia="fr-FR"/>
    </w:rPr>
    <w:tblPr>
      <w:tblStyleRowBandSize w:val="1"/>
      <w:tblStyleColBandSize w:val="1"/>
      <w:tblBorders>
        <w:top w:val="single" w:sz="8" w:space="0" w:color="0072BC" w:themeColor="accent1"/>
        <w:bottom w:val="single" w:sz="8" w:space="0" w:color="0072BC" w:themeColor="accent1"/>
      </w:tblBorders>
    </w:tblPr>
    <w:tblStylePr w:type="firstRow">
      <w:rPr>
        <w:rFonts w:asciiTheme="majorHAnsi" w:eastAsiaTheme="majorEastAsia" w:hAnsiTheme="majorHAnsi" w:cstheme="majorBidi"/>
      </w:rPr>
      <w:tblPr/>
      <w:tcPr>
        <w:tcBorders>
          <w:top w:val="nil"/>
          <w:bottom w:val="single" w:sz="8" w:space="0" w:color="0072BC" w:themeColor="accent1"/>
        </w:tcBorders>
      </w:tcPr>
    </w:tblStylePr>
    <w:tblStylePr w:type="lastRow">
      <w:rPr>
        <w:b/>
        <w:bCs/>
        <w:color w:val="C6C6C6" w:themeColor="text2"/>
      </w:rPr>
      <w:tblPr/>
      <w:tcPr>
        <w:tcBorders>
          <w:top w:val="single" w:sz="8" w:space="0" w:color="0072BC" w:themeColor="accent1"/>
          <w:bottom w:val="single" w:sz="8" w:space="0" w:color="0072BC" w:themeColor="accent1"/>
        </w:tcBorders>
      </w:tcPr>
    </w:tblStylePr>
    <w:tblStylePr w:type="firstCol">
      <w:rPr>
        <w:b/>
        <w:bCs/>
      </w:rPr>
    </w:tblStylePr>
    <w:tblStylePr w:type="lastCol">
      <w:rPr>
        <w:b/>
        <w:bCs/>
      </w:rPr>
      <w:tblPr/>
      <w:tcPr>
        <w:tcBorders>
          <w:top w:val="single" w:sz="8" w:space="0" w:color="0072BC" w:themeColor="accent1"/>
          <w:bottom w:val="single" w:sz="8" w:space="0" w:color="0072BC" w:themeColor="accent1"/>
        </w:tcBorders>
      </w:tcPr>
    </w:tblStylePr>
    <w:tblStylePr w:type="band1Vert">
      <w:tblPr/>
      <w:tcPr>
        <w:shd w:val="clear" w:color="auto" w:fill="AFDFFF" w:themeFill="accent1" w:themeFillTint="3F"/>
      </w:tcPr>
    </w:tblStylePr>
    <w:tblStylePr w:type="band1Horz">
      <w:tblPr/>
      <w:tcPr>
        <w:shd w:val="clear" w:color="auto" w:fill="AFDFFF" w:themeFill="accent1" w:themeFillTint="3F"/>
      </w:tcPr>
    </w:tblStylePr>
  </w:style>
  <w:style w:type="table" w:styleId="MediumList1-Accent2">
    <w:name w:val="Medium List 1 Accent 2"/>
    <w:basedOn w:val="TableNormal"/>
    <w:uiPriority w:val="99"/>
    <w:semiHidden/>
    <w:rsid w:val="00014566"/>
    <w:rPr>
      <w:color w:val="000000" w:themeColor="text1"/>
      <w:lang w:val="fr-FR" w:eastAsia="fr-FR"/>
    </w:rPr>
    <w:tblPr>
      <w:tblStyleRowBandSize w:val="1"/>
      <w:tblStyleColBandSize w:val="1"/>
      <w:tblBorders>
        <w:top w:val="single" w:sz="8" w:space="0" w:color="C00000" w:themeColor="accent2"/>
        <w:bottom w:val="single" w:sz="8" w:space="0" w:color="C00000" w:themeColor="accent2"/>
      </w:tblBorders>
    </w:tblPr>
    <w:tblStylePr w:type="firstRow">
      <w:rPr>
        <w:rFonts w:asciiTheme="majorHAnsi" w:eastAsiaTheme="majorEastAsia" w:hAnsiTheme="majorHAnsi" w:cstheme="majorBidi"/>
      </w:rPr>
      <w:tblPr/>
      <w:tcPr>
        <w:tcBorders>
          <w:top w:val="nil"/>
          <w:bottom w:val="single" w:sz="8" w:space="0" w:color="C00000" w:themeColor="accent2"/>
        </w:tcBorders>
      </w:tcPr>
    </w:tblStylePr>
    <w:tblStylePr w:type="lastRow">
      <w:rPr>
        <w:b/>
        <w:bCs/>
        <w:color w:val="C6C6C6" w:themeColor="text2"/>
      </w:rPr>
      <w:tblPr/>
      <w:tcPr>
        <w:tcBorders>
          <w:top w:val="single" w:sz="8" w:space="0" w:color="C00000" w:themeColor="accent2"/>
          <w:bottom w:val="single" w:sz="8" w:space="0" w:color="C00000" w:themeColor="accent2"/>
        </w:tcBorders>
      </w:tcPr>
    </w:tblStylePr>
    <w:tblStylePr w:type="firstCol">
      <w:rPr>
        <w:b/>
        <w:bCs/>
      </w:rPr>
    </w:tblStylePr>
    <w:tblStylePr w:type="lastCol">
      <w:rPr>
        <w:b/>
        <w:bCs/>
      </w:rPr>
      <w:tblPr/>
      <w:tcPr>
        <w:tcBorders>
          <w:top w:val="single" w:sz="8" w:space="0" w:color="C00000" w:themeColor="accent2"/>
          <w:bottom w:val="single" w:sz="8" w:space="0" w:color="C00000" w:themeColor="accent2"/>
        </w:tcBorders>
      </w:tcPr>
    </w:tblStylePr>
    <w:tblStylePr w:type="band1Vert">
      <w:tblPr/>
      <w:tcPr>
        <w:shd w:val="clear" w:color="auto" w:fill="FFB0B0" w:themeFill="accent2" w:themeFillTint="3F"/>
      </w:tcPr>
    </w:tblStylePr>
    <w:tblStylePr w:type="band1Horz">
      <w:tblPr/>
      <w:tcPr>
        <w:shd w:val="clear" w:color="auto" w:fill="FFB0B0" w:themeFill="accent2" w:themeFillTint="3F"/>
      </w:tcPr>
    </w:tblStylePr>
  </w:style>
  <w:style w:type="table" w:styleId="MediumList1-Accent3">
    <w:name w:val="Medium List 1 Accent 3"/>
    <w:basedOn w:val="TableNormal"/>
    <w:uiPriority w:val="99"/>
    <w:semiHidden/>
    <w:rsid w:val="00014566"/>
    <w:rPr>
      <w:color w:val="000000" w:themeColor="text1"/>
      <w:lang w:val="fr-FR" w:eastAsia="fr-FR"/>
    </w:rPr>
    <w:tblPr>
      <w:tblStyleRowBandSize w:val="1"/>
      <w:tblStyleColBandSize w:val="1"/>
      <w:tblBorders>
        <w:top w:val="single" w:sz="8" w:space="0" w:color="5F5F5F" w:themeColor="accent3"/>
        <w:bottom w:val="single" w:sz="8" w:space="0" w:color="5F5F5F" w:themeColor="accent3"/>
      </w:tblBorders>
    </w:tblPr>
    <w:tblStylePr w:type="firstRow">
      <w:rPr>
        <w:rFonts w:asciiTheme="majorHAnsi" w:eastAsiaTheme="majorEastAsia" w:hAnsiTheme="majorHAnsi" w:cstheme="majorBidi"/>
      </w:rPr>
      <w:tblPr/>
      <w:tcPr>
        <w:tcBorders>
          <w:top w:val="nil"/>
          <w:bottom w:val="single" w:sz="8" w:space="0" w:color="5F5F5F" w:themeColor="accent3"/>
        </w:tcBorders>
      </w:tcPr>
    </w:tblStylePr>
    <w:tblStylePr w:type="lastRow">
      <w:rPr>
        <w:b/>
        <w:bCs/>
        <w:color w:val="C6C6C6" w:themeColor="text2"/>
      </w:rPr>
      <w:tblPr/>
      <w:tcPr>
        <w:tcBorders>
          <w:top w:val="single" w:sz="8" w:space="0" w:color="5F5F5F" w:themeColor="accent3"/>
          <w:bottom w:val="single" w:sz="8" w:space="0" w:color="5F5F5F" w:themeColor="accent3"/>
        </w:tcBorders>
      </w:tcPr>
    </w:tblStylePr>
    <w:tblStylePr w:type="firstCol">
      <w:rPr>
        <w:b/>
        <w:bCs/>
      </w:rPr>
    </w:tblStylePr>
    <w:tblStylePr w:type="lastCol">
      <w:rPr>
        <w:b/>
        <w:bCs/>
      </w:rPr>
      <w:tblPr/>
      <w:tcPr>
        <w:tcBorders>
          <w:top w:val="single" w:sz="8" w:space="0" w:color="5F5F5F" w:themeColor="accent3"/>
          <w:bottom w:val="single" w:sz="8" w:space="0" w:color="5F5F5F" w:themeColor="accent3"/>
        </w:tcBorders>
      </w:tcPr>
    </w:tblStylePr>
    <w:tblStylePr w:type="band1Vert">
      <w:tblPr/>
      <w:tcPr>
        <w:shd w:val="clear" w:color="auto" w:fill="D7D7D7" w:themeFill="accent3" w:themeFillTint="3F"/>
      </w:tcPr>
    </w:tblStylePr>
    <w:tblStylePr w:type="band1Horz">
      <w:tblPr/>
      <w:tcPr>
        <w:shd w:val="clear" w:color="auto" w:fill="D7D7D7" w:themeFill="accent3" w:themeFillTint="3F"/>
      </w:tcPr>
    </w:tblStylePr>
  </w:style>
  <w:style w:type="table" w:styleId="MediumList1-Accent4">
    <w:name w:val="Medium List 1 Accent 4"/>
    <w:basedOn w:val="TableNormal"/>
    <w:uiPriority w:val="99"/>
    <w:semiHidden/>
    <w:rsid w:val="00014566"/>
    <w:rPr>
      <w:color w:val="000000" w:themeColor="text1"/>
      <w:lang w:val="fr-FR" w:eastAsia="fr-FR"/>
    </w:rPr>
    <w:tblPr>
      <w:tblStyleRowBandSize w:val="1"/>
      <w:tblStyleColBandSize w:val="1"/>
      <w:tblBorders>
        <w:top w:val="single" w:sz="8" w:space="0" w:color="969696" w:themeColor="accent4"/>
        <w:bottom w:val="single" w:sz="8" w:space="0" w:color="969696" w:themeColor="accent4"/>
      </w:tblBorders>
    </w:tblPr>
    <w:tblStylePr w:type="firstRow">
      <w:rPr>
        <w:rFonts w:asciiTheme="majorHAnsi" w:eastAsiaTheme="majorEastAsia" w:hAnsiTheme="majorHAnsi" w:cstheme="majorBidi"/>
      </w:rPr>
      <w:tblPr/>
      <w:tcPr>
        <w:tcBorders>
          <w:top w:val="nil"/>
          <w:bottom w:val="single" w:sz="8" w:space="0" w:color="969696" w:themeColor="accent4"/>
        </w:tcBorders>
      </w:tcPr>
    </w:tblStylePr>
    <w:tblStylePr w:type="lastRow">
      <w:rPr>
        <w:b/>
        <w:bCs/>
        <w:color w:val="C6C6C6" w:themeColor="text2"/>
      </w:rPr>
      <w:tblPr/>
      <w:tcPr>
        <w:tcBorders>
          <w:top w:val="single" w:sz="8" w:space="0" w:color="969696" w:themeColor="accent4"/>
          <w:bottom w:val="single" w:sz="8" w:space="0" w:color="969696" w:themeColor="accent4"/>
        </w:tcBorders>
      </w:tcPr>
    </w:tblStylePr>
    <w:tblStylePr w:type="firstCol">
      <w:rPr>
        <w:b/>
        <w:bCs/>
      </w:rPr>
    </w:tblStylePr>
    <w:tblStylePr w:type="lastCol">
      <w:rPr>
        <w:b/>
        <w:bCs/>
      </w:rPr>
      <w:tblPr/>
      <w:tcPr>
        <w:tcBorders>
          <w:top w:val="single" w:sz="8" w:space="0" w:color="969696" w:themeColor="accent4"/>
          <w:bottom w:val="single" w:sz="8" w:space="0" w:color="969696" w:themeColor="accent4"/>
        </w:tcBorders>
      </w:tcPr>
    </w:tblStylePr>
    <w:tblStylePr w:type="band1Vert">
      <w:tblPr/>
      <w:tcPr>
        <w:shd w:val="clear" w:color="auto" w:fill="E5E5E5" w:themeFill="accent4" w:themeFillTint="3F"/>
      </w:tcPr>
    </w:tblStylePr>
    <w:tblStylePr w:type="band1Horz">
      <w:tblPr/>
      <w:tcPr>
        <w:shd w:val="clear" w:color="auto" w:fill="E5E5E5" w:themeFill="accent4" w:themeFillTint="3F"/>
      </w:tcPr>
    </w:tblStylePr>
  </w:style>
  <w:style w:type="table" w:styleId="MediumList1-Accent5">
    <w:name w:val="Medium List 1 Accent 5"/>
    <w:basedOn w:val="TableNormal"/>
    <w:uiPriority w:val="99"/>
    <w:semiHidden/>
    <w:rsid w:val="00014566"/>
    <w:rPr>
      <w:color w:val="000000" w:themeColor="text1"/>
      <w:lang w:val="fr-FR" w:eastAsia="fr-FR"/>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C6C6C6"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99"/>
    <w:semiHidden/>
    <w:rsid w:val="00014566"/>
    <w:rPr>
      <w:color w:val="000000" w:themeColor="text1"/>
      <w:lang w:val="fr-FR" w:eastAsia="fr-FR"/>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C6C6C6"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0072BC" w:themeFill="background1"/>
      </w:tcPr>
    </w:tblStylePr>
    <w:tblStylePr w:type="lastRow">
      <w:tblPr/>
      <w:tcPr>
        <w:tcBorders>
          <w:top w:val="single" w:sz="8" w:space="0" w:color="000000" w:themeColor="tex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0000" w:themeColor="text1"/>
          <w:insideH w:val="nil"/>
          <w:insideV w:val="nil"/>
        </w:tcBorders>
        <w:shd w:val="clear" w:color="auto" w:fill="0072BC" w:themeFill="background1"/>
      </w:tcPr>
    </w:tblStylePr>
    <w:tblStylePr w:type="lastCol">
      <w:tblPr/>
      <w:tcPr>
        <w:tcBorders>
          <w:top w:val="nil"/>
          <w:left w:val="single" w:sz="8" w:space="0" w:color="000000" w:themeColor="tex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1">
    <w:name w:val="Medium List 2 Accent 1"/>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rPr>
        <w:sz w:val="24"/>
        <w:szCs w:val="24"/>
      </w:rPr>
      <w:tblPr/>
      <w:tcPr>
        <w:tcBorders>
          <w:top w:val="nil"/>
          <w:left w:val="nil"/>
          <w:bottom w:val="single" w:sz="24" w:space="0" w:color="0072BC" w:themeColor="accent1"/>
          <w:right w:val="nil"/>
          <w:insideH w:val="nil"/>
          <w:insideV w:val="nil"/>
        </w:tcBorders>
        <w:shd w:val="clear" w:color="auto" w:fill="0072BC" w:themeFill="background1"/>
      </w:tcPr>
    </w:tblStylePr>
    <w:tblStylePr w:type="lastRow">
      <w:tblPr/>
      <w:tcPr>
        <w:tcBorders>
          <w:top w:val="single" w:sz="8" w:space="0" w:color="0072BC" w:themeColor="accen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72BC" w:themeColor="accent1"/>
          <w:insideH w:val="nil"/>
          <w:insideV w:val="nil"/>
        </w:tcBorders>
        <w:shd w:val="clear" w:color="auto" w:fill="0072BC" w:themeFill="background1"/>
      </w:tcPr>
    </w:tblStylePr>
    <w:tblStylePr w:type="lastCol">
      <w:tblPr/>
      <w:tcPr>
        <w:tcBorders>
          <w:top w:val="nil"/>
          <w:left w:val="single" w:sz="8" w:space="0" w:color="0072BC" w:themeColor="accen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top w:val="nil"/>
          <w:bottom w:val="nil"/>
          <w:insideH w:val="nil"/>
          <w:insideV w:val="nil"/>
        </w:tcBorders>
        <w:shd w:val="clear" w:color="auto" w:fill="AFDFFF" w:themeFill="accen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2">
    <w:name w:val="Medium List 2 Accen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rPr>
        <w:sz w:val="24"/>
        <w:szCs w:val="24"/>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tblPr/>
      <w:tcPr>
        <w:tcBorders>
          <w:top w:val="single" w:sz="8" w:space="0" w:color="C00000" w:themeColor="accent2"/>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C00000" w:themeColor="accent2"/>
          <w:insideH w:val="nil"/>
          <w:insideV w:val="nil"/>
        </w:tcBorders>
        <w:shd w:val="clear" w:color="auto" w:fill="0072BC" w:themeFill="background1"/>
      </w:tcPr>
    </w:tblStylePr>
    <w:tblStylePr w:type="lastCol">
      <w:tblPr/>
      <w:tcPr>
        <w:tcBorders>
          <w:top w:val="nil"/>
          <w:left w:val="single" w:sz="8" w:space="0" w:color="C00000" w:themeColor="accent2"/>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top w:val="nil"/>
          <w:bottom w:val="nil"/>
          <w:insideH w:val="nil"/>
          <w:insideV w:val="nil"/>
        </w:tcBorders>
        <w:shd w:val="clear" w:color="auto" w:fill="FFB0B0" w:themeFill="accent2"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3">
    <w:name w:val="Medium List 2 Accent 3"/>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rPr>
        <w:sz w:val="24"/>
        <w:szCs w:val="24"/>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tblPr/>
      <w:tcPr>
        <w:tcBorders>
          <w:top w:val="single" w:sz="8" w:space="0" w:color="5F5F5F" w:themeColor="accent3"/>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3"/>
          <w:insideH w:val="nil"/>
          <w:insideV w:val="nil"/>
        </w:tcBorders>
        <w:shd w:val="clear" w:color="auto" w:fill="0072BC" w:themeFill="background1"/>
      </w:tcPr>
    </w:tblStylePr>
    <w:tblStylePr w:type="lastCol">
      <w:tblPr/>
      <w:tcPr>
        <w:tcBorders>
          <w:top w:val="nil"/>
          <w:left w:val="single" w:sz="8" w:space="0" w:color="5F5F5F" w:themeColor="accent3"/>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top w:val="nil"/>
          <w:bottom w:val="nil"/>
          <w:insideH w:val="nil"/>
          <w:insideV w:val="nil"/>
        </w:tcBorders>
        <w:shd w:val="clear" w:color="auto" w:fill="D7D7D7" w:themeFill="accent3"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4">
    <w:name w:val="Medium List 2 Accent 4"/>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rPr>
        <w:sz w:val="24"/>
        <w:szCs w:val="24"/>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tblPr/>
      <w:tcPr>
        <w:tcBorders>
          <w:top w:val="single" w:sz="8" w:space="0" w:color="969696" w:themeColor="accent4"/>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969696" w:themeColor="accent4"/>
          <w:insideH w:val="nil"/>
          <w:insideV w:val="nil"/>
        </w:tcBorders>
        <w:shd w:val="clear" w:color="auto" w:fill="0072BC" w:themeFill="background1"/>
      </w:tcPr>
    </w:tblStylePr>
    <w:tblStylePr w:type="lastCol">
      <w:tblPr/>
      <w:tcPr>
        <w:tcBorders>
          <w:top w:val="nil"/>
          <w:left w:val="single" w:sz="8" w:space="0" w:color="969696" w:themeColor="accent4"/>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top w:val="nil"/>
          <w:bottom w:val="nil"/>
          <w:insideH w:val="nil"/>
          <w:insideV w:val="nil"/>
        </w:tcBorders>
        <w:shd w:val="clear" w:color="auto" w:fill="E5E5E5" w:themeFill="accent4"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5">
    <w:name w:val="Medium List 2 Accent 5"/>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tblPr/>
      <w:tcPr>
        <w:tcBorders>
          <w:top w:val="single" w:sz="8" w:space="0" w:color="5F5F5F" w:themeColor="accent5"/>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5"/>
          <w:insideH w:val="nil"/>
          <w:insideV w:val="nil"/>
        </w:tcBorders>
        <w:shd w:val="clear" w:color="auto" w:fill="0072BC" w:themeFill="background1"/>
      </w:tcPr>
    </w:tblStylePr>
    <w:tblStylePr w:type="lastCol">
      <w:tblPr/>
      <w:tcPr>
        <w:tcBorders>
          <w:top w:val="nil"/>
          <w:left w:val="single" w:sz="8" w:space="0" w:color="5F5F5F" w:themeColor="accent5"/>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6">
    <w:name w:val="Medium List 2 Accent 6"/>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tblPr/>
      <w:tcPr>
        <w:tcBorders>
          <w:top w:val="single" w:sz="8" w:space="0" w:color="4D4D4D" w:themeColor="accent6"/>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4D4D4D" w:themeColor="accent6"/>
          <w:insideH w:val="nil"/>
          <w:insideV w:val="nil"/>
        </w:tcBorders>
        <w:shd w:val="clear" w:color="auto" w:fill="0072BC" w:themeFill="background1"/>
      </w:tcPr>
    </w:tblStylePr>
    <w:tblStylePr w:type="lastCol">
      <w:tblPr/>
      <w:tcPr>
        <w:tcBorders>
          <w:top w:val="nil"/>
          <w:left w:val="single" w:sz="8" w:space="0" w:color="4D4D4D" w:themeColor="accent6"/>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Shading1">
    <w:name w:val="Medium Shading 1"/>
    <w:basedOn w:val="TableNormal"/>
    <w:uiPriority w:val="99"/>
    <w:semiHidden/>
    <w:rsid w:val="00014566"/>
    <w:rPr>
      <w:lang w:val="fr-FR" w:eastAsia="fr-FR"/>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0072BC"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rsid w:val="00014566"/>
    <w:rPr>
      <w:lang w:val="fr-FR" w:eastAsia="fr-FR"/>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tblBorders>
    </w:tblPr>
    <w:tblStylePr w:type="firstRow">
      <w:pPr>
        <w:spacing w:before="0" w:after="0" w:line="240" w:lineRule="auto"/>
      </w:pPr>
      <w:rPr>
        <w:b/>
        <w:bCs/>
        <w:color w:val="0072BC" w:themeColor="background1"/>
      </w:rPr>
      <w:tblPr/>
      <w:tcPr>
        <w:tc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shd w:val="clear" w:color="auto" w:fill="0072BC" w:themeFill="accent1"/>
      </w:tcPr>
    </w:tblStylePr>
    <w:tblStylePr w:type="lastRow">
      <w:pPr>
        <w:spacing w:before="0" w:after="0" w:line="240" w:lineRule="auto"/>
      </w:pPr>
      <w:rPr>
        <w:b/>
        <w:bCs/>
      </w:rPr>
      <w:tblPr/>
      <w:tcPr>
        <w:tcBorders>
          <w:top w:val="double" w:sz="6"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DFFF" w:themeFill="accent1" w:themeFillTint="3F"/>
      </w:tcPr>
    </w:tblStylePr>
    <w:tblStylePr w:type="band1Horz">
      <w:tblPr/>
      <w:tcPr>
        <w:tcBorders>
          <w:insideH w:val="nil"/>
          <w:insideV w:val="nil"/>
        </w:tcBorders>
        <w:shd w:val="clear" w:color="auto" w:fill="AFDF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rsid w:val="00014566"/>
    <w:rPr>
      <w:lang w:val="fr-FR" w:eastAsia="fr-FR"/>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tblBorders>
    </w:tblPr>
    <w:tblStylePr w:type="firstRow">
      <w:pPr>
        <w:spacing w:before="0" w:after="0" w:line="240" w:lineRule="auto"/>
      </w:pPr>
      <w:rPr>
        <w:b/>
        <w:bCs/>
        <w:color w:val="0072BC" w:themeColor="background1"/>
      </w:rPr>
      <w:tblPr/>
      <w:tcPr>
        <w:tc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shd w:val="clear" w:color="auto" w:fill="C00000" w:themeFill="accent2"/>
      </w:tcPr>
    </w:tblStylePr>
    <w:tblStylePr w:type="lastRow">
      <w:pPr>
        <w:spacing w:before="0" w:after="0" w:line="240" w:lineRule="auto"/>
      </w:pPr>
      <w:rPr>
        <w:b/>
        <w:bCs/>
      </w:rPr>
      <w:tblPr/>
      <w:tcPr>
        <w:tcBorders>
          <w:top w:val="double" w:sz="6"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B0B0" w:themeFill="accent2" w:themeFillTint="3F"/>
      </w:tcPr>
    </w:tblStylePr>
    <w:tblStylePr w:type="band1Horz">
      <w:tblPr/>
      <w:tcPr>
        <w:tcBorders>
          <w:insideH w:val="nil"/>
          <w:insideV w:val="nil"/>
        </w:tcBorders>
        <w:shd w:val="clear" w:color="auto" w:fill="FFB0B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rsid w:val="00014566"/>
    <w:rPr>
      <w:lang w:val="fr-FR" w:eastAsia="fr-FR"/>
    </w:rPr>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tblBorders>
    </w:tblPr>
    <w:tblStylePr w:type="firstRow">
      <w:pPr>
        <w:spacing w:before="0" w:after="0" w:line="240" w:lineRule="auto"/>
      </w:pPr>
      <w:rPr>
        <w:b/>
        <w:bCs/>
        <w:color w:val="0072BC" w:themeColor="background1"/>
      </w:rPr>
      <w:tblPr/>
      <w:tcPr>
        <w:tc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shd w:val="clear" w:color="auto" w:fill="5F5F5F" w:themeFill="accent3"/>
      </w:tcPr>
    </w:tblStylePr>
    <w:tblStylePr w:type="lastRow">
      <w:pPr>
        <w:spacing w:before="0" w:after="0" w:line="240" w:lineRule="auto"/>
      </w:pPr>
      <w:rPr>
        <w:b/>
        <w:bCs/>
      </w:rPr>
      <w:tblPr/>
      <w:tcPr>
        <w:tcBorders>
          <w:top w:val="double" w:sz="6"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3" w:themeFillTint="3F"/>
      </w:tcPr>
    </w:tblStylePr>
    <w:tblStylePr w:type="band1Horz">
      <w:tblPr/>
      <w:tcPr>
        <w:tcBorders>
          <w:insideH w:val="nil"/>
          <w:insideV w:val="nil"/>
        </w:tcBorders>
        <w:shd w:val="clear" w:color="auto" w:fill="D7D7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rsid w:val="00014566"/>
    <w:rPr>
      <w:lang w:val="fr-FR" w:eastAsia="fr-FR"/>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tblBorders>
    </w:tblPr>
    <w:tblStylePr w:type="firstRow">
      <w:pPr>
        <w:spacing w:before="0" w:after="0" w:line="240" w:lineRule="auto"/>
      </w:pPr>
      <w:rPr>
        <w:b/>
        <w:bCs/>
        <w:color w:val="0072BC" w:themeColor="background1"/>
      </w:rPr>
      <w:tblPr/>
      <w:tcPr>
        <w:tc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shd w:val="clear" w:color="auto" w:fill="969696" w:themeFill="accent4"/>
      </w:tcPr>
    </w:tblStylePr>
    <w:tblStylePr w:type="lastRow">
      <w:pPr>
        <w:spacing w:before="0" w:after="0" w:line="240" w:lineRule="auto"/>
      </w:pPr>
      <w:rPr>
        <w:b/>
        <w:bCs/>
      </w:rPr>
      <w:tblPr/>
      <w:tcPr>
        <w:tcBorders>
          <w:top w:val="double" w:sz="6"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4" w:themeFillTint="3F"/>
      </w:tcPr>
    </w:tblStylePr>
    <w:tblStylePr w:type="band1Horz">
      <w:tblPr/>
      <w:tcPr>
        <w:tcBorders>
          <w:insideH w:val="nil"/>
          <w:insideV w:val="nil"/>
        </w:tcBorders>
        <w:shd w:val="clear" w:color="auto" w:fill="E5E5E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rsid w:val="00014566"/>
    <w:rPr>
      <w:lang w:val="fr-FR" w:eastAsia="fr-FR"/>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0072BC"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rsid w:val="00014566"/>
    <w:rPr>
      <w:lang w:val="fr-FR" w:eastAsia="fr-FR"/>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0072BC"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0072BC"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72B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72BC" w:themeFill="accent1"/>
      </w:tcPr>
    </w:tblStylePr>
    <w:tblStylePr w:type="lastCol">
      <w:rPr>
        <w:b/>
        <w:bCs/>
        <w:color w:val="0072BC" w:themeColor="background1"/>
      </w:rPr>
      <w:tblPr/>
      <w:tcPr>
        <w:tcBorders>
          <w:left w:val="nil"/>
          <w:right w:val="nil"/>
          <w:insideH w:val="nil"/>
          <w:insideV w:val="nil"/>
        </w:tcBorders>
        <w:shd w:val="clear" w:color="auto" w:fill="0072BC" w:themeFill="accen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C0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C00000" w:themeFill="accent2"/>
      </w:tcPr>
    </w:tblStylePr>
    <w:tblStylePr w:type="lastCol">
      <w:rPr>
        <w:b/>
        <w:bCs/>
        <w:color w:val="0072BC" w:themeColor="background1"/>
      </w:rPr>
      <w:tblPr/>
      <w:tcPr>
        <w:tcBorders>
          <w:left w:val="nil"/>
          <w:right w:val="nil"/>
          <w:insideH w:val="nil"/>
          <w:insideV w:val="nil"/>
        </w:tcBorders>
        <w:shd w:val="clear" w:color="auto" w:fill="C00000" w:themeFill="accent2"/>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3"/>
      </w:tcPr>
    </w:tblStylePr>
    <w:tblStylePr w:type="lastCol">
      <w:rPr>
        <w:b/>
        <w:bCs/>
        <w:color w:val="0072BC" w:themeColor="background1"/>
      </w:rPr>
      <w:tblPr/>
      <w:tcPr>
        <w:tcBorders>
          <w:left w:val="nil"/>
          <w:right w:val="nil"/>
          <w:insideH w:val="nil"/>
          <w:insideV w:val="nil"/>
        </w:tcBorders>
        <w:shd w:val="clear" w:color="auto" w:fill="5F5F5F" w:themeFill="accent3"/>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9696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969696" w:themeFill="accent4"/>
      </w:tcPr>
    </w:tblStylePr>
    <w:tblStylePr w:type="lastCol">
      <w:rPr>
        <w:b/>
        <w:bCs/>
        <w:color w:val="0072BC" w:themeColor="background1"/>
      </w:rPr>
      <w:tblPr/>
      <w:tcPr>
        <w:tcBorders>
          <w:left w:val="nil"/>
          <w:right w:val="nil"/>
          <w:insideH w:val="nil"/>
          <w:insideV w:val="nil"/>
        </w:tcBorders>
        <w:shd w:val="clear" w:color="auto" w:fill="969696" w:themeFill="accent4"/>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0072BC"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0072BC"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014566"/>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01456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014566"/>
    <w:rPr>
      <w:rFonts w:ascii="Times New Roman" w:hAnsi="Times New Roman" w:cs="Times New Roman"/>
      <w:szCs w:val="24"/>
    </w:rPr>
  </w:style>
  <w:style w:type="paragraph" w:styleId="NormalIndent">
    <w:name w:val="Normal Indent"/>
    <w:basedOn w:val="Normal"/>
    <w:uiPriority w:val="99"/>
    <w:semiHidden/>
    <w:rsid w:val="00014566"/>
    <w:pPr>
      <w:ind w:left="720"/>
    </w:pPr>
  </w:style>
  <w:style w:type="paragraph" w:styleId="NoteHeading">
    <w:name w:val="Note Heading"/>
    <w:basedOn w:val="Normal"/>
    <w:next w:val="Normal"/>
    <w:link w:val="NoteHeadingChar"/>
    <w:uiPriority w:val="99"/>
    <w:semiHidden/>
    <w:rsid w:val="00014566"/>
  </w:style>
  <w:style w:type="character" w:customStyle="1" w:styleId="NoteHeadingChar">
    <w:name w:val="Note Heading Char"/>
    <w:basedOn w:val="DefaultParagraphFont"/>
    <w:link w:val="NoteHeading"/>
    <w:uiPriority w:val="99"/>
    <w:semiHidden/>
    <w:rsid w:val="00014566"/>
    <w:rPr>
      <w:rFonts w:eastAsiaTheme="minorEastAsia"/>
      <w:sz w:val="24"/>
    </w:rPr>
  </w:style>
  <w:style w:type="character" w:styleId="PlaceholderText">
    <w:name w:val="Placeholder Text"/>
    <w:basedOn w:val="DefaultParagraphFont"/>
    <w:uiPriority w:val="99"/>
    <w:semiHidden/>
    <w:rsid w:val="003B4061"/>
    <w:rPr>
      <w:color w:val="auto"/>
      <w:bdr w:val="none" w:sz="0" w:space="0" w:color="auto"/>
      <w:shd w:val="clear" w:color="auto" w:fill="DFDFDF" w:themeFill="background2" w:themeFillShade="E6"/>
    </w:rPr>
  </w:style>
  <w:style w:type="paragraph" w:styleId="PlainText">
    <w:name w:val="Plain Text"/>
    <w:basedOn w:val="Normal"/>
    <w:link w:val="PlainTextChar"/>
    <w:uiPriority w:val="99"/>
    <w:semiHidden/>
    <w:rsid w:val="00014566"/>
    <w:rPr>
      <w:rFonts w:ascii="Consolas" w:hAnsi="Consolas" w:cs="Consolas"/>
      <w:sz w:val="21"/>
      <w:szCs w:val="21"/>
    </w:rPr>
  </w:style>
  <w:style w:type="character" w:customStyle="1" w:styleId="PlainTextChar">
    <w:name w:val="Plain Text Char"/>
    <w:basedOn w:val="DefaultParagraphFont"/>
    <w:link w:val="PlainText"/>
    <w:uiPriority w:val="99"/>
    <w:semiHidden/>
    <w:rsid w:val="00014566"/>
    <w:rPr>
      <w:rFonts w:ascii="Consolas" w:eastAsiaTheme="minorEastAsia" w:hAnsi="Consolas" w:cs="Consolas"/>
      <w:sz w:val="21"/>
      <w:szCs w:val="21"/>
    </w:rPr>
  </w:style>
  <w:style w:type="paragraph" w:styleId="Salutation">
    <w:name w:val="Salutation"/>
    <w:basedOn w:val="Normal"/>
    <w:next w:val="Normal"/>
    <w:link w:val="SalutationChar"/>
    <w:uiPriority w:val="99"/>
    <w:semiHidden/>
    <w:rsid w:val="00014566"/>
  </w:style>
  <w:style w:type="character" w:customStyle="1" w:styleId="SalutationChar">
    <w:name w:val="Salutation Char"/>
    <w:basedOn w:val="DefaultParagraphFont"/>
    <w:link w:val="Salutation"/>
    <w:uiPriority w:val="99"/>
    <w:semiHidden/>
    <w:rsid w:val="00014566"/>
    <w:rPr>
      <w:rFonts w:eastAsiaTheme="minorEastAsia"/>
      <w:sz w:val="24"/>
    </w:rPr>
  </w:style>
  <w:style w:type="paragraph" w:styleId="Signature">
    <w:name w:val="Signature"/>
    <w:basedOn w:val="Normal"/>
    <w:link w:val="SignatureChar"/>
    <w:uiPriority w:val="99"/>
    <w:semiHidden/>
    <w:rsid w:val="00014566"/>
    <w:pPr>
      <w:ind w:left="4252"/>
    </w:pPr>
  </w:style>
  <w:style w:type="character" w:customStyle="1" w:styleId="SignatureChar">
    <w:name w:val="Signature Char"/>
    <w:basedOn w:val="DefaultParagraphFont"/>
    <w:link w:val="Signature"/>
    <w:uiPriority w:val="99"/>
    <w:semiHidden/>
    <w:rsid w:val="00014566"/>
    <w:rPr>
      <w:rFonts w:eastAsiaTheme="minorEastAsia"/>
      <w:sz w:val="24"/>
    </w:rPr>
  </w:style>
  <w:style w:type="table" w:styleId="Table3Deffects1">
    <w:name w:val="Table 3D effects 1"/>
    <w:basedOn w:val="TableNormal"/>
    <w:uiPriority w:val="99"/>
    <w:semiHidden/>
    <w:rsid w:val="00014566"/>
    <w:pPr>
      <w:suppressAutoHyphens/>
    </w:pPr>
    <w:rPr>
      <w:lang w:val="fr-FR" w:eastAsia="fr-FR"/>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014566"/>
    <w:pPr>
      <w:suppressAutoHyphens/>
    </w:pPr>
    <w:rPr>
      <w:lang w:val="fr-FR" w:eastAsia="fr-FR"/>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014566"/>
    <w:pPr>
      <w:suppressAutoHyphens/>
    </w:pPr>
    <w:rPr>
      <w:lang w:val="fr-FR" w:eastAsia="fr-FR"/>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014566"/>
    <w:pPr>
      <w:suppressAutoHyphens/>
    </w:pPr>
    <w:rPr>
      <w:lang w:val="fr-FR"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014566"/>
    <w:pPr>
      <w:suppressAutoHyphens/>
    </w:pPr>
    <w:rPr>
      <w:lang w:val="fr-FR" w:eastAsia="fr-FR"/>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014566"/>
    <w:pPr>
      <w:suppressAutoHyphens/>
    </w:pPr>
    <w:rPr>
      <w:color w:val="000080"/>
      <w:lang w:val="fr-FR" w:eastAsia="fr-FR"/>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014566"/>
    <w:pPr>
      <w:suppressAutoHyphens/>
    </w:pPr>
    <w:rPr>
      <w:lang w:val="fr-FR" w:eastAsia="fr-FR"/>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014566"/>
    <w:pPr>
      <w:suppressAutoHyphens/>
    </w:pPr>
    <w:rPr>
      <w:color w:val="FFFFFF"/>
      <w:lang w:val="fr-FR" w:eastAsia="fr-FR"/>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014566"/>
    <w:pPr>
      <w:suppressAutoHyphens/>
    </w:pPr>
    <w:rPr>
      <w:lang w:val="fr-FR" w:eastAsia="fr-FR"/>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014566"/>
    <w:pPr>
      <w:suppressAutoHyphens/>
    </w:pPr>
    <w:rPr>
      <w:lang w:val="fr-FR" w:eastAsia="fr-FR"/>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014566"/>
    <w:pPr>
      <w:suppressAutoHyphens/>
    </w:pPr>
    <w:rPr>
      <w:b/>
      <w:bCs/>
      <w:lang w:val="fr-FR" w:eastAsia="fr-FR"/>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014566"/>
    <w:pPr>
      <w:suppressAutoHyphens/>
    </w:pPr>
    <w:rPr>
      <w:b/>
      <w:bCs/>
      <w:lang w:val="fr-FR" w:eastAsia="fr-FR"/>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014566"/>
    <w:pPr>
      <w:suppressAutoHyphens/>
    </w:pPr>
    <w:rPr>
      <w:b/>
      <w:bCs/>
      <w:lang w:val="fr-FR" w:eastAsia="fr-FR"/>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014566"/>
    <w:pPr>
      <w:suppressAutoHyphens/>
    </w:pPr>
    <w:rPr>
      <w:lang w:val="fr-FR" w:eastAsia="fr-FR"/>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rsid w:val="00014566"/>
    <w:pPr>
      <w:suppressAutoHyphens/>
    </w:pPr>
    <w:rPr>
      <w:lang w:val="fr-FR" w:eastAsia="fr-FR"/>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rsid w:val="00014566"/>
    <w:pPr>
      <w:suppressAutoHyphens/>
    </w:pPr>
    <w:rPr>
      <w:lang w:val="fr-FR" w:eastAsia="fr-FR"/>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014566"/>
    <w:pPr>
      <w:suppressAutoHyphens/>
    </w:pPr>
    <w:rPr>
      <w:lang w:val="fr-FR" w:eastAsia="fr-FR"/>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014566"/>
    <w:pPr>
      <w:suppressAutoHyphens/>
    </w:pPr>
    <w:rPr>
      <w:lang w:val="fr-FR" w:eastAsia="fr-FR"/>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014566"/>
    <w:pPr>
      <w:suppressAutoHyphens/>
    </w:pPr>
    <w:rPr>
      <w:lang w:val="fr-FR" w:eastAsia="fr-FR"/>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014566"/>
    <w:pPr>
      <w:suppressAutoHyphens/>
    </w:pPr>
    <w:rPr>
      <w:lang w:val="fr-FR" w:eastAsia="fr-FR"/>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rsid w:val="00014566"/>
    <w:pPr>
      <w:suppressAutoHyphens/>
    </w:pPr>
    <w:rPr>
      <w:b/>
      <w:bCs/>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rsid w:val="00014566"/>
    <w:pPr>
      <w:suppressAutoHyphens/>
    </w:pPr>
    <w:rPr>
      <w:lang w:val="fr-FR" w:eastAsia="fr-FR"/>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014566"/>
    <w:pPr>
      <w:suppressAutoHyphens/>
    </w:pPr>
    <w:rPr>
      <w:lang w:val="fr-FR" w:eastAsia="fr-FR"/>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014566"/>
    <w:pPr>
      <w:suppressAutoHyphens/>
    </w:pPr>
    <w:rPr>
      <w:lang w:val="fr-FR" w:eastAsia="fr-FR"/>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014566"/>
    <w:pPr>
      <w:suppressAutoHyphens/>
    </w:pPr>
    <w:rPr>
      <w:lang w:val="fr-FR" w:eastAsia="fr-FR"/>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014566"/>
    <w:pPr>
      <w:suppressAutoHyphens/>
    </w:pPr>
    <w:rPr>
      <w:lang w:val="fr-FR" w:eastAsia="fr-FR"/>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014566"/>
    <w:pPr>
      <w:suppressAutoHyphens/>
    </w:pPr>
    <w:rPr>
      <w:lang w:val="fr-FR" w:eastAsia="fr-FR"/>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014566"/>
    <w:pPr>
      <w:suppressAutoHyphens/>
    </w:pPr>
    <w:rPr>
      <w:lang w:val="fr-FR" w:eastAsia="fr-FR"/>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014566"/>
    <w:pPr>
      <w:ind w:left="240" w:hanging="240"/>
    </w:pPr>
  </w:style>
  <w:style w:type="paragraph" w:styleId="TableofFigures">
    <w:name w:val="table of figures"/>
    <w:basedOn w:val="Normal"/>
    <w:next w:val="Normal"/>
    <w:uiPriority w:val="99"/>
    <w:semiHidden/>
    <w:rsid w:val="00014566"/>
  </w:style>
  <w:style w:type="table" w:styleId="TableProfessional">
    <w:name w:val="Table Professional"/>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014566"/>
    <w:pPr>
      <w:suppressAutoHyphens/>
    </w:pPr>
    <w:rPr>
      <w:lang w:val="fr-FR" w:eastAsia="fr-FR"/>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014566"/>
    <w:pPr>
      <w:suppressAutoHyphens/>
    </w:pPr>
    <w:rPr>
      <w:lang w:val="fr-FR" w:eastAsia="fr-FR"/>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014566"/>
    <w:pPr>
      <w:suppressAutoHyphens/>
    </w:pPr>
    <w:rPr>
      <w:lang w:val="fr-FR" w:eastAsia="fr-FR"/>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014566"/>
    <w:pPr>
      <w:suppressAutoHyphens/>
    </w:pPr>
    <w:rPr>
      <w:lang w:val="fr-FR" w:eastAsia="fr-FR"/>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014566"/>
    <w:pPr>
      <w:suppressAutoHyphens/>
    </w:pPr>
    <w:rPr>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014566"/>
    <w:pPr>
      <w:suppressAutoHyphens/>
    </w:pPr>
    <w:rPr>
      <w:lang w:val="fr-FR" w:eastAsia="fr-FR"/>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014566"/>
    <w:pPr>
      <w:suppressAutoHyphens/>
    </w:pPr>
    <w:rPr>
      <w:lang w:val="fr-FR" w:eastAsia="fr-FR"/>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014566"/>
    <w:pPr>
      <w:suppressAutoHyphens/>
    </w:pPr>
    <w:rPr>
      <w:lang w:val="fr-FR" w:eastAsia="fr-FR"/>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6">
    <w:name w:val="toc 6"/>
    <w:basedOn w:val="Normal"/>
    <w:next w:val="Normal"/>
    <w:autoRedefine/>
    <w:uiPriority w:val="99"/>
    <w:semiHidden/>
    <w:rsid w:val="003B4061"/>
    <w:pPr>
      <w:tabs>
        <w:tab w:val="right" w:leader="dot" w:pos="7371"/>
      </w:tabs>
      <w:spacing w:after="60" w:line="240" w:lineRule="exact"/>
      <w:ind w:left="2041" w:right="567" w:hanging="340"/>
    </w:pPr>
    <w:rPr>
      <w:sz w:val="20"/>
    </w:rPr>
  </w:style>
  <w:style w:type="paragraph" w:styleId="TOC7">
    <w:name w:val="toc 7"/>
    <w:basedOn w:val="Normal"/>
    <w:next w:val="Normal"/>
    <w:autoRedefine/>
    <w:uiPriority w:val="99"/>
    <w:semiHidden/>
    <w:rsid w:val="003B4061"/>
    <w:pPr>
      <w:tabs>
        <w:tab w:val="right" w:leader="dot" w:pos="7371"/>
      </w:tabs>
      <w:spacing w:after="60" w:line="240" w:lineRule="exact"/>
      <w:ind w:left="2381" w:right="567" w:hanging="340"/>
    </w:pPr>
    <w:rPr>
      <w:sz w:val="20"/>
    </w:rPr>
  </w:style>
  <w:style w:type="paragraph" w:styleId="TOC8">
    <w:name w:val="toc 8"/>
    <w:basedOn w:val="Normal"/>
    <w:next w:val="Normal"/>
    <w:autoRedefine/>
    <w:uiPriority w:val="99"/>
    <w:semiHidden/>
    <w:rsid w:val="00014566"/>
    <w:pPr>
      <w:spacing w:after="100"/>
      <w:ind w:left="1680"/>
    </w:pPr>
  </w:style>
  <w:style w:type="paragraph" w:styleId="TOC9">
    <w:name w:val="toc 9"/>
    <w:basedOn w:val="Normal"/>
    <w:next w:val="Normal"/>
    <w:autoRedefine/>
    <w:uiPriority w:val="99"/>
    <w:semiHidden/>
    <w:rsid w:val="00014566"/>
    <w:pPr>
      <w:spacing w:after="100"/>
      <w:ind w:left="1920"/>
    </w:pPr>
  </w:style>
  <w:style w:type="paragraph" w:customStyle="1" w:styleId="OpiHA0">
    <w:name w:val="Opi_H_A"/>
    <w:basedOn w:val="ECHRHeading1"/>
    <w:next w:val="OpiPara"/>
    <w:uiPriority w:val="41"/>
    <w:qFormat/>
    <w:rsid w:val="003B4061"/>
    <w:pPr>
      <w:tabs>
        <w:tab w:val="clear" w:pos="357"/>
      </w:tabs>
      <w:outlineLvl w:val="1"/>
    </w:pPr>
    <w:rPr>
      <w:b/>
    </w:rPr>
  </w:style>
  <w:style w:type="paragraph" w:customStyle="1" w:styleId="OpiHi">
    <w:name w:val="Opi_H_i"/>
    <w:basedOn w:val="ECHRHeading4"/>
    <w:uiPriority w:val="44"/>
    <w:qFormat/>
    <w:rsid w:val="003B4061"/>
    <w:pPr>
      <w:ind w:left="1037" w:hanging="357"/>
      <w:outlineLvl w:val="4"/>
    </w:pPr>
    <w:rPr>
      <w:b w:val="0"/>
      <w:i/>
    </w:rPr>
  </w:style>
  <w:style w:type="paragraph" w:customStyle="1" w:styleId="OpiPara">
    <w:name w:val="Opi_Para"/>
    <w:basedOn w:val="ECHRPara"/>
    <w:uiPriority w:val="46"/>
    <w:qFormat/>
    <w:rsid w:val="003B4061"/>
  </w:style>
  <w:style w:type="paragraph" w:customStyle="1" w:styleId="OpiParaSub">
    <w:name w:val="Opi_Para_Sub"/>
    <w:basedOn w:val="JuParaSub"/>
    <w:uiPriority w:val="47"/>
    <w:qFormat/>
    <w:rsid w:val="003B4061"/>
  </w:style>
  <w:style w:type="paragraph" w:customStyle="1" w:styleId="OpiQuot">
    <w:name w:val="Opi_Quot"/>
    <w:basedOn w:val="ECHRParaQuote"/>
    <w:uiPriority w:val="48"/>
    <w:qFormat/>
    <w:rsid w:val="003B4061"/>
  </w:style>
  <w:style w:type="paragraph" w:customStyle="1" w:styleId="OpiQuotSub">
    <w:name w:val="Opi_Quot_Sub"/>
    <w:basedOn w:val="JuQuotSub"/>
    <w:uiPriority w:val="49"/>
    <w:qFormat/>
    <w:rsid w:val="003B4061"/>
  </w:style>
  <w:style w:type="paragraph" w:customStyle="1" w:styleId="OpiTranslation">
    <w:name w:val="Opi_Translation"/>
    <w:basedOn w:val="Normal"/>
    <w:next w:val="OpiPara"/>
    <w:uiPriority w:val="40"/>
    <w:qFormat/>
    <w:rsid w:val="003B4061"/>
    <w:pPr>
      <w:jc w:val="center"/>
      <w:outlineLvl w:val="0"/>
    </w:pPr>
    <w:rPr>
      <w:i/>
    </w:rPr>
  </w:style>
  <w:style w:type="character" w:customStyle="1" w:styleId="ECHRParaChar">
    <w:name w:val="ECHR_Para Char"/>
    <w:aliases w:val="Ju_Para Char"/>
    <w:link w:val="ECHRPara"/>
    <w:uiPriority w:val="12"/>
    <w:rsid w:val="00B93452"/>
    <w:rPr>
      <w:rFonts w:eastAsiaTheme="minorEastAsia"/>
      <w:sz w:val="24"/>
    </w:rPr>
  </w:style>
  <w:style w:type="paragraph" w:styleId="Revision">
    <w:name w:val="Revision"/>
    <w:hidden/>
    <w:uiPriority w:val="99"/>
    <w:semiHidden/>
    <w:rsid w:val="00010863"/>
    <w:rPr>
      <w:rFonts w:eastAsiaTheme="minorEastAsia"/>
      <w:sz w:val="24"/>
    </w:rPr>
  </w:style>
  <w:style w:type="paragraph" w:customStyle="1" w:styleId="jupara">
    <w:name w:val="jupara"/>
    <w:basedOn w:val="Normal"/>
    <w:rsid w:val="00BD4853"/>
    <w:pPr>
      <w:ind w:firstLine="284"/>
    </w:pPr>
    <w:rPr>
      <w:rFonts w:ascii="Times New Roman" w:eastAsia="Times New Roman" w:hAnsi="Times New Roman" w:cs="Times New Roman"/>
      <w:szCs w:val="24"/>
      <w:lang w:val="en-GB" w:eastAsia="en-GB"/>
    </w:rPr>
  </w:style>
  <w:style w:type="paragraph" w:customStyle="1" w:styleId="jucase0">
    <w:name w:val="jucase"/>
    <w:basedOn w:val="Normal"/>
    <w:rsid w:val="00BD4853"/>
    <w:pPr>
      <w:ind w:firstLine="284"/>
    </w:pPr>
    <w:rPr>
      <w:rFonts w:ascii="Times New Roman" w:eastAsia="Times New Roman" w:hAnsi="Times New Roman" w:cs="Times New Roman"/>
      <w:b/>
      <w:bCs/>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1573256">
      <w:bodyDiv w:val="1"/>
      <w:marLeft w:val="0"/>
      <w:marRight w:val="0"/>
      <w:marTop w:val="0"/>
      <w:marBottom w:val="0"/>
      <w:divBdr>
        <w:top w:val="none" w:sz="0" w:space="0" w:color="auto"/>
        <w:left w:val="none" w:sz="0" w:space="0" w:color="auto"/>
        <w:bottom w:val="none" w:sz="0" w:space="0" w:color="auto"/>
        <w:right w:val="none" w:sz="0" w:space="0" w:color="auto"/>
      </w:divBdr>
      <w:divsChild>
        <w:div w:id="378088288">
          <w:marLeft w:val="0"/>
          <w:marRight w:val="0"/>
          <w:marTop w:val="0"/>
          <w:marBottom w:val="0"/>
          <w:divBdr>
            <w:top w:val="none" w:sz="0" w:space="0" w:color="auto"/>
            <w:left w:val="none" w:sz="0" w:space="0" w:color="auto"/>
            <w:bottom w:val="none" w:sz="0" w:space="0" w:color="auto"/>
            <w:right w:val="none" w:sz="0" w:space="0" w:color="auto"/>
          </w:divBdr>
          <w:divsChild>
            <w:div w:id="687682961">
              <w:marLeft w:val="0"/>
              <w:marRight w:val="0"/>
              <w:marTop w:val="0"/>
              <w:marBottom w:val="0"/>
              <w:divBdr>
                <w:top w:val="none" w:sz="0" w:space="0" w:color="auto"/>
                <w:left w:val="none" w:sz="0" w:space="0" w:color="auto"/>
                <w:bottom w:val="none" w:sz="0" w:space="0" w:color="auto"/>
                <w:right w:val="none" w:sz="0" w:space="0" w:color="auto"/>
              </w:divBdr>
              <w:divsChild>
                <w:div w:id="538514458">
                  <w:marLeft w:val="0"/>
                  <w:marRight w:val="0"/>
                  <w:marTop w:val="0"/>
                  <w:marBottom w:val="0"/>
                  <w:divBdr>
                    <w:top w:val="none" w:sz="0" w:space="0" w:color="auto"/>
                    <w:left w:val="none" w:sz="0" w:space="0" w:color="auto"/>
                    <w:bottom w:val="none" w:sz="0" w:space="0" w:color="auto"/>
                    <w:right w:val="none" w:sz="0" w:space="0" w:color="auto"/>
                  </w:divBdr>
                  <w:divsChild>
                    <w:div w:id="1925648419">
                      <w:marLeft w:val="0"/>
                      <w:marRight w:val="0"/>
                      <w:marTop w:val="0"/>
                      <w:marBottom w:val="0"/>
                      <w:divBdr>
                        <w:top w:val="none" w:sz="0" w:space="0" w:color="auto"/>
                        <w:left w:val="none" w:sz="0" w:space="0" w:color="auto"/>
                        <w:bottom w:val="none" w:sz="0" w:space="0" w:color="auto"/>
                        <w:right w:val="none" w:sz="0" w:space="0" w:color="auto"/>
                      </w:divBdr>
                      <w:divsChild>
                        <w:div w:id="1701659742">
                          <w:marLeft w:val="0"/>
                          <w:marRight w:val="0"/>
                          <w:marTop w:val="0"/>
                          <w:marBottom w:val="0"/>
                          <w:divBdr>
                            <w:top w:val="none" w:sz="0" w:space="0" w:color="auto"/>
                            <w:left w:val="none" w:sz="0" w:space="0" w:color="auto"/>
                            <w:bottom w:val="none" w:sz="0" w:space="0" w:color="auto"/>
                            <w:right w:val="none" w:sz="0" w:space="0" w:color="auto"/>
                          </w:divBdr>
                          <w:divsChild>
                            <w:div w:id="181529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3658684">
      <w:bodyDiv w:val="1"/>
      <w:marLeft w:val="0"/>
      <w:marRight w:val="0"/>
      <w:marTop w:val="0"/>
      <w:marBottom w:val="0"/>
      <w:divBdr>
        <w:top w:val="none" w:sz="0" w:space="0" w:color="auto"/>
        <w:left w:val="none" w:sz="0" w:space="0" w:color="auto"/>
        <w:bottom w:val="none" w:sz="0" w:space="0" w:color="auto"/>
        <w:right w:val="none" w:sz="0" w:space="0" w:color="auto"/>
      </w:divBdr>
      <w:divsChild>
        <w:div w:id="1778864265">
          <w:marLeft w:val="0"/>
          <w:marRight w:val="0"/>
          <w:marTop w:val="0"/>
          <w:marBottom w:val="0"/>
          <w:divBdr>
            <w:top w:val="none" w:sz="0" w:space="0" w:color="auto"/>
            <w:left w:val="none" w:sz="0" w:space="0" w:color="auto"/>
            <w:bottom w:val="none" w:sz="0" w:space="0" w:color="auto"/>
            <w:right w:val="none" w:sz="0" w:space="0" w:color="auto"/>
          </w:divBdr>
          <w:divsChild>
            <w:div w:id="66265250">
              <w:marLeft w:val="0"/>
              <w:marRight w:val="0"/>
              <w:marTop w:val="0"/>
              <w:marBottom w:val="0"/>
              <w:divBdr>
                <w:top w:val="none" w:sz="0" w:space="0" w:color="auto"/>
                <w:left w:val="none" w:sz="0" w:space="0" w:color="auto"/>
                <w:bottom w:val="none" w:sz="0" w:space="0" w:color="auto"/>
                <w:right w:val="none" w:sz="0" w:space="0" w:color="auto"/>
              </w:divBdr>
              <w:divsChild>
                <w:div w:id="382026837">
                  <w:marLeft w:val="0"/>
                  <w:marRight w:val="0"/>
                  <w:marTop w:val="0"/>
                  <w:marBottom w:val="0"/>
                  <w:divBdr>
                    <w:top w:val="none" w:sz="0" w:space="0" w:color="auto"/>
                    <w:left w:val="none" w:sz="0" w:space="0" w:color="auto"/>
                    <w:bottom w:val="none" w:sz="0" w:space="0" w:color="auto"/>
                    <w:right w:val="none" w:sz="0" w:space="0" w:color="auto"/>
                  </w:divBdr>
                  <w:divsChild>
                    <w:div w:id="226958709">
                      <w:marLeft w:val="0"/>
                      <w:marRight w:val="0"/>
                      <w:marTop w:val="0"/>
                      <w:marBottom w:val="0"/>
                      <w:divBdr>
                        <w:top w:val="none" w:sz="0" w:space="0" w:color="auto"/>
                        <w:left w:val="none" w:sz="0" w:space="0" w:color="auto"/>
                        <w:bottom w:val="none" w:sz="0" w:space="0" w:color="auto"/>
                        <w:right w:val="none" w:sz="0" w:space="0" w:color="auto"/>
                      </w:divBdr>
                      <w:divsChild>
                        <w:div w:id="832987924">
                          <w:marLeft w:val="0"/>
                          <w:marRight w:val="0"/>
                          <w:marTop w:val="0"/>
                          <w:marBottom w:val="0"/>
                          <w:divBdr>
                            <w:top w:val="none" w:sz="0" w:space="0" w:color="auto"/>
                            <w:left w:val="none" w:sz="0" w:space="0" w:color="auto"/>
                            <w:bottom w:val="none" w:sz="0" w:space="0" w:color="auto"/>
                            <w:right w:val="none" w:sz="0" w:space="0" w:color="auto"/>
                          </w:divBdr>
                          <w:divsChild>
                            <w:div w:id="98940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556436">
      <w:bodyDiv w:val="1"/>
      <w:marLeft w:val="0"/>
      <w:marRight w:val="0"/>
      <w:marTop w:val="0"/>
      <w:marBottom w:val="0"/>
      <w:divBdr>
        <w:top w:val="none" w:sz="0" w:space="0" w:color="auto"/>
        <w:left w:val="none" w:sz="0" w:space="0" w:color="auto"/>
        <w:bottom w:val="none" w:sz="0" w:space="0" w:color="auto"/>
        <w:right w:val="none" w:sz="0" w:space="0" w:color="auto"/>
      </w:divBdr>
      <w:divsChild>
        <w:div w:id="2069457695">
          <w:marLeft w:val="0"/>
          <w:marRight w:val="0"/>
          <w:marTop w:val="0"/>
          <w:marBottom w:val="0"/>
          <w:divBdr>
            <w:top w:val="none" w:sz="0" w:space="0" w:color="auto"/>
            <w:left w:val="none" w:sz="0" w:space="0" w:color="auto"/>
            <w:bottom w:val="none" w:sz="0" w:space="0" w:color="auto"/>
            <w:right w:val="none" w:sz="0" w:space="0" w:color="auto"/>
          </w:divBdr>
          <w:divsChild>
            <w:div w:id="305361077">
              <w:marLeft w:val="0"/>
              <w:marRight w:val="0"/>
              <w:marTop w:val="0"/>
              <w:marBottom w:val="0"/>
              <w:divBdr>
                <w:top w:val="none" w:sz="0" w:space="0" w:color="auto"/>
                <w:left w:val="none" w:sz="0" w:space="0" w:color="auto"/>
                <w:bottom w:val="none" w:sz="0" w:space="0" w:color="auto"/>
                <w:right w:val="none" w:sz="0" w:space="0" w:color="auto"/>
              </w:divBdr>
              <w:divsChild>
                <w:div w:id="1912231255">
                  <w:marLeft w:val="0"/>
                  <w:marRight w:val="0"/>
                  <w:marTop w:val="0"/>
                  <w:marBottom w:val="0"/>
                  <w:divBdr>
                    <w:top w:val="none" w:sz="0" w:space="0" w:color="auto"/>
                    <w:left w:val="none" w:sz="0" w:space="0" w:color="auto"/>
                    <w:bottom w:val="none" w:sz="0" w:space="0" w:color="auto"/>
                    <w:right w:val="none" w:sz="0" w:space="0" w:color="auto"/>
                  </w:divBdr>
                  <w:divsChild>
                    <w:div w:id="906647221">
                      <w:marLeft w:val="0"/>
                      <w:marRight w:val="0"/>
                      <w:marTop w:val="0"/>
                      <w:marBottom w:val="0"/>
                      <w:divBdr>
                        <w:top w:val="none" w:sz="0" w:space="0" w:color="auto"/>
                        <w:left w:val="none" w:sz="0" w:space="0" w:color="auto"/>
                        <w:bottom w:val="none" w:sz="0" w:space="0" w:color="auto"/>
                        <w:right w:val="none" w:sz="0" w:space="0" w:color="auto"/>
                      </w:divBdr>
                      <w:divsChild>
                        <w:div w:id="410540693">
                          <w:marLeft w:val="0"/>
                          <w:marRight w:val="0"/>
                          <w:marTop w:val="0"/>
                          <w:marBottom w:val="0"/>
                          <w:divBdr>
                            <w:top w:val="none" w:sz="0" w:space="0" w:color="auto"/>
                            <w:left w:val="none" w:sz="0" w:space="0" w:color="auto"/>
                            <w:bottom w:val="none" w:sz="0" w:space="0" w:color="auto"/>
                            <w:right w:val="none" w:sz="0" w:space="0" w:color="auto"/>
                          </w:divBdr>
                          <w:divsChild>
                            <w:div w:id="70591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2259451">
      <w:bodyDiv w:val="1"/>
      <w:marLeft w:val="0"/>
      <w:marRight w:val="0"/>
      <w:marTop w:val="0"/>
      <w:marBottom w:val="0"/>
      <w:divBdr>
        <w:top w:val="none" w:sz="0" w:space="0" w:color="auto"/>
        <w:left w:val="none" w:sz="0" w:space="0" w:color="auto"/>
        <w:bottom w:val="none" w:sz="0" w:space="0" w:color="auto"/>
        <w:right w:val="none" w:sz="0" w:space="0" w:color="auto"/>
      </w:divBdr>
      <w:divsChild>
        <w:div w:id="338318210">
          <w:marLeft w:val="0"/>
          <w:marRight w:val="0"/>
          <w:marTop w:val="0"/>
          <w:marBottom w:val="0"/>
          <w:divBdr>
            <w:top w:val="none" w:sz="0" w:space="0" w:color="auto"/>
            <w:left w:val="none" w:sz="0" w:space="0" w:color="auto"/>
            <w:bottom w:val="none" w:sz="0" w:space="0" w:color="auto"/>
            <w:right w:val="none" w:sz="0" w:space="0" w:color="auto"/>
          </w:divBdr>
          <w:divsChild>
            <w:div w:id="916592999">
              <w:marLeft w:val="0"/>
              <w:marRight w:val="0"/>
              <w:marTop w:val="0"/>
              <w:marBottom w:val="0"/>
              <w:divBdr>
                <w:top w:val="none" w:sz="0" w:space="0" w:color="auto"/>
                <w:left w:val="none" w:sz="0" w:space="0" w:color="auto"/>
                <w:bottom w:val="none" w:sz="0" w:space="0" w:color="auto"/>
                <w:right w:val="none" w:sz="0" w:space="0" w:color="auto"/>
              </w:divBdr>
              <w:divsChild>
                <w:div w:id="1377509787">
                  <w:marLeft w:val="0"/>
                  <w:marRight w:val="0"/>
                  <w:marTop w:val="0"/>
                  <w:marBottom w:val="0"/>
                  <w:divBdr>
                    <w:top w:val="none" w:sz="0" w:space="0" w:color="auto"/>
                    <w:left w:val="none" w:sz="0" w:space="0" w:color="auto"/>
                    <w:bottom w:val="none" w:sz="0" w:space="0" w:color="auto"/>
                    <w:right w:val="none" w:sz="0" w:space="0" w:color="auto"/>
                  </w:divBdr>
                  <w:divsChild>
                    <w:div w:id="1474062125">
                      <w:marLeft w:val="0"/>
                      <w:marRight w:val="0"/>
                      <w:marTop w:val="0"/>
                      <w:marBottom w:val="0"/>
                      <w:divBdr>
                        <w:top w:val="none" w:sz="0" w:space="0" w:color="auto"/>
                        <w:left w:val="none" w:sz="0" w:space="0" w:color="auto"/>
                        <w:bottom w:val="none" w:sz="0" w:space="0" w:color="auto"/>
                        <w:right w:val="none" w:sz="0" w:space="0" w:color="auto"/>
                      </w:divBdr>
                      <w:divsChild>
                        <w:div w:id="1687975219">
                          <w:marLeft w:val="0"/>
                          <w:marRight w:val="0"/>
                          <w:marTop w:val="0"/>
                          <w:marBottom w:val="0"/>
                          <w:divBdr>
                            <w:top w:val="none" w:sz="0" w:space="0" w:color="auto"/>
                            <w:left w:val="none" w:sz="0" w:space="0" w:color="auto"/>
                            <w:bottom w:val="none" w:sz="0" w:space="0" w:color="auto"/>
                            <w:right w:val="none" w:sz="0" w:space="0" w:color="auto"/>
                          </w:divBdr>
                          <w:divsChild>
                            <w:div w:id="182743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7861520">
      <w:bodyDiv w:val="1"/>
      <w:marLeft w:val="0"/>
      <w:marRight w:val="0"/>
      <w:marTop w:val="0"/>
      <w:marBottom w:val="0"/>
      <w:divBdr>
        <w:top w:val="none" w:sz="0" w:space="0" w:color="auto"/>
        <w:left w:val="none" w:sz="0" w:space="0" w:color="auto"/>
        <w:bottom w:val="none" w:sz="0" w:space="0" w:color="auto"/>
        <w:right w:val="none" w:sz="0" w:space="0" w:color="auto"/>
      </w:divBdr>
      <w:divsChild>
        <w:div w:id="1580865699">
          <w:marLeft w:val="0"/>
          <w:marRight w:val="0"/>
          <w:marTop w:val="0"/>
          <w:marBottom w:val="0"/>
          <w:divBdr>
            <w:top w:val="none" w:sz="0" w:space="0" w:color="auto"/>
            <w:left w:val="none" w:sz="0" w:space="0" w:color="auto"/>
            <w:bottom w:val="none" w:sz="0" w:space="0" w:color="auto"/>
            <w:right w:val="none" w:sz="0" w:space="0" w:color="auto"/>
          </w:divBdr>
          <w:divsChild>
            <w:div w:id="173151239">
              <w:marLeft w:val="0"/>
              <w:marRight w:val="0"/>
              <w:marTop w:val="0"/>
              <w:marBottom w:val="0"/>
              <w:divBdr>
                <w:top w:val="none" w:sz="0" w:space="0" w:color="auto"/>
                <w:left w:val="none" w:sz="0" w:space="0" w:color="auto"/>
                <w:bottom w:val="none" w:sz="0" w:space="0" w:color="auto"/>
                <w:right w:val="none" w:sz="0" w:space="0" w:color="auto"/>
              </w:divBdr>
              <w:divsChild>
                <w:div w:id="1560627525">
                  <w:marLeft w:val="0"/>
                  <w:marRight w:val="0"/>
                  <w:marTop w:val="0"/>
                  <w:marBottom w:val="0"/>
                  <w:divBdr>
                    <w:top w:val="none" w:sz="0" w:space="0" w:color="auto"/>
                    <w:left w:val="none" w:sz="0" w:space="0" w:color="auto"/>
                    <w:bottom w:val="none" w:sz="0" w:space="0" w:color="auto"/>
                    <w:right w:val="none" w:sz="0" w:space="0" w:color="auto"/>
                  </w:divBdr>
                  <w:divsChild>
                    <w:div w:id="87570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310447">
      <w:bodyDiv w:val="1"/>
      <w:marLeft w:val="0"/>
      <w:marRight w:val="0"/>
      <w:marTop w:val="0"/>
      <w:marBottom w:val="0"/>
      <w:divBdr>
        <w:top w:val="none" w:sz="0" w:space="0" w:color="auto"/>
        <w:left w:val="none" w:sz="0" w:space="0" w:color="auto"/>
        <w:bottom w:val="none" w:sz="0" w:space="0" w:color="auto"/>
        <w:right w:val="none" w:sz="0" w:space="0" w:color="auto"/>
      </w:divBdr>
      <w:divsChild>
        <w:div w:id="1938977531">
          <w:marLeft w:val="0"/>
          <w:marRight w:val="0"/>
          <w:marTop w:val="0"/>
          <w:marBottom w:val="0"/>
          <w:divBdr>
            <w:top w:val="none" w:sz="0" w:space="0" w:color="auto"/>
            <w:left w:val="none" w:sz="0" w:space="0" w:color="auto"/>
            <w:bottom w:val="none" w:sz="0" w:space="0" w:color="auto"/>
            <w:right w:val="none" w:sz="0" w:space="0" w:color="auto"/>
          </w:divBdr>
          <w:divsChild>
            <w:div w:id="123348958">
              <w:marLeft w:val="0"/>
              <w:marRight w:val="0"/>
              <w:marTop w:val="0"/>
              <w:marBottom w:val="0"/>
              <w:divBdr>
                <w:top w:val="none" w:sz="0" w:space="0" w:color="auto"/>
                <w:left w:val="none" w:sz="0" w:space="0" w:color="auto"/>
                <w:bottom w:val="none" w:sz="0" w:space="0" w:color="auto"/>
                <w:right w:val="none" w:sz="0" w:space="0" w:color="auto"/>
              </w:divBdr>
              <w:divsChild>
                <w:div w:id="901332906">
                  <w:marLeft w:val="0"/>
                  <w:marRight w:val="0"/>
                  <w:marTop w:val="0"/>
                  <w:marBottom w:val="0"/>
                  <w:divBdr>
                    <w:top w:val="none" w:sz="0" w:space="0" w:color="auto"/>
                    <w:left w:val="none" w:sz="0" w:space="0" w:color="auto"/>
                    <w:bottom w:val="none" w:sz="0" w:space="0" w:color="auto"/>
                    <w:right w:val="none" w:sz="0" w:space="0" w:color="auto"/>
                  </w:divBdr>
                  <w:divsChild>
                    <w:div w:id="282150037">
                      <w:marLeft w:val="0"/>
                      <w:marRight w:val="0"/>
                      <w:marTop w:val="0"/>
                      <w:marBottom w:val="0"/>
                      <w:divBdr>
                        <w:top w:val="none" w:sz="0" w:space="0" w:color="auto"/>
                        <w:left w:val="none" w:sz="0" w:space="0" w:color="auto"/>
                        <w:bottom w:val="none" w:sz="0" w:space="0" w:color="auto"/>
                        <w:right w:val="none" w:sz="0" w:space="0" w:color="auto"/>
                      </w:divBdr>
                      <w:divsChild>
                        <w:div w:id="337314279">
                          <w:marLeft w:val="0"/>
                          <w:marRight w:val="0"/>
                          <w:marTop w:val="0"/>
                          <w:marBottom w:val="0"/>
                          <w:divBdr>
                            <w:top w:val="none" w:sz="0" w:space="0" w:color="auto"/>
                            <w:left w:val="none" w:sz="0" w:space="0" w:color="auto"/>
                            <w:bottom w:val="none" w:sz="0" w:space="0" w:color="auto"/>
                            <w:right w:val="none" w:sz="0" w:space="0" w:color="auto"/>
                          </w:divBdr>
                          <w:divsChild>
                            <w:div w:id="26477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5494353">
      <w:bodyDiv w:val="1"/>
      <w:marLeft w:val="0"/>
      <w:marRight w:val="0"/>
      <w:marTop w:val="0"/>
      <w:marBottom w:val="0"/>
      <w:divBdr>
        <w:top w:val="none" w:sz="0" w:space="0" w:color="auto"/>
        <w:left w:val="none" w:sz="0" w:space="0" w:color="auto"/>
        <w:bottom w:val="none" w:sz="0" w:space="0" w:color="auto"/>
        <w:right w:val="none" w:sz="0" w:space="0" w:color="auto"/>
      </w:divBdr>
      <w:divsChild>
        <w:div w:id="390227937">
          <w:marLeft w:val="0"/>
          <w:marRight w:val="0"/>
          <w:marTop w:val="0"/>
          <w:marBottom w:val="0"/>
          <w:divBdr>
            <w:top w:val="none" w:sz="0" w:space="0" w:color="auto"/>
            <w:left w:val="none" w:sz="0" w:space="0" w:color="auto"/>
            <w:bottom w:val="none" w:sz="0" w:space="0" w:color="auto"/>
            <w:right w:val="none" w:sz="0" w:space="0" w:color="auto"/>
          </w:divBdr>
          <w:divsChild>
            <w:div w:id="1244030246">
              <w:marLeft w:val="0"/>
              <w:marRight w:val="0"/>
              <w:marTop w:val="0"/>
              <w:marBottom w:val="0"/>
              <w:divBdr>
                <w:top w:val="none" w:sz="0" w:space="0" w:color="auto"/>
                <w:left w:val="none" w:sz="0" w:space="0" w:color="auto"/>
                <w:bottom w:val="none" w:sz="0" w:space="0" w:color="auto"/>
                <w:right w:val="none" w:sz="0" w:space="0" w:color="auto"/>
              </w:divBdr>
              <w:divsChild>
                <w:div w:id="862092705">
                  <w:marLeft w:val="0"/>
                  <w:marRight w:val="0"/>
                  <w:marTop w:val="0"/>
                  <w:marBottom w:val="0"/>
                  <w:divBdr>
                    <w:top w:val="none" w:sz="0" w:space="0" w:color="auto"/>
                    <w:left w:val="none" w:sz="0" w:space="0" w:color="auto"/>
                    <w:bottom w:val="none" w:sz="0" w:space="0" w:color="auto"/>
                    <w:right w:val="none" w:sz="0" w:space="0" w:color="auto"/>
                  </w:divBdr>
                  <w:divsChild>
                    <w:div w:id="838498067">
                      <w:marLeft w:val="0"/>
                      <w:marRight w:val="0"/>
                      <w:marTop w:val="0"/>
                      <w:marBottom w:val="0"/>
                      <w:divBdr>
                        <w:top w:val="none" w:sz="0" w:space="0" w:color="auto"/>
                        <w:left w:val="none" w:sz="0" w:space="0" w:color="auto"/>
                        <w:bottom w:val="none" w:sz="0" w:space="0" w:color="auto"/>
                        <w:right w:val="none" w:sz="0" w:space="0" w:color="auto"/>
                      </w:divBdr>
                      <w:divsChild>
                        <w:div w:id="1666740240">
                          <w:marLeft w:val="0"/>
                          <w:marRight w:val="0"/>
                          <w:marTop w:val="0"/>
                          <w:marBottom w:val="0"/>
                          <w:divBdr>
                            <w:top w:val="none" w:sz="0" w:space="0" w:color="auto"/>
                            <w:left w:val="none" w:sz="0" w:space="0" w:color="auto"/>
                            <w:bottom w:val="none" w:sz="0" w:space="0" w:color="auto"/>
                            <w:right w:val="none" w:sz="0" w:space="0" w:color="auto"/>
                          </w:divBdr>
                          <w:divsChild>
                            <w:div w:id="212764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0368956">
      <w:bodyDiv w:val="1"/>
      <w:marLeft w:val="0"/>
      <w:marRight w:val="0"/>
      <w:marTop w:val="0"/>
      <w:marBottom w:val="0"/>
      <w:divBdr>
        <w:top w:val="none" w:sz="0" w:space="0" w:color="auto"/>
        <w:left w:val="none" w:sz="0" w:space="0" w:color="auto"/>
        <w:bottom w:val="none" w:sz="0" w:space="0" w:color="auto"/>
        <w:right w:val="none" w:sz="0" w:space="0" w:color="auto"/>
      </w:divBdr>
      <w:divsChild>
        <w:div w:id="538277114">
          <w:marLeft w:val="0"/>
          <w:marRight w:val="0"/>
          <w:marTop w:val="0"/>
          <w:marBottom w:val="0"/>
          <w:divBdr>
            <w:top w:val="none" w:sz="0" w:space="0" w:color="auto"/>
            <w:left w:val="none" w:sz="0" w:space="0" w:color="auto"/>
            <w:bottom w:val="none" w:sz="0" w:space="0" w:color="auto"/>
            <w:right w:val="none" w:sz="0" w:space="0" w:color="auto"/>
          </w:divBdr>
          <w:divsChild>
            <w:div w:id="1493372596">
              <w:marLeft w:val="0"/>
              <w:marRight w:val="0"/>
              <w:marTop w:val="0"/>
              <w:marBottom w:val="0"/>
              <w:divBdr>
                <w:top w:val="none" w:sz="0" w:space="0" w:color="auto"/>
                <w:left w:val="none" w:sz="0" w:space="0" w:color="auto"/>
                <w:bottom w:val="none" w:sz="0" w:space="0" w:color="auto"/>
                <w:right w:val="none" w:sz="0" w:space="0" w:color="auto"/>
              </w:divBdr>
              <w:divsChild>
                <w:div w:id="1174295974">
                  <w:marLeft w:val="0"/>
                  <w:marRight w:val="0"/>
                  <w:marTop w:val="0"/>
                  <w:marBottom w:val="0"/>
                  <w:divBdr>
                    <w:top w:val="none" w:sz="0" w:space="0" w:color="auto"/>
                    <w:left w:val="none" w:sz="0" w:space="0" w:color="auto"/>
                    <w:bottom w:val="none" w:sz="0" w:space="0" w:color="auto"/>
                    <w:right w:val="none" w:sz="0" w:space="0" w:color="auto"/>
                  </w:divBdr>
                  <w:divsChild>
                    <w:div w:id="46289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431580">
      <w:bodyDiv w:val="1"/>
      <w:marLeft w:val="0"/>
      <w:marRight w:val="0"/>
      <w:marTop w:val="0"/>
      <w:marBottom w:val="0"/>
      <w:divBdr>
        <w:top w:val="none" w:sz="0" w:space="0" w:color="auto"/>
        <w:left w:val="none" w:sz="0" w:space="0" w:color="auto"/>
        <w:bottom w:val="none" w:sz="0" w:space="0" w:color="auto"/>
        <w:right w:val="none" w:sz="0" w:space="0" w:color="auto"/>
      </w:divBdr>
    </w:div>
    <w:div w:id="1732582623">
      <w:bodyDiv w:val="1"/>
      <w:marLeft w:val="0"/>
      <w:marRight w:val="0"/>
      <w:marTop w:val="0"/>
      <w:marBottom w:val="0"/>
      <w:divBdr>
        <w:top w:val="none" w:sz="0" w:space="0" w:color="auto"/>
        <w:left w:val="none" w:sz="0" w:space="0" w:color="auto"/>
        <w:bottom w:val="none" w:sz="0" w:space="0" w:color="auto"/>
        <w:right w:val="none" w:sz="0" w:space="0" w:color="auto"/>
      </w:divBdr>
      <w:divsChild>
        <w:div w:id="2086296839">
          <w:marLeft w:val="0"/>
          <w:marRight w:val="0"/>
          <w:marTop w:val="0"/>
          <w:marBottom w:val="0"/>
          <w:divBdr>
            <w:top w:val="none" w:sz="0" w:space="0" w:color="auto"/>
            <w:left w:val="none" w:sz="0" w:space="0" w:color="auto"/>
            <w:bottom w:val="none" w:sz="0" w:space="0" w:color="auto"/>
            <w:right w:val="none" w:sz="0" w:space="0" w:color="auto"/>
          </w:divBdr>
          <w:divsChild>
            <w:div w:id="1807356145">
              <w:marLeft w:val="0"/>
              <w:marRight w:val="0"/>
              <w:marTop w:val="0"/>
              <w:marBottom w:val="0"/>
              <w:divBdr>
                <w:top w:val="none" w:sz="0" w:space="0" w:color="auto"/>
                <w:left w:val="none" w:sz="0" w:space="0" w:color="auto"/>
                <w:bottom w:val="none" w:sz="0" w:space="0" w:color="auto"/>
                <w:right w:val="none" w:sz="0" w:space="0" w:color="auto"/>
              </w:divBdr>
              <w:divsChild>
                <w:div w:id="441922650">
                  <w:marLeft w:val="0"/>
                  <w:marRight w:val="0"/>
                  <w:marTop w:val="0"/>
                  <w:marBottom w:val="0"/>
                  <w:divBdr>
                    <w:top w:val="none" w:sz="0" w:space="0" w:color="auto"/>
                    <w:left w:val="none" w:sz="0" w:space="0" w:color="auto"/>
                    <w:bottom w:val="none" w:sz="0" w:space="0" w:color="auto"/>
                    <w:right w:val="none" w:sz="0" w:space="0" w:color="auto"/>
                  </w:divBdr>
                  <w:divsChild>
                    <w:div w:id="135765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hudoc.echr.coe.int/eng" TargetMode="Externa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udoc.echr.coe.int/e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HR_Theme_Judgments_Decisions_Reports">
  <a:themeElements>
    <a:clrScheme name="ECHR_grey">
      <a:dk1>
        <a:sysClr val="windowText" lastClr="000000"/>
      </a:dk1>
      <a:lt1>
        <a:srgbClr val="0072BC"/>
      </a:lt1>
      <a:dk2>
        <a:srgbClr val="C6C6C6"/>
      </a:dk2>
      <a:lt2>
        <a:srgbClr val="F8F8F8"/>
      </a:lt2>
      <a:accent1>
        <a:srgbClr val="0072BC"/>
      </a:accent1>
      <a:accent2>
        <a:srgbClr val="C00000"/>
      </a:accent2>
      <a:accent3>
        <a:srgbClr val="5F5F5F"/>
      </a:accent3>
      <a:accent4>
        <a:srgbClr val="969696"/>
      </a:accent4>
      <a:accent5>
        <a:srgbClr val="5F5F5F"/>
      </a:accent5>
      <a:accent6>
        <a:srgbClr val="4D4D4D"/>
      </a:accent6>
      <a:hlink>
        <a:srgbClr val="0072BC"/>
      </a:hlink>
      <a:folHlink>
        <a:srgbClr val="7030A0"/>
      </a:folHlink>
    </a:clrScheme>
    <a:fontScheme name="ECHR_Judgments_Reports_Decision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92D9C78-D92A-44DD-9F71-6C93A6FE9BCA}"/>
</file>

<file path=customXml/itemProps2.xml><?xml version="1.0" encoding="utf-8"?>
<ds:datastoreItem xmlns:ds="http://schemas.openxmlformats.org/officeDocument/2006/customXml" ds:itemID="{EFFF7474-1512-4B4F-9B9F-17E5931E90C8}"/>
</file>

<file path=customXml/itemProps3.xml><?xml version="1.0" encoding="utf-8"?>
<ds:datastoreItem xmlns:ds="http://schemas.openxmlformats.org/officeDocument/2006/customXml" ds:itemID="{0118A90A-869F-44AE-ACBF-D54720115257}"/>
</file>

<file path=customXml/itemProps4.xml><?xml version="1.0" encoding="utf-8"?>
<ds:datastoreItem xmlns:ds="http://schemas.openxmlformats.org/officeDocument/2006/customXml" ds:itemID="{0267D173-F34B-4420-BB33-29BD05471C03}"/>
</file>

<file path=docProps/app.xml><?xml version="1.0" encoding="utf-8"?>
<Properties xmlns="http://schemas.openxmlformats.org/officeDocument/2006/extended-properties" xmlns:vt="http://schemas.openxmlformats.org/officeDocument/2006/docPropsVTypes">
  <Template>Normal.dotm</Template>
  <TotalTime>0</TotalTime>
  <Pages>1</Pages>
  <Words>8076</Words>
  <Characters>46035</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ECHR</vt:lpstr>
    </vt:vector>
  </TitlesOfParts>
  <Manager/>
  <Company/>
  <LinksUpToDate>false</LinksUpToDate>
  <CharactersWithSpaces>54003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JUD</dc:subject>
  <dc:creator/>
  <cp:keywords/>
  <dc:description/>
  <cp:lastModifiedBy/>
  <cp:revision>1</cp:revision>
  <dcterms:created xsi:type="dcterms:W3CDTF">2018-07-11T08:40:00Z</dcterms:created>
  <dcterms:modified xsi:type="dcterms:W3CDTF">2018-07-11T08:40:00Z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