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737C8" w:rsidR="00014566" w:rsidP="009737C8" w:rsidRDefault="00014566">
      <w:pPr>
        <w:jc w:val="center"/>
        <w:rPr>
          <w:lang w:val="en-GB"/>
        </w:rPr>
      </w:pPr>
      <w:bookmarkStart w:name="_GoBack" w:id="0"/>
      <w:bookmarkEnd w:id="0"/>
    </w:p>
    <w:p w:rsidRPr="009737C8" w:rsidR="0018785A" w:rsidP="009737C8" w:rsidRDefault="0018785A">
      <w:pPr>
        <w:jc w:val="center"/>
        <w:rPr>
          <w:lang w:val="en-GB"/>
        </w:rPr>
      </w:pPr>
    </w:p>
    <w:p w:rsidRPr="009737C8" w:rsidR="0018785A" w:rsidP="009737C8" w:rsidRDefault="0018785A">
      <w:pPr>
        <w:jc w:val="center"/>
        <w:rPr>
          <w:lang w:val="en-GB"/>
        </w:rPr>
      </w:pPr>
    </w:p>
    <w:p w:rsidRPr="009737C8" w:rsidR="00014566" w:rsidP="009737C8" w:rsidRDefault="00EF5849">
      <w:pPr>
        <w:jc w:val="center"/>
        <w:rPr>
          <w:lang w:val="en-GB"/>
        </w:rPr>
      </w:pPr>
      <w:r w:rsidRPr="009737C8">
        <w:rPr>
          <w:lang w:val="en-GB"/>
        </w:rPr>
        <w:t>FOURTH SECTION</w:t>
      </w:r>
    </w:p>
    <w:p w:rsidRPr="009737C8" w:rsidR="00014566" w:rsidP="009737C8" w:rsidRDefault="00014566">
      <w:pPr>
        <w:jc w:val="center"/>
        <w:rPr>
          <w:lang w:val="en-GB"/>
        </w:rPr>
      </w:pPr>
    </w:p>
    <w:p w:rsidRPr="009737C8" w:rsidR="0018785A" w:rsidP="009737C8" w:rsidRDefault="0018785A">
      <w:pPr>
        <w:jc w:val="center"/>
        <w:rPr>
          <w:lang w:val="en-GB"/>
        </w:rPr>
      </w:pPr>
    </w:p>
    <w:p w:rsidRPr="009737C8" w:rsidR="0018785A" w:rsidP="009737C8" w:rsidRDefault="0018785A">
      <w:pPr>
        <w:jc w:val="center"/>
        <w:rPr>
          <w:lang w:val="en-GB"/>
        </w:rPr>
      </w:pPr>
    </w:p>
    <w:p w:rsidRPr="009737C8" w:rsidR="0018785A" w:rsidP="009737C8" w:rsidRDefault="0018785A">
      <w:pPr>
        <w:jc w:val="center"/>
        <w:rPr>
          <w:lang w:val="en-GB"/>
        </w:rPr>
      </w:pPr>
    </w:p>
    <w:p w:rsidRPr="009737C8" w:rsidR="0018785A" w:rsidP="009737C8" w:rsidRDefault="0018785A">
      <w:pPr>
        <w:jc w:val="center"/>
        <w:rPr>
          <w:lang w:val="en-GB"/>
        </w:rPr>
      </w:pPr>
    </w:p>
    <w:p w:rsidRPr="009737C8" w:rsidR="0018785A" w:rsidP="009737C8" w:rsidRDefault="0018785A">
      <w:pPr>
        <w:jc w:val="center"/>
        <w:rPr>
          <w:lang w:val="en-GB"/>
        </w:rPr>
      </w:pPr>
    </w:p>
    <w:p w:rsidRPr="009737C8" w:rsidR="00014566" w:rsidP="009737C8" w:rsidRDefault="00014566">
      <w:pPr>
        <w:jc w:val="center"/>
        <w:rPr>
          <w:b/>
          <w:lang w:val="en-GB"/>
        </w:rPr>
      </w:pPr>
      <w:bookmarkStart w:name="To" w:id="1"/>
      <w:r w:rsidRPr="009737C8">
        <w:rPr>
          <w:b/>
          <w:lang w:val="en-GB"/>
        </w:rPr>
        <w:t xml:space="preserve">CASE OF </w:t>
      </w:r>
      <w:bookmarkEnd w:id="1"/>
      <w:r w:rsidRPr="009737C8" w:rsidR="00EF5849">
        <w:rPr>
          <w:b/>
          <w:lang w:val="en-GB"/>
        </w:rPr>
        <w:t>KÖRTVÉLYESSY v. HUNGARY</w:t>
      </w:r>
      <w:r w:rsidRPr="009737C8" w:rsidR="00571352">
        <w:rPr>
          <w:b/>
          <w:lang w:val="en-GB"/>
        </w:rPr>
        <w:t xml:space="preserve"> (N</w:t>
      </w:r>
      <w:r w:rsidRPr="009737C8" w:rsidR="00CE3404">
        <w:rPr>
          <w:b/>
          <w:lang w:val="en-GB"/>
        </w:rPr>
        <w:t>o</w:t>
      </w:r>
      <w:r w:rsidRPr="009737C8" w:rsidR="00571352">
        <w:rPr>
          <w:b/>
          <w:lang w:val="en-GB"/>
        </w:rPr>
        <w:t xml:space="preserve">. </w:t>
      </w:r>
      <w:r w:rsidRPr="009737C8" w:rsidR="00CE3404">
        <w:rPr>
          <w:b/>
          <w:lang w:val="en-GB"/>
        </w:rPr>
        <w:t>3</w:t>
      </w:r>
      <w:r w:rsidRPr="009737C8" w:rsidR="00571352">
        <w:rPr>
          <w:b/>
          <w:lang w:val="en-GB"/>
        </w:rPr>
        <w:t>)</w:t>
      </w:r>
    </w:p>
    <w:p w:rsidRPr="009737C8" w:rsidR="00014566" w:rsidP="009737C8" w:rsidRDefault="00014566">
      <w:pPr>
        <w:jc w:val="center"/>
        <w:rPr>
          <w:lang w:val="en-GB"/>
        </w:rPr>
      </w:pPr>
    </w:p>
    <w:p w:rsidRPr="009737C8" w:rsidR="00014566" w:rsidP="009737C8" w:rsidRDefault="00014566">
      <w:pPr>
        <w:jc w:val="center"/>
        <w:rPr>
          <w:i/>
          <w:lang w:val="en-GB"/>
        </w:rPr>
      </w:pPr>
      <w:r w:rsidRPr="009737C8">
        <w:rPr>
          <w:i/>
          <w:lang w:val="en-GB"/>
        </w:rPr>
        <w:t>(</w:t>
      </w:r>
      <w:r w:rsidRPr="009737C8" w:rsidR="00EF5849">
        <w:rPr>
          <w:i/>
          <w:lang w:val="en-GB"/>
        </w:rPr>
        <w:t xml:space="preserve">Application no. </w:t>
      </w:r>
      <w:r w:rsidRPr="009737C8" w:rsidR="00851D71">
        <w:rPr>
          <w:i/>
          <w:lang w:val="en-GB"/>
        </w:rPr>
        <w:t>58274/15</w:t>
      </w:r>
      <w:r w:rsidRPr="009737C8">
        <w:rPr>
          <w:i/>
          <w:lang w:val="en-GB"/>
        </w:rPr>
        <w:t>)</w:t>
      </w:r>
    </w:p>
    <w:p w:rsidRPr="009737C8" w:rsidR="00014566" w:rsidP="009737C8" w:rsidRDefault="00014566">
      <w:pPr>
        <w:jc w:val="center"/>
        <w:rPr>
          <w:lang w:val="en-GB"/>
        </w:rPr>
      </w:pPr>
    </w:p>
    <w:p w:rsidRPr="009737C8" w:rsidR="00014566" w:rsidP="009737C8" w:rsidRDefault="00014566">
      <w:pPr>
        <w:jc w:val="center"/>
        <w:rPr>
          <w:lang w:val="en-GB"/>
        </w:rPr>
      </w:pPr>
    </w:p>
    <w:p w:rsidRPr="009737C8" w:rsidR="00DE3BA4" w:rsidP="009737C8" w:rsidRDefault="00DE3BA4">
      <w:pPr>
        <w:jc w:val="center"/>
        <w:rPr>
          <w:lang w:val="en-GB"/>
        </w:rPr>
      </w:pPr>
    </w:p>
    <w:p w:rsidRPr="009737C8" w:rsidR="00D125C0" w:rsidP="009737C8" w:rsidRDefault="00D125C0">
      <w:pPr>
        <w:jc w:val="center"/>
        <w:rPr>
          <w:lang w:val="en-GB"/>
        </w:rPr>
      </w:pPr>
    </w:p>
    <w:p w:rsidRPr="009737C8" w:rsidR="00D125C0" w:rsidP="009737C8" w:rsidRDefault="00D125C0">
      <w:pPr>
        <w:jc w:val="center"/>
        <w:rPr>
          <w:lang w:val="en-GB"/>
        </w:rPr>
      </w:pPr>
    </w:p>
    <w:p w:rsidRPr="009737C8" w:rsidR="00D125C0" w:rsidP="009737C8" w:rsidRDefault="00D125C0">
      <w:pPr>
        <w:jc w:val="center"/>
        <w:rPr>
          <w:lang w:val="en-GB"/>
        </w:rPr>
      </w:pPr>
    </w:p>
    <w:p w:rsidRPr="009737C8" w:rsidR="00D125C0" w:rsidP="009737C8" w:rsidRDefault="00D125C0">
      <w:pPr>
        <w:jc w:val="center"/>
        <w:rPr>
          <w:lang w:val="en-GB"/>
        </w:rPr>
      </w:pPr>
    </w:p>
    <w:p w:rsidRPr="009737C8" w:rsidR="00014566" w:rsidP="009737C8" w:rsidRDefault="00014566">
      <w:pPr>
        <w:jc w:val="center"/>
        <w:rPr>
          <w:lang w:val="en-GB"/>
        </w:rPr>
      </w:pPr>
    </w:p>
    <w:p w:rsidRPr="009737C8" w:rsidR="00014566" w:rsidP="009737C8" w:rsidRDefault="00014566">
      <w:pPr>
        <w:jc w:val="center"/>
        <w:rPr>
          <w:lang w:val="en-GB"/>
        </w:rPr>
      </w:pPr>
    </w:p>
    <w:p w:rsidRPr="009737C8" w:rsidR="00014566" w:rsidP="009737C8" w:rsidRDefault="0018785A">
      <w:pPr>
        <w:jc w:val="center"/>
        <w:rPr>
          <w:szCs w:val="24"/>
          <w:lang w:val="en-GB"/>
        </w:rPr>
      </w:pPr>
      <w:r w:rsidRPr="009737C8">
        <w:rPr>
          <w:szCs w:val="24"/>
          <w:lang w:val="en-GB"/>
        </w:rPr>
        <w:t>JUDGMENT</w:t>
      </w:r>
    </w:p>
    <w:p w:rsidRPr="009737C8" w:rsidR="00014566" w:rsidP="009737C8" w:rsidRDefault="00014566">
      <w:pPr>
        <w:jc w:val="center"/>
        <w:rPr>
          <w:lang w:val="en-GB"/>
        </w:rPr>
      </w:pPr>
    </w:p>
    <w:p w:rsidRPr="009737C8" w:rsidR="0018785A" w:rsidP="009737C8" w:rsidRDefault="0018785A">
      <w:pPr>
        <w:jc w:val="center"/>
        <w:rPr>
          <w:lang w:val="en-GB"/>
        </w:rPr>
      </w:pPr>
    </w:p>
    <w:p w:rsidRPr="009737C8" w:rsidR="0018785A" w:rsidP="009737C8" w:rsidRDefault="0018785A">
      <w:pPr>
        <w:jc w:val="center"/>
        <w:rPr>
          <w:lang w:val="en-GB"/>
        </w:rPr>
      </w:pPr>
    </w:p>
    <w:p w:rsidRPr="009737C8" w:rsidR="0018785A" w:rsidP="009737C8" w:rsidRDefault="0018785A">
      <w:pPr>
        <w:jc w:val="center"/>
        <w:rPr>
          <w:lang w:val="en-GB"/>
        </w:rPr>
      </w:pPr>
      <w:r w:rsidRPr="009737C8">
        <w:rPr>
          <w:lang w:val="en-GB"/>
        </w:rPr>
        <w:t>STRASBOURG</w:t>
      </w:r>
    </w:p>
    <w:p w:rsidRPr="009737C8" w:rsidR="0018785A" w:rsidP="009737C8" w:rsidRDefault="0018785A">
      <w:pPr>
        <w:jc w:val="center"/>
        <w:rPr>
          <w:lang w:val="en-GB"/>
        </w:rPr>
      </w:pPr>
    </w:p>
    <w:p w:rsidRPr="009737C8" w:rsidR="0018785A" w:rsidP="009737C8" w:rsidRDefault="0018785A">
      <w:pPr>
        <w:jc w:val="center"/>
        <w:rPr>
          <w:lang w:val="en-GB"/>
        </w:rPr>
      </w:pPr>
      <w:r w:rsidRPr="009737C8">
        <w:rPr>
          <w:lang w:val="en-GB"/>
        </w:rPr>
        <w:t>3 October 2017</w:t>
      </w:r>
    </w:p>
    <w:p w:rsidRPr="009737C8" w:rsidR="0018785A" w:rsidP="009737C8" w:rsidRDefault="0018785A">
      <w:pPr>
        <w:jc w:val="center"/>
        <w:rPr>
          <w:lang w:val="en-GB"/>
        </w:rPr>
      </w:pPr>
    </w:p>
    <w:p w:rsidRPr="009737C8" w:rsidR="009737C8" w:rsidP="009737C8" w:rsidRDefault="009737C8">
      <w:pPr>
        <w:pStyle w:val="jucase0"/>
        <w:ind w:firstLine="0"/>
        <w:jc w:val="center"/>
        <w:rPr>
          <w:color w:val="FF0000"/>
          <w:sz w:val="28"/>
          <w:szCs w:val="28"/>
          <w:u w:val="single"/>
        </w:rPr>
      </w:pPr>
      <w:r w:rsidRPr="009737C8">
        <w:rPr>
          <w:color w:val="FF0000"/>
          <w:sz w:val="28"/>
          <w:szCs w:val="28"/>
          <w:u w:val="single"/>
        </w:rPr>
        <w:t>FINAL</w:t>
      </w:r>
    </w:p>
    <w:p w:rsidRPr="009737C8" w:rsidR="009737C8" w:rsidP="009737C8" w:rsidRDefault="009737C8">
      <w:pPr>
        <w:pStyle w:val="jupara"/>
        <w:tabs>
          <w:tab w:val="left" w:pos="4650"/>
        </w:tabs>
        <w:ind w:firstLine="0"/>
        <w:jc w:val="center"/>
        <w:rPr>
          <w:color w:val="FF0000"/>
          <w:sz w:val="28"/>
          <w:szCs w:val="28"/>
        </w:rPr>
      </w:pPr>
    </w:p>
    <w:p w:rsidRPr="009737C8" w:rsidR="009737C8" w:rsidP="009737C8" w:rsidRDefault="009737C8">
      <w:pPr>
        <w:pStyle w:val="jupara"/>
        <w:ind w:firstLine="0"/>
        <w:jc w:val="center"/>
        <w:rPr>
          <w:color w:val="FF0000"/>
          <w:sz w:val="28"/>
          <w:szCs w:val="28"/>
        </w:rPr>
      </w:pPr>
      <w:r w:rsidRPr="009737C8">
        <w:rPr>
          <w:color w:val="FF0000"/>
          <w:sz w:val="28"/>
          <w:szCs w:val="28"/>
        </w:rPr>
        <w:t>03/01/2018</w:t>
      </w:r>
    </w:p>
    <w:p w:rsidRPr="009737C8" w:rsidR="009737C8" w:rsidP="009737C8" w:rsidRDefault="009737C8">
      <w:pPr>
        <w:pStyle w:val="jupara"/>
        <w:ind w:firstLine="0"/>
        <w:jc w:val="center"/>
      </w:pPr>
    </w:p>
    <w:p w:rsidRPr="009737C8" w:rsidR="009737C8" w:rsidP="009737C8" w:rsidRDefault="009737C8">
      <w:pPr>
        <w:jc w:val="center"/>
        <w:rPr>
          <w:i/>
          <w:iCs/>
          <w:sz w:val="22"/>
        </w:rPr>
      </w:pPr>
      <w:r w:rsidRPr="009737C8">
        <w:rPr>
          <w:i/>
          <w:iCs/>
          <w:sz w:val="22"/>
        </w:rPr>
        <w:t xml:space="preserve">This judgment has become final under Article 44 § 2 of the Convention. It may be </w:t>
      </w:r>
      <w:proofErr w:type="gramStart"/>
      <w:r w:rsidRPr="009737C8">
        <w:rPr>
          <w:i/>
          <w:iCs/>
          <w:sz w:val="22"/>
        </w:rPr>
        <w:t>subject</w:t>
      </w:r>
      <w:proofErr w:type="gramEnd"/>
      <w:r w:rsidRPr="009737C8">
        <w:rPr>
          <w:i/>
          <w:iCs/>
          <w:sz w:val="22"/>
        </w:rPr>
        <w:t xml:space="preserve"> to editorial revision.</w:t>
      </w:r>
    </w:p>
    <w:p w:rsidRPr="009737C8" w:rsidR="00D125C0" w:rsidP="009737C8" w:rsidRDefault="00D125C0">
      <w:pPr>
        <w:pStyle w:val="ECHRPara"/>
        <w:sectPr w:rsidRPr="009737C8" w:rsidR="00D125C0" w:rsidSect="00AE4017">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9737C8" w:rsidR="00014566" w:rsidP="009737C8" w:rsidRDefault="00014566">
      <w:pPr>
        <w:pStyle w:val="JuCase"/>
        <w:rPr>
          <w:bCs/>
          <w:lang w:val="en-GB"/>
        </w:rPr>
      </w:pPr>
      <w:r w:rsidRPr="009737C8">
        <w:rPr>
          <w:lang w:val="en-GB"/>
        </w:rPr>
        <w:t xml:space="preserve">In the case of </w:t>
      </w:r>
      <w:proofErr w:type="spellStart"/>
      <w:r w:rsidRPr="009737C8" w:rsidR="00EF5849">
        <w:rPr>
          <w:lang w:val="en-GB"/>
        </w:rPr>
        <w:t>Körtvélyessy</w:t>
      </w:r>
      <w:proofErr w:type="spellEnd"/>
      <w:r w:rsidRPr="009737C8" w:rsidR="00EF5849">
        <w:rPr>
          <w:lang w:val="en-GB"/>
        </w:rPr>
        <w:t xml:space="preserve"> v. Hungary</w:t>
      </w:r>
      <w:r w:rsidRPr="009737C8" w:rsidR="00571352">
        <w:rPr>
          <w:lang w:val="en-GB"/>
        </w:rPr>
        <w:t xml:space="preserve"> (No. </w:t>
      </w:r>
      <w:r w:rsidRPr="009737C8" w:rsidR="00851D71">
        <w:rPr>
          <w:lang w:val="en-GB"/>
        </w:rPr>
        <w:t>3</w:t>
      </w:r>
      <w:r w:rsidRPr="009737C8" w:rsidR="00571352">
        <w:rPr>
          <w:lang w:val="en-GB"/>
        </w:rPr>
        <w:t>)</w:t>
      </w:r>
      <w:r w:rsidRPr="009737C8">
        <w:rPr>
          <w:lang w:val="en-GB"/>
        </w:rPr>
        <w:t>,</w:t>
      </w:r>
    </w:p>
    <w:p w:rsidRPr="009737C8" w:rsidR="00014566" w:rsidP="009737C8" w:rsidRDefault="00014566">
      <w:pPr>
        <w:pStyle w:val="ECHRPara"/>
        <w:rPr>
          <w:lang w:val="en-GB"/>
        </w:rPr>
      </w:pPr>
      <w:r w:rsidRPr="009737C8">
        <w:rPr>
          <w:lang w:val="en-GB"/>
        </w:rPr>
        <w:t>The European Court of Human Rights (</w:t>
      </w:r>
      <w:r w:rsidRPr="009737C8" w:rsidR="00EF5849">
        <w:rPr>
          <w:lang w:val="en-GB"/>
        </w:rPr>
        <w:t>Fourth Section</w:t>
      </w:r>
      <w:r w:rsidRPr="009737C8">
        <w:rPr>
          <w:lang w:val="en-GB"/>
        </w:rPr>
        <w:t xml:space="preserve">), sitting as a </w:t>
      </w:r>
      <w:r w:rsidRPr="009737C8" w:rsidR="00EF5849">
        <w:rPr>
          <w:lang w:val="en-GB"/>
        </w:rPr>
        <w:t>Chamber</w:t>
      </w:r>
      <w:r w:rsidRPr="009737C8">
        <w:rPr>
          <w:lang w:val="en-GB"/>
        </w:rPr>
        <w:t xml:space="preserve"> composed of:</w:t>
      </w:r>
    </w:p>
    <w:p w:rsidRPr="009737C8" w:rsidR="00014566" w:rsidP="009737C8" w:rsidRDefault="00AE4017">
      <w:pPr>
        <w:pStyle w:val="ECHRDecisionBody"/>
        <w:rPr>
          <w:lang w:val="en-GB"/>
        </w:rPr>
      </w:pPr>
      <w:r w:rsidRPr="009737C8">
        <w:tab/>
        <w:t xml:space="preserve">Ganna </w:t>
      </w:r>
      <w:proofErr w:type="spellStart"/>
      <w:r w:rsidRPr="009737C8">
        <w:t>Yudkivska</w:t>
      </w:r>
      <w:proofErr w:type="spellEnd"/>
      <w:r w:rsidRPr="009737C8">
        <w:t>,</w:t>
      </w:r>
      <w:r w:rsidRPr="009737C8">
        <w:rPr>
          <w:i/>
        </w:rPr>
        <w:t xml:space="preserve"> President,</w:t>
      </w:r>
      <w:r w:rsidRPr="009737C8">
        <w:rPr>
          <w:i/>
        </w:rPr>
        <w:br/>
      </w:r>
      <w:r w:rsidRPr="009737C8">
        <w:tab/>
        <w:t>Vincent A. De Gaetano,</w:t>
      </w:r>
      <w:r w:rsidRPr="009737C8">
        <w:rPr>
          <w:i/>
        </w:rPr>
        <w:br/>
      </w:r>
      <w:r w:rsidRPr="009737C8">
        <w:tab/>
        <w:t xml:space="preserve">Egidijus </w:t>
      </w:r>
      <w:proofErr w:type="spellStart"/>
      <w:r w:rsidRPr="009737C8">
        <w:t>Kūris</w:t>
      </w:r>
      <w:proofErr w:type="spellEnd"/>
      <w:r w:rsidRPr="009737C8">
        <w:t>,</w:t>
      </w:r>
      <w:r w:rsidRPr="009737C8">
        <w:rPr>
          <w:i/>
        </w:rPr>
        <w:br/>
      </w:r>
      <w:r w:rsidRPr="009737C8">
        <w:tab/>
        <w:t xml:space="preserve">Iulia </w:t>
      </w:r>
      <w:proofErr w:type="spellStart"/>
      <w:r w:rsidRPr="009737C8">
        <w:t>Motoc</w:t>
      </w:r>
      <w:proofErr w:type="spellEnd"/>
      <w:r w:rsidRPr="009737C8">
        <w:t>,</w:t>
      </w:r>
      <w:r w:rsidRPr="009737C8">
        <w:rPr>
          <w:i/>
        </w:rPr>
        <w:br/>
      </w:r>
      <w:r w:rsidRPr="009737C8">
        <w:tab/>
        <w:t>Carlo Ranzoni,</w:t>
      </w:r>
      <w:r w:rsidRPr="009737C8">
        <w:rPr>
          <w:i/>
        </w:rPr>
        <w:br/>
      </w:r>
      <w:r w:rsidRPr="009737C8">
        <w:tab/>
        <w:t xml:space="preserve">Georges </w:t>
      </w:r>
      <w:proofErr w:type="spellStart"/>
      <w:r w:rsidRPr="009737C8">
        <w:t>Ravarani</w:t>
      </w:r>
      <w:proofErr w:type="spellEnd"/>
      <w:r w:rsidRPr="009737C8">
        <w:t>,</w:t>
      </w:r>
      <w:r w:rsidRPr="009737C8">
        <w:rPr>
          <w:i/>
        </w:rPr>
        <w:br/>
      </w:r>
      <w:r w:rsidRPr="009737C8">
        <w:tab/>
      </w:r>
      <w:proofErr w:type="spellStart"/>
      <w:r w:rsidRPr="009737C8">
        <w:t>Péter</w:t>
      </w:r>
      <w:proofErr w:type="spellEnd"/>
      <w:r w:rsidRPr="009737C8">
        <w:t xml:space="preserve"> </w:t>
      </w:r>
      <w:proofErr w:type="spellStart"/>
      <w:r w:rsidRPr="009737C8">
        <w:t>Paczolay</w:t>
      </w:r>
      <w:proofErr w:type="spellEnd"/>
      <w:r w:rsidRPr="009737C8">
        <w:t>,</w:t>
      </w:r>
      <w:r w:rsidRPr="009737C8">
        <w:rPr>
          <w:i/>
        </w:rPr>
        <w:t xml:space="preserve"> judges,</w:t>
      </w:r>
      <w:r w:rsidRPr="009737C8" w:rsidR="00014566">
        <w:rPr>
          <w:szCs w:val="24"/>
          <w:lang w:val="en-GB"/>
        </w:rPr>
        <w:br/>
      </w:r>
      <w:r w:rsidRPr="009737C8" w:rsidR="00014566">
        <w:rPr>
          <w:lang w:val="en-GB"/>
        </w:rPr>
        <w:t xml:space="preserve">and </w:t>
      </w:r>
      <w:r w:rsidRPr="009737C8" w:rsidR="00EF5849">
        <w:rPr>
          <w:lang w:val="en-GB"/>
        </w:rPr>
        <w:t>Marialena Tsirli</w:t>
      </w:r>
      <w:r w:rsidRPr="009737C8" w:rsidR="00014566">
        <w:rPr>
          <w:lang w:val="en-GB"/>
        </w:rPr>
        <w:t xml:space="preserve">, </w:t>
      </w:r>
      <w:r w:rsidRPr="009737C8" w:rsidR="00EF5849">
        <w:rPr>
          <w:i/>
          <w:lang w:val="en-GB"/>
        </w:rPr>
        <w:t xml:space="preserve">Section </w:t>
      </w:r>
      <w:r w:rsidRPr="009737C8" w:rsidR="00EF5849">
        <w:rPr>
          <w:i/>
          <w:iCs/>
          <w:lang w:val="en-GB"/>
        </w:rPr>
        <w:t>Registrar</w:t>
      </w:r>
      <w:r w:rsidRPr="009737C8" w:rsidR="00014566">
        <w:rPr>
          <w:i/>
          <w:lang w:val="en-GB"/>
        </w:rPr>
        <w:t>,</w:t>
      </w:r>
    </w:p>
    <w:p w:rsidRPr="009737C8" w:rsidR="00014566" w:rsidP="009737C8" w:rsidRDefault="00014566">
      <w:pPr>
        <w:pStyle w:val="ECHRPara"/>
        <w:rPr>
          <w:lang w:val="en-GB"/>
        </w:rPr>
      </w:pPr>
      <w:r w:rsidRPr="009737C8">
        <w:rPr>
          <w:lang w:val="en-GB"/>
        </w:rPr>
        <w:t xml:space="preserve">Having deliberated in private on </w:t>
      </w:r>
      <w:r w:rsidRPr="009737C8" w:rsidR="00AE4017">
        <w:rPr>
          <w:lang w:val="en-GB"/>
        </w:rPr>
        <w:t>5 September 2017</w:t>
      </w:r>
      <w:r w:rsidRPr="009737C8">
        <w:rPr>
          <w:lang w:val="en-GB"/>
        </w:rPr>
        <w:t>,</w:t>
      </w:r>
    </w:p>
    <w:p w:rsidRPr="009737C8" w:rsidR="00014566" w:rsidP="009737C8" w:rsidRDefault="00014566">
      <w:pPr>
        <w:pStyle w:val="ECHRPara"/>
        <w:rPr>
          <w:lang w:val="en-GB"/>
        </w:rPr>
      </w:pPr>
      <w:r w:rsidRPr="009737C8">
        <w:rPr>
          <w:lang w:val="en-GB"/>
        </w:rPr>
        <w:t>Delivers the following judgment, which was adopted on that date:</w:t>
      </w:r>
    </w:p>
    <w:p w:rsidRPr="009737C8" w:rsidR="00014566" w:rsidP="009737C8" w:rsidRDefault="00014566">
      <w:pPr>
        <w:pStyle w:val="ECHRTitle1"/>
        <w:rPr>
          <w:lang w:val="en-GB"/>
        </w:rPr>
      </w:pPr>
      <w:r w:rsidRPr="009737C8">
        <w:rPr>
          <w:lang w:val="en-GB"/>
        </w:rPr>
        <w:t>PROCEDURE</w:t>
      </w:r>
    </w:p>
    <w:p w:rsidRPr="009737C8" w:rsidR="00440092"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w:t>
      </w:r>
      <w:r w:rsidRPr="009737C8">
        <w:rPr>
          <w:lang w:val="en-GB"/>
        </w:rPr>
        <w:fldChar w:fldCharType="end"/>
      </w:r>
      <w:r w:rsidRPr="009737C8" w:rsidR="00014566">
        <w:rPr>
          <w:lang w:val="en-GB"/>
        </w:rPr>
        <w:t xml:space="preserve">.  The case originated in </w:t>
      </w:r>
      <w:r w:rsidRPr="009737C8">
        <w:rPr>
          <w:lang w:val="en-GB"/>
        </w:rPr>
        <w:t>an application (no. 5827</w:t>
      </w:r>
      <w:r w:rsidRPr="009737C8" w:rsidR="00851D71">
        <w:rPr>
          <w:lang w:val="en-GB"/>
        </w:rPr>
        <w:t>4</w:t>
      </w:r>
      <w:r w:rsidRPr="009737C8">
        <w:rPr>
          <w:lang w:val="en-GB"/>
        </w:rPr>
        <w:t>/15)</w:t>
      </w:r>
      <w:r w:rsidRPr="009737C8" w:rsidR="00014566">
        <w:rPr>
          <w:lang w:val="en-GB"/>
        </w:rPr>
        <w:t xml:space="preserve"> against </w:t>
      </w:r>
      <w:r w:rsidRPr="009737C8">
        <w:rPr>
          <w:lang w:val="en-GB"/>
        </w:rPr>
        <w:t>Hungary</w:t>
      </w:r>
      <w:r w:rsidRPr="009737C8" w:rsidR="00014566">
        <w:rPr>
          <w:lang w:val="en-GB"/>
        </w:rPr>
        <w:t xml:space="preserve"> lodged with the </w:t>
      </w:r>
      <w:r w:rsidRPr="009737C8">
        <w:rPr>
          <w:lang w:val="en-GB"/>
        </w:rPr>
        <w:t>Court under Article 34</w:t>
      </w:r>
      <w:r w:rsidRPr="009737C8" w:rsidR="00014566">
        <w:rPr>
          <w:lang w:val="en-GB"/>
        </w:rPr>
        <w:t xml:space="preserve"> of the Convention for the Protection of Human Rights and Fundamental Freedoms (“the Convention”) by </w:t>
      </w:r>
      <w:r w:rsidRPr="009737C8">
        <w:rPr>
          <w:lang w:val="en-GB"/>
        </w:rPr>
        <w:t xml:space="preserve">a Hungarian national, Mr Zoltán </w:t>
      </w:r>
      <w:proofErr w:type="spellStart"/>
      <w:r w:rsidRPr="009737C8">
        <w:rPr>
          <w:lang w:val="en-GB"/>
        </w:rPr>
        <w:t>Körtvélyessy</w:t>
      </w:r>
      <w:proofErr w:type="spellEnd"/>
      <w:r w:rsidRPr="009737C8">
        <w:rPr>
          <w:lang w:val="en-GB"/>
        </w:rPr>
        <w:t xml:space="preserve"> (“the applicant”), on 2</w:t>
      </w:r>
      <w:r w:rsidRPr="009737C8" w:rsidR="00851D71">
        <w:rPr>
          <w:lang w:val="en-GB"/>
        </w:rPr>
        <w:t xml:space="preserve">1 September </w:t>
      </w:r>
      <w:r w:rsidRPr="009737C8">
        <w:rPr>
          <w:lang w:val="en-GB"/>
        </w:rPr>
        <w:t>2010</w:t>
      </w:r>
      <w:r w:rsidRPr="009737C8" w:rsidR="00014566">
        <w:rPr>
          <w:lang w:val="en-GB"/>
        </w:rPr>
        <w:t>.</w:t>
      </w:r>
    </w:p>
    <w:p w:rsidRPr="009737C8" w:rsidR="00EF5849"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w:t>
      </w:r>
      <w:r w:rsidRPr="009737C8">
        <w:rPr>
          <w:lang w:val="en-GB"/>
        </w:rPr>
        <w:fldChar w:fldCharType="end"/>
      </w:r>
      <w:r w:rsidRPr="009737C8" w:rsidR="00014566">
        <w:rPr>
          <w:lang w:val="en-GB"/>
        </w:rPr>
        <w:t>.  </w:t>
      </w:r>
      <w:r w:rsidRPr="009737C8">
        <w:rPr>
          <w:lang w:val="en-GB"/>
        </w:rPr>
        <w:t xml:space="preserve">The applicant was represented by Mr T. Gaudi-Nagy, a lawyer practising in Budapest. </w:t>
      </w:r>
      <w:r w:rsidRPr="009737C8" w:rsidR="00014566">
        <w:rPr>
          <w:lang w:val="en-GB"/>
        </w:rPr>
        <w:t xml:space="preserve">The </w:t>
      </w:r>
      <w:r w:rsidRPr="009737C8">
        <w:rPr>
          <w:lang w:val="en-GB"/>
        </w:rPr>
        <w:t>Hungarian</w:t>
      </w:r>
      <w:r w:rsidRPr="009737C8" w:rsidR="00014566">
        <w:rPr>
          <w:lang w:val="en-GB"/>
        </w:rPr>
        <w:t xml:space="preserve"> Government (“the Government”) were represented by Mr </w:t>
      </w:r>
      <w:r w:rsidRPr="009737C8">
        <w:rPr>
          <w:lang w:val="en-GB"/>
        </w:rPr>
        <w:t xml:space="preserve">Z. Tallódi, Agent, </w:t>
      </w:r>
      <w:proofErr w:type="gramStart"/>
      <w:r w:rsidRPr="009737C8">
        <w:rPr>
          <w:lang w:val="en-GB"/>
        </w:rPr>
        <w:t>Ministry</w:t>
      </w:r>
      <w:proofErr w:type="gramEnd"/>
      <w:r w:rsidRPr="009737C8">
        <w:rPr>
          <w:lang w:val="en-GB"/>
        </w:rPr>
        <w:t xml:space="preserve"> of Justice</w:t>
      </w:r>
      <w:r w:rsidRPr="009737C8" w:rsidR="00014566">
        <w:rPr>
          <w:lang w:val="en-GB"/>
        </w:rPr>
        <w:t>.</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3</w:t>
      </w:r>
      <w:r w:rsidRPr="009737C8">
        <w:rPr>
          <w:lang w:val="en-GB"/>
        </w:rPr>
        <w:fldChar w:fldCharType="end"/>
      </w:r>
      <w:r w:rsidRPr="009737C8">
        <w:rPr>
          <w:lang w:val="en-GB"/>
        </w:rPr>
        <w:t xml:space="preserve">.  The applicant alleged, in particular, that the ban </w:t>
      </w:r>
      <w:r w:rsidRPr="009737C8" w:rsidR="003035B9">
        <w:rPr>
          <w:lang w:val="en-GB"/>
        </w:rPr>
        <w:t xml:space="preserve">imposed </w:t>
      </w:r>
      <w:r w:rsidRPr="009737C8">
        <w:rPr>
          <w:lang w:val="en-GB"/>
        </w:rPr>
        <w:t xml:space="preserve">on a demonstration </w:t>
      </w:r>
      <w:r w:rsidRPr="009737C8" w:rsidR="005B186F">
        <w:rPr>
          <w:lang w:val="en-GB"/>
        </w:rPr>
        <w:t>planned</w:t>
      </w:r>
      <w:r w:rsidRPr="009737C8">
        <w:rPr>
          <w:lang w:val="en-GB"/>
        </w:rPr>
        <w:t xml:space="preserve"> by him </w:t>
      </w:r>
      <w:r w:rsidRPr="009737C8" w:rsidR="003035B9">
        <w:rPr>
          <w:lang w:val="en-GB"/>
        </w:rPr>
        <w:t xml:space="preserve">had </w:t>
      </w:r>
      <w:r w:rsidRPr="009737C8">
        <w:rPr>
          <w:lang w:val="en-GB"/>
        </w:rPr>
        <w:t>infringed his rights under Articles 11, 14 and 17 of the Convention.</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4</w:t>
      </w:r>
      <w:r w:rsidRPr="009737C8">
        <w:rPr>
          <w:lang w:val="en-GB"/>
        </w:rPr>
        <w:fldChar w:fldCharType="end"/>
      </w:r>
      <w:r w:rsidRPr="009737C8" w:rsidR="00014566">
        <w:rPr>
          <w:lang w:val="en-GB"/>
        </w:rPr>
        <w:t>.  </w:t>
      </w:r>
      <w:r w:rsidRPr="009737C8">
        <w:rPr>
          <w:lang w:val="en-GB"/>
        </w:rPr>
        <w:t xml:space="preserve">On </w:t>
      </w:r>
      <w:r w:rsidRPr="009737C8">
        <w:rPr>
          <w:szCs w:val="24"/>
          <w:lang w:val="en-GB"/>
        </w:rPr>
        <w:t>14 March 2016</w:t>
      </w:r>
      <w:r w:rsidRPr="009737C8" w:rsidR="00014566">
        <w:rPr>
          <w:lang w:val="en-GB"/>
        </w:rPr>
        <w:t xml:space="preserve"> the </w:t>
      </w:r>
      <w:r w:rsidRPr="009737C8">
        <w:rPr>
          <w:lang w:val="en-GB"/>
        </w:rPr>
        <w:t>complaint concerning Article 11 was communicated to the Government and the remainder of the application was declared inadmissible</w:t>
      </w:r>
      <w:r w:rsidRPr="009737C8">
        <w:rPr>
          <w:szCs w:val="24"/>
          <w:lang w:val="en-GB"/>
        </w:rPr>
        <w:t xml:space="preserve"> </w:t>
      </w:r>
      <w:r w:rsidRPr="009737C8">
        <w:rPr>
          <w:lang w:val="en-GB"/>
        </w:rPr>
        <w:t>pursuant to Rule 54 § 3 of the Rules of Court</w:t>
      </w:r>
      <w:r w:rsidRPr="009737C8" w:rsidR="007509D5">
        <w:rPr>
          <w:lang w:val="en-GB"/>
        </w:rPr>
        <w:t>.</w:t>
      </w:r>
    </w:p>
    <w:p w:rsidRPr="009737C8" w:rsidR="00014566" w:rsidP="009737C8" w:rsidRDefault="00014566">
      <w:pPr>
        <w:pStyle w:val="ECHRTitle1"/>
        <w:rPr>
          <w:lang w:val="en-GB"/>
        </w:rPr>
      </w:pPr>
      <w:r w:rsidRPr="009737C8">
        <w:rPr>
          <w:lang w:val="en-GB"/>
        </w:rPr>
        <w:t>THE FACTS</w:t>
      </w:r>
    </w:p>
    <w:p w:rsidRPr="009737C8" w:rsidR="00014566" w:rsidP="009737C8" w:rsidRDefault="00014566">
      <w:pPr>
        <w:pStyle w:val="ECHRHeading1"/>
        <w:rPr>
          <w:lang w:val="en-GB"/>
        </w:rPr>
      </w:pPr>
      <w:r w:rsidRPr="009737C8">
        <w:rPr>
          <w:lang w:val="en-GB"/>
        </w:rPr>
        <w:t>THE CIRCUMSTANCES OF THE CASE</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5</w:t>
      </w:r>
      <w:r w:rsidRPr="009737C8">
        <w:rPr>
          <w:lang w:val="en-GB"/>
        </w:rPr>
        <w:fldChar w:fldCharType="end"/>
      </w:r>
      <w:r w:rsidRPr="009737C8" w:rsidR="00014566">
        <w:rPr>
          <w:lang w:val="en-GB"/>
        </w:rPr>
        <w:t xml:space="preserve">.  The </w:t>
      </w:r>
      <w:r w:rsidRPr="009737C8">
        <w:rPr>
          <w:lang w:val="en-GB"/>
        </w:rPr>
        <w:t>applicant was born in 1965 and lives</w:t>
      </w:r>
      <w:r w:rsidRPr="009737C8" w:rsidR="00014566">
        <w:rPr>
          <w:lang w:val="en-GB"/>
        </w:rPr>
        <w:t xml:space="preserve"> in </w:t>
      </w:r>
      <w:r w:rsidRPr="009737C8">
        <w:rPr>
          <w:lang w:val="en-GB"/>
        </w:rPr>
        <w:t>Budapest</w:t>
      </w:r>
      <w:r w:rsidRPr="009737C8" w:rsidR="00014566">
        <w:rPr>
          <w:lang w:val="en-GB"/>
        </w:rPr>
        <w:t>.</w:t>
      </w:r>
    </w:p>
    <w:p w:rsidRPr="009737C8" w:rsidR="00EF5849"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6</w:t>
      </w:r>
      <w:r w:rsidRPr="009737C8">
        <w:rPr>
          <w:lang w:val="en-GB"/>
        </w:rPr>
        <w:fldChar w:fldCharType="end"/>
      </w:r>
      <w:r w:rsidRPr="009737C8" w:rsidR="00014566">
        <w:rPr>
          <w:lang w:val="en-GB"/>
        </w:rPr>
        <w:t>.  </w:t>
      </w:r>
      <w:r w:rsidRPr="009737C8" w:rsidR="00851D71">
        <w:rPr>
          <w:lang w:val="en-GB"/>
        </w:rPr>
        <w:t>On 14 April</w:t>
      </w:r>
      <w:r w:rsidRPr="009737C8">
        <w:rPr>
          <w:lang w:val="en-GB"/>
        </w:rPr>
        <w:t xml:space="preserve"> 20</w:t>
      </w:r>
      <w:r w:rsidRPr="009737C8" w:rsidR="00851D71">
        <w:rPr>
          <w:lang w:val="en-GB"/>
        </w:rPr>
        <w:t>10</w:t>
      </w:r>
      <w:r w:rsidRPr="009737C8">
        <w:rPr>
          <w:lang w:val="en-GB"/>
        </w:rPr>
        <w:t xml:space="preserve"> the applicant notified the police </w:t>
      </w:r>
      <w:r w:rsidRPr="009737C8" w:rsidR="003035B9">
        <w:rPr>
          <w:lang w:val="en-GB"/>
        </w:rPr>
        <w:t xml:space="preserve">that </w:t>
      </w:r>
      <w:r w:rsidRPr="009737C8" w:rsidR="001B7D01">
        <w:rPr>
          <w:lang w:val="en-GB"/>
        </w:rPr>
        <w:t xml:space="preserve">he planned to organise a demonstration from 2 to 7 p.m. on </w:t>
      </w:r>
      <w:r w:rsidRPr="009737C8" w:rsidR="00851D71">
        <w:rPr>
          <w:lang w:val="en-GB"/>
        </w:rPr>
        <w:t>17 April 2010</w:t>
      </w:r>
      <w:r w:rsidRPr="009737C8" w:rsidR="001B7D01">
        <w:rPr>
          <w:lang w:val="en-GB"/>
        </w:rPr>
        <w:t xml:space="preserve"> </w:t>
      </w:r>
      <w:r w:rsidRPr="009737C8">
        <w:rPr>
          <w:lang w:val="en-GB"/>
        </w:rPr>
        <w:t xml:space="preserve">in front of </w:t>
      </w:r>
      <w:r w:rsidRPr="009737C8" w:rsidR="003035B9">
        <w:rPr>
          <w:lang w:val="en-GB"/>
        </w:rPr>
        <w:t xml:space="preserve">the </w:t>
      </w:r>
      <w:proofErr w:type="spellStart"/>
      <w:r w:rsidRPr="009737C8">
        <w:rPr>
          <w:lang w:val="en-GB"/>
        </w:rPr>
        <w:t>Venyige</w:t>
      </w:r>
      <w:proofErr w:type="spellEnd"/>
      <w:r w:rsidRPr="009737C8">
        <w:rPr>
          <w:lang w:val="en-GB"/>
        </w:rPr>
        <w:t xml:space="preserve"> Street </w:t>
      </w:r>
      <w:r w:rsidRPr="009737C8" w:rsidR="003035B9">
        <w:rPr>
          <w:lang w:val="en-GB"/>
        </w:rPr>
        <w:t>prison</w:t>
      </w:r>
      <w:r w:rsidRPr="009737C8" w:rsidR="00AA463E">
        <w:rPr>
          <w:lang w:val="en-GB"/>
        </w:rPr>
        <w:t xml:space="preserve"> in Budapest</w:t>
      </w:r>
      <w:r w:rsidRPr="009737C8">
        <w:rPr>
          <w:lang w:val="en-GB"/>
        </w:rPr>
        <w:t xml:space="preserve">, </w:t>
      </w:r>
      <w:r w:rsidRPr="009737C8" w:rsidR="00851D71">
        <w:rPr>
          <w:lang w:val="en-GB"/>
        </w:rPr>
        <w:t xml:space="preserve">in order </w:t>
      </w:r>
      <w:r w:rsidRPr="009737C8">
        <w:rPr>
          <w:lang w:val="en-GB"/>
        </w:rPr>
        <w:t xml:space="preserve">to </w:t>
      </w:r>
      <w:r w:rsidRPr="009737C8" w:rsidR="00851D71">
        <w:rPr>
          <w:lang w:val="en-GB"/>
        </w:rPr>
        <w:t>draw attention to</w:t>
      </w:r>
      <w:r w:rsidRPr="009737C8">
        <w:rPr>
          <w:lang w:val="en-GB"/>
        </w:rPr>
        <w:t xml:space="preserve"> the “</w:t>
      </w:r>
      <w:r w:rsidRPr="009737C8" w:rsidR="00851D71">
        <w:rPr>
          <w:lang w:val="en-GB"/>
        </w:rPr>
        <w:t xml:space="preserve">situation of </w:t>
      </w:r>
      <w:r w:rsidRPr="009737C8">
        <w:rPr>
          <w:lang w:val="en-GB"/>
        </w:rPr>
        <w:t>political p</w:t>
      </w:r>
      <w:r w:rsidRPr="009737C8" w:rsidR="00851D71">
        <w:rPr>
          <w:lang w:val="en-GB"/>
        </w:rPr>
        <w:t>risoners</w:t>
      </w:r>
      <w:r w:rsidRPr="009737C8">
        <w:rPr>
          <w:lang w:val="en-GB"/>
        </w:rPr>
        <w:t>”.</w:t>
      </w:r>
      <w:r w:rsidRPr="009737C8" w:rsidR="00AE459E">
        <w:rPr>
          <w:lang w:val="en-GB"/>
        </w:rPr>
        <w:t xml:space="preserve"> </w:t>
      </w:r>
      <w:proofErr w:type="spellStart"/>
      <w:r w:rsidRPr="009737C8" w:rsidR="00AE459E">
        <w:rPr>
          <w:lang w:val="en-GB"/>
        </w:rPr>
        <w:t>Venyige</w:t>
      </w:r>
      <w:proofErr w:type="spellEnd"/>
      <w:r w:rsidRPr="009737C8" w:rsidR="00AE459E">
        <w:rPr>
          <w:lang w:val="en-GB"/>
        </w:rPr>
        <w:t xml:space="preserve"> Street</w:t>
      </w:r>
      <w:r w:rsidRPr="009737C8" w:rsidR="003035B9">
        <w:rPr>
          <w:lang w:val="en-GB"/>
        </w:rPr>
        <w:t xml:space="preserve"> </w:t>
      </w:r>
      <w:r w:rsidRPr="009737C8" w:rsidR="00AE459E">
        <w:rPr>
          <w:lang w:val="en-GB"/>
        </w:rPr>
        <w:t xml:space="preserve">is a broad </w:t>
      </w:r>
      <w:r w:rsidRPr="009737C8" w:rsidR="003035B9">
        <w:rPr>
          <w:lang w:val="en-GB"/>
        </w:rPr>
        <w:t xml:space="preserve">cul-de-sac </w:t>
      </w:r>
      <w:r w:rsidRPr="009737C8" w:rsidR="00AE459E">
        <w:rPr>
          <w:lang w:val="en-GB"/>
        </w:rPr>
        <w:t>with a service lane.</w:t>
      </w:r>
    </w:p>
    <w:p w:rsidRPr="009737C8" w:rsidR="00440092" w:rsidP="009737C8" w:rsidRDefault="001665AE">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7</w:t>
      </w:r>
      <w:r w:rsidRPr="009737C8">
        <w:rPr>
          <w:lang w:val="en-GB"/>
        </w:rPr>
        <w:fldChar w:fldCharType="end"/>
      </w:r>
      <w:r w:rsidRPr="009737C8">
        <w:rPr>
          <w:lang w:val="en-GB"/>
        </w:rPr>
        <w:t>.  </w:t>
      </w:r>
      <w:r w:rsidRPr="009737C8" w:rsidR="00EF5849">
        <w:rPr>
          <w:lang w:val="en-GB"/>
        </w:rPr>
        <w:t xml:space="preserve">On </w:t>
      </w:r>
      <w:r w:rsidRPr="009737C8">
        <w:rPr>
          <w:lang w:val="en-GB"/>
        </w:rPr>
        <w:t xml:space="preserve">16 </w:t>
      </w:r>
      <w:r w:rsidRPr="009737C8" w:rsidR="00585E26">
        <w:rPr>
          <w:lang w:val="en-GB"/>
        </w:rPr>
        <w:t>April 2010</w:t>
      </w:r>
      <w:r w:rsidRPr="009737C8" w:rsidR="00EF5849">
        <w:rPr>
          <w:lang w:val="en-GB"/>
        </w:rPr>
        <w:t xml:space="preserve"> the </w:t>
      </w:r>
      <w:r w:rsidRPr="009737C8" w:rsidR="003035B9">
        <w:rPr>
          <w:lang w:val="en-GB"/>
        </w:rPr>
        <w:t>h</w:t>
      </w:r>
      <w:r w:rsidRPr="009737C8" w:rsidR="00EF5849">
        <w:rPr>
          <w:lang w:val="en-GB"/>
        </w:rPr>
        <w:t>ead of the Budapest Police Department banned the demonstration on the ground</w:t>
      </w:r>
      <w:r w:rsidRPr="009737C8" w:rsidR="003035B9">
        <w:rPr>
          <w:lang w:val="en-GB"/>
        </w:rPr>
        <w:t>s</w:t>
      </w:r>
      <w:r w:rsidRPr="009737C8" w:rsidR="00EF5849">
        <w:rPr>
          <w:lang w:val="en-GB"/>
        </w:rPr>
        <w:t xml:space="preserve"> that traffic could not be </w:t>
      </w:r>
      <w:r w:rsidRPr="009737C8" w:rsidR="003035B9">
        <w:rPr>
          <w:lang w:val="en-GB"/>
        </w:rPr>
        <w:t xml:space="preserve">diverted to </w:t>
      </w:r>
      <w:r w:rsidRPr="009737C8" w:rsidR="00EF5849">
        <w:rPr>
          <w:lang w:val="en-GB"/>
        </w:rPr>
        <w:t>alternative routes</w:t>
      </w:r>
      <w:r w:rsidRPr="009737C8" w:rsidR="002D5CDD">
        <w:rPr>
          <w:lang w:val="en-GB"/>
        </w:rPr>
        <w:t xml:space="preserve"> (section 8(1) of the Assembly Act).</w:t>
      </w:r>
      <w:r w:rsidRPr="009737C8" w:rsidR="00EF5849">
        <w:rPr>
          <w:lang w:val="en-GB"/>
        </w:rPr>
        <w:t xml:space="preserve"> In the decision, </w:t>
      </w:r>
      <w:r w:rsidRPr="009737C8" w:rsidR="00AE459E">
        <w:rPr>
          <w:lang w:val="en-GB"/>
        </w:rPr>
        <w:t>he</w:t>
      </w:r>
      <w:r w:rsidRPr="009737C8" w:rsidR="00EF5849">
        <w:rPr>
          <w:lang w:val="en-GB"/>
        </w:rPr>
        <w:t xml:space="preserve"> </w:t>
      </w:r>
      <w:r w:rsidRPr="009737C8" w:rsidR="003035B9">
        <w:rPr>
          <w:lang w:val="en-GB"/>
        </w:rPr>
        <w:t xml:space="preserve">referred to </w:t>
      </w:r>
      <w:r w:rsidRPr="009737C8" w:rsidR="00EF5849">
        <w:rPr>
          <w:lang w:val="en-GB"/>
        </w:rPr>
        <w:t>Article 21 of the International Covenant on Civil and Political Rights, Article 11 of the Convention and Decision no. 55/2001.AB of the Constitutional Court.</w:t>
      </w:r>
    </w:p>
    <w:p w:rsidRPr="009737C8" w:rsidR="00EF5849"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8</w:t>
      </w:r>
      <w:r w:rsidRPr="009737C8">
        <w:rPr>
          <w:lang w:val="en-GB"/>
        </w:rPr>
        <w:fldChar w:fldCharType="end"/>
      </w:r>
      <w:r w:rsidRPr="009737C8">
        <w:rPr>
          <w:lang w:val="en-GB"/>
        </w:rPr>
        <w:t>.  </w:t>
      </w:r>
      <w:r w:rsidRPr="009737C8" w:rsidR="001665AE">
        <w:rPr>
          <w:lang w:val="en-GB"/>
        </w:rPr>
        <w:t>On 19 April 2010</w:t>
      </w:r>
      <w:r w:rsidRPr="009737C8" w:rsidR="00585E26">
        <w:rPr>
          <w:lang w:val="en-GB"/>
        </w:rPr>
        <w:t xml:space="preserve">, within the </w:t>
      </w:r>
      <w:r w:rsidRPr="009737C8" w:rsidR="001665AE">
        <w:rPr>
          <w:lang w:val="en-GB"/>
        </w:rPr>
        <w:t>statutory time-limit</w:t>
      </w:r>
      <w:r w:rsidRPr="009737C8" w:rsidR="00585E26">
        <w:rPr>
          <w:lang w:val="en-GB"/>
        </w:rPr>
        <w:t>, t</w:t>
      </w:r>
      <w:r w:rsidRPr="009737C8">
        <w:rPr>
          <w:lang w:val="en-GB"/>
        </w:rPr>
        <w:t xml:space="preserve">he applicant sought </w:t>
      </w:r>
      <w:r w:rsidRPr="009737C8" w:rsidR="003035B9">
        <w:rPr>
          <w:lang w:val="en-GB"/>
        </w:rPr>
        <w:t xml:space="preserve">a </w:t>
      </w:r>
      <w:r w:rsidRPr="009737C8">
        <w:rPr>
          <w:lang w:val="en-GB"/>
        </w:rPr>
        <w:t>judicial review of the decision.</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9</w:t>
      </w:r>
      <w:r w:rsidRPr="009737C8">
        <w:rPr>
          <w:lang w:val="en-GB"/>
        </w:rPr>
        <w:fldChar w:fldCharType="end"/>
      </w:r>
      <w:r w:rsidRPr="009737C8">
        <w:rPr>
          <w:lang w:val="en-GB"/>
        </w:rPr>
        <w:t xml:space="preserve">.  On </w:t>
      </w:r>
      <w:r w:rsidRPr="009737C8" w:rsidR="00585E26">
        <w:rPr>
          <w:lang w:val="en-GB"/>
        </w:rPr>
        <w:t>22 April 2010</w:t>
      </w:r>
      <w:r w:rsidRPr="009737C8">
        <w:rPr>
          <w:lang w:val="en-GB"/>
        </w:rPr>
        <w:t xml:space="preserve"> the Budapest Regional Court dismissed the applicant</w:t>
      </w:r>
      <w:r w:rsidRPr="009737C8" w:rsidR="009737C8">
        <w:rPr>
          <w:lang w:val="en-GB"/>
        </w:rPr>
        <w:t>’</w:t>
      </w:r>
      <w:r w:rsidRPr="009737C8">
        <w:rPr>
          <w:lang w:val="en-GB"/>
        </w:rPr>
        <w:t>s case. It noted that in assessing whether</w:t>
      </w:r>
      <w:r w:rsidRPr="009737C8" w:rsidR="00AE459E">
        <w:rPr>
          <w:lang w:val="en-GB"/>
        </w:rPr>
        <w:t xml:space="preserve"> or not</w:t>
      </w:r>
      <w:r w:rsidRPr="009737C8">
        <w:rPr>
          <w:lang w:val="en-GB"/>
        </w:rPr>
        <w:t xml:space="preserve"> traffic could be </w:t>
      </w:r>
      <w:r w:rsidRPr="009737C8" w:rsidR="003035B9">
        <w:rPr>
          <w:lang w:val="en-GB"/>
        </w:rPr>
        <w:t xml:space="preserve">diverted to </w:t>
      </w:r>
      <w:r w:rsidRPr="009737C8">
        <w:rPr>
          <w:lang w:val="en-GB"/>
        </w:rPr>
        <w:t>other routes</w:t>
      </w:r>
      <w:r w:rsidRPr="009737C8" w:rsidR="003035B9">
        <w:rPr>
          <w:lang w:val="en-GB"/>
        </w:rPr>
        <w:t>,</w:t>
      </w:r>
      <w:r w:rsidRPr="009737C8">
        <w:rPr>
          <w:lang w:val="en-GB"/>
        </w:rPr>
        <w:t xml:space="preserve"> the authority </w:t>
      </w:r>
      <w:r w:rsidRPr="009737C8" w:rsidR="002B53AC">
        <w:rPr>
          <w:lang w:val="en-GB"/>
        </w:rPr>
        <w:t xml:space="preserve">had </w:t>
      </w:r>
      <w:r w:rsidRPr="009737C8" w:rsidR="003035B9">
        <w:rPr>
          <w:lang w:val="en-GB"/>
        </w:rPr>
        <w:t xml:space="preserve">reckoned on the participation of </w:t>
      </w:r>
      <w:r w:rsidRPr="009737C8" w:rsidR="002B53AC">
        <w:rPr>
          <w:lang w:val="en-GB"/>
        </w:rPr>
        <w:t>some</w:t>
      </w:r>
      <w:r w:rsidRPr="009737C8">
        <w:rPr>
          <w:lang w:val="en-GB"/>
        </w:rPr>
        <w:t xml:space="preserve"> 200</w:t>
      </w:r>
      <w:r w:rsidRPr="009737C8" w:rsidR="003035B9">
        <w:rPr>
          <w:lang w:val="en-GB"/>
        </w:rPr>
        <w:t xml:space="preserve"> demonstrators</w:t>
      </w:r>
      <w:r w:rsidRPr="009737C8" w:rsidR="002B53AC">
        <w:rPr>
          <w:lang w:val="en-GB"/>
        </w:rPr>
        <w:t>, as per the applicant</w:t>
      </w:r>
      <w:r w:rsidRPr="009737C8" w:rsidR="009737C8">
        <w:rPr>
          <w:lang w:val="en-GB"/>
        </w:rPr>
        <w:t>’</w:t>
      </w:r>
      <w:r w:rsidRPr="009737C8" w:rsidR="002B53AC">
        <w:rPr>
          <w:lang w:val="en-GB"/>
        </w:rPr>
        <w:t xml:space="preserve">s notification, and that </w:t>
      </w:r>
      <w:r w:rsidRPr="009737C8" w:rsidR="00585E26">
        <w:rPr>
          <w:lang w:val="en-GB"/>
        </w:rPr>
        <w:t xml:space="preserve">– after having obtained the opinion of a traffic expert – </w:t>
      </w:r>
      <w:r w:rsidRPr="009737C8" w:rsidR="002B53AC">
        <w:rPr>
          <w:lang w:val="en-GB"/>
        </w:rPr>
        <w:t>it had established</w:t>
      </w:r>
      <w:r w:rsidRPr="009737C8">
        <w:rPr>
          <w:lang w:val="en-GB"/>
        </w:rPr>
        <w:t xml:space="preserve"> that lawful parking and traffic </w:t>
      </w:r>
      <w:r w:rsidRPr="009737C8" w:rsidR="00AA463E">
        <w:rPr>
          <w:lang w:val="en-GB"/>
        </w:rPr>
        <w:t xml:space="preserve">circulation </w:t>
      </w:r>
      <w:r w:rsidRPr="009737C8">
        <w:rPr>
          <w:lang w:val="en-GB"/>
        </w:rPr>
        <w:t>in the neighbourhood would become impossible</w:t>
      </w:r>
      <w:r w:rsidRPr="009737C8" w:rsidR="00AE459E">
        <w:rPr>
          <w:lang w:val="en-GB"/>
        </w:rPr>
        <w:t xml:space="preserve"> should the event take place</w:t>
      </w:r>
      <w:r w:rsidRPr="009737C8">
        <w:rPr>
          <w:lang w:val="en-GB"/>
        </w:rPr>
        <w:t>.</w:t>
      </w:r>
      <w:r w:rsidRPr="009737C8" w:rsidR="002B53AC">
        <w:rPr>
          <w:lang w:val="en-GB"/>
        </w:rPr>
        <w:t xml:space="preserve"> </w:t>
      </w:r>
      <w:r w:rsidRPr="009737C8">
        <w:rPr>
          <w:lang w:val="en-GB"/>
        </w:rPr>
        <w:t xml:space="preserve">The court agreed with the </w:t>
      </w:r>
      <w:r w:rsidRPr="009737C8" w:rsidR="002B53AC">
        <w:rPr>
          <w:lang w:val="en-GB"/>
        </w:rPr>
        <w:t>police</w:t>
      </w:r>
      <w:r w:rsidRPr="009737C8" w:rsidR="009737C8">
        <w:rPr>
          <w:lang w:val="en-GB"/>
        </w:rPr>
        <w:t>’</w:t>
      </w:r>
      <w:r w:rsidRPr="009737C8" w:rsidR="003035B9">
        <w:rPr>
          <w:lang w:val="en-GB"/>
        </w:rPr>
        <w:t>s</w:t>
      </w:r>
      <w:r w:rsidRPr="009737C8">
        <w:rPr>
          <w:lang w:val="en-GB"/>
        </w:rPr>
        <w:t xml:space="preserve"> decision </w:t>
      </w:r>
      <w:r w:rsidRPr="009737C8" w:rsidR="002B53AC">
        <w:rPr>
          <w:lang w:val="en-GB"/>
        </w:rPr>
        <w:t xml:space="preserve">in </w:t>
      </w:r>
      <w:r w:rsidRPr="009737C8">
        <w:rPr>
          <w:lang w:val="en-GB"/>
        </w:rPr>
        <w:t xml:space="preserve">that </w:t>
      </w:r>
      <w:r w:rsidRPr="009737C8" w:rsidR="00450C35">
        <w:rPr>
          <w:lang w:val="en-GB"/>
        </w:rPr>
        <w:t xml:space="preserve">although </w:t>
      </w:r>
      <w:r w:rsidRPr="009737C8">
        <w:rPr>
          <w:lang w:val="en-GB"/>
        </w:rPr>
        <w:t>the right to assembly was a constitutional fundamental right</w:t>
      </w:r>
      <w:r w:rsidRPr="009737C8" w:rsidR="00450C35">
        <w:rPr>
          <w:lang w:val="en-GB"/>
        </w:rPr>
        <w:t>,</w:t>
      </w:r>
      <w:r w:rsidRPr="009737C8">
        <w:rPr>
          <w:lang w:val="en-GB"/>
        </w:rPr>
        <w:t xml:space="preserve"> </w:t>
      </w:r>
      <w:r w:rsidRPr="009737C8" w:rsidR="00450C35">
        <w:rPr>
          <w:lang w:val="en-GB"/>
        </w:rPr>
        <w:t>it</w:t>
      </w:r>
      <w:r w:rsidRPr="009737C8">
        <w:rPr>
          <w:lang w:val="en-GB"/>
        </w:rPr>
        <w:t xml:space="preserve"> was not absolute and </w:t>
      </w:r>
      <w:r w:rsidRPr="009737C8" w:rsidR="00450C35">
        <w:rPr>
          <w:lang w:val="en-GB"/>
        </w:rPr>
        <w:t xml:space="preserve">must </w:t>
      </w:r>
      <w:r w:rsidRPr="009737C8">
        <w:rPr>
          <w:lang w:val="en-GB"/>
        </w:rPr>
        <w:t xml:space="preserve">not give rise to a violation of the fundamental rights of others, </w:t>
      </w:r>
      <w:r w:rsidRPr="009737C8" w:rsidR="00450C35">
        <w:rPr>
          <w:lang w:val="en-GB"/>
        </w:rPr>
        <w:t xml:space="preserve">and </w:t>
      </w:r>
      <w:r w:rsidRPr="009737C8">
        <w:rPr>
          <w:lang w:val="en-GB"/>
        </w:rPr>
        <w:t xml:space="preserve">could </w:t>
      </w:r>
      <w:r w:rsidRPr="009737C8" w:rsidR="00450C35">
        <w:rPr>
          <w:lang w:val="en-GB"/>
        </w:rPr>
        <w:t xml:space="preserve">therefore </w:t>
      </w:r>
      <w:r w:rsidRPr="009737C8">
        <w:rPr>
          <w:lang w:val="en-GB"/>
        </w:rPr>
        <w:t>be restricted.</w:t>
      </w:r>
      <w:r w:rsidRPr="009737C8" w:rsidR="002B53AC">
        <w:rPr>
          <w:lang w:val="en-GB"/>
        </w:rPr>
        <w:t xml:space="preserve"> T</w:t>
      </w:r>
      <w:r w:rsidRPr="009737C8">
        <w:rPr>
          <w:lang w:val="en-GB"/>
        </w:rPr>
        <w:t xml:space="preserve">he court was satisfied that the decision </w:t>
      </w:r>
      <w:r w:rsidRPr="009737C8" w:rsidR="00AE459E">
        <w:rPr>
          <w:lang w:val="en-GB"/>
        </w:rPr>
        <w:t>had been</w:t>
      </w:r>
      <w:r w:rsidRPr="009737C8">
        <w:rPr>
          <w:lang w:val="en-GB"/>
        </w:rPr>
        <w:t xml:space="preserve"> lawful as </w:t>
      </w:r>
      <w:r w:rsidRPr="009737C8" w:rsidR="00AE459E">
        <w:rPr>
          <w:lang w:val="en-GB"/>
        </w:rPr>
        <w:t>the police</w:t>
      </w:r>
      <w:r w:rsidRPr="009737C8">
        <w:rPr>
          <w:lang w:val="en-GB"/>
        </w:rPr>
        <w:t xml:space="preserve"> had </w:t>
      </w:r>
      <w:r w:rsidRPr="009737C8" w:rsidR="00AE459E">
        <w:rPr>
          <w:lang w:val="en-GB"/>
        </w:rPr>
        <w:t>adequately</w:t>
      </w:r>
      <w:r w:rsidRPr="009737C8">
        <w:rPr>
          <w:lang w:val="en-GB"/>
        </w:rPr>
        <w:t xml:space="preserve"> established the facts, complied with the procedural rules</w:t>
      </w:r>
      <w:r w:rsidRPr="009737C8" w:rsidR="00AA463E">
        <w:rPr>
          <w:lang w:val="en-GB"/>
        </w:rPr>
        <w:t xml:space="preserve"> and</w:t>
      </w:r>
      <w:r w:rsidRPr="009737C8">
        <w:rPr>
          <w:lang w:val="en-GB"/>
        </w:rPr>
        <w:t xml:space="preserve"> </w:t>
      </w:r>
      <w:r w:rsidRPr="009737C8" w:rsidR="00AE459E">
        <w:rPr>
          <w:lang w:val="en-GB"/>
        </w:rPr>
        <w:t>applied</w:t>
      </w:r>
      <w:r w:rsidRPr="009737C8">
        <w:rPr>
          <w:lang w:val="en-GB"/>
        </w:rPr>
        <w:t xml:space="preserve"> clear assessment criteria</w:t>
      </w:r>
      <w:r w:rsidRPr="009737C8" w:rsidR="00AA463E">
        <w:rPr>
          <w:lang w:val="en-GB"/>
        </w:rPr>
        <w:t>,</w:t>
      </w:r>
      <w:r w:rsidRPr="009737C8">
        <w:rPr>
          <w:lang w:val="en-GB"/>
        </w:rPr>
        <w:t xml:space="preserve"> and the assessment of the evidence </w:t>
      </w:r>
      <w:r w:rsidRPr="009737C8" w:rsidR="00450C35">
        <w:rPr>
          <w:lang w:val="en-GB"/>
        </w:rPr>
        <w:t xml:space="preserve">had been </w:t>
      </w:r>
      <w:r w:rsidRPr="009737C8">
        <w:rPr>
          <w:lang w:val="en-GB"/>
        </w:rPr>
        <w:t>logical.</w:t>
      </w:r>
    </w:p>
    <w:p w:rsidRPr="009737C8" w:rsidR="00014566" w:rsidP="009737C8" w:rsidRDefault="00014566">
      <w:pPr>
        <w:pStyle w:val="ECHRTitle1"/>
        <w:rPr>
          <w:lang w:val="en-GB"/>
        </w:rPr>
      </w:pPr>
      <w:r w:rsidRPr="009737C8">
        <w:rPr>
          <w:lang w:val="en-GB"/>
        </w:rPr>
        <w:t>THE LAW</w:t>
      </w:r>
    </w:p>
    <w:p w:rsidRPr="009737C8" w:rsidR="00014566" w:rsidP="009737C8" w:rsidRDefault="00014566">
      <w:pPr>
        <w:pStyle w:val="ECHRHeading1"/>
        <w:rPr>
          <w:lang w:val="en-GB"/>
        </w:rPr>
      </w:pPr>
      <w:r w:rsidRPr="009737C8">
        <w:rPr>
          <w:lang w:val="en-GB"/>
        </w:rPr>
        <w:t xml:space="preserve">I.  ALLEGED VIOLATION OF ARTICLE </w:t>
      </w:r>
      <w:r w:rsidRPr="009737C8" w:rsidR="002D5CDD">
        <w:rPr>
          <w:lang w:val="en-GB"/>
        </w:rPr>
        <w:t>11</w:t>
      </w:r>
      <w:r w:rsidRPr="009737C8">
        <w:rPr>
          <w:lang w:val="en-GB"/>
        </w:rPr>
        <w:t xml:space="preserve"> OF THE CONVENTION</w:t>
      </w:r>
    </w:p>
    <w:p w:rsidRPr="009737C8" w:rsidR="002D5CDD" w:rsidP="009737C8" w:rsidRDefault="00585E26">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10</w:t>
      </w:r>
      <w:r w:rsidRPr="009737C8">
        <w:rPr>
          <w:lang w:val="en-GB"/>
        </w:rPr>
        <w:fldChar w:fldCharType="end"/>
      </w:r>
      <w:r w:rsidRPr="009737C8">
        <w:rPr>
          <w:lang w:val="en-GB"/>
        </w:rPr>
        <w:t>.  </w:t>
      </w:r>
      <w:r w:rsidRPr="009737C8" w:rsidR="002D5CDD">
        <w:rPr>
          <w:lang w:val="en-GB"/>
        </w:rPr>
        <w:t>The applicant complained under Article 11 of the Convention that the authorities</w:t>
      </w:r>
      <w:r w:rsidRPr="009737C8" w:rsidR="009737C8">
        <w:rPr>
          <w:lang w:val="en-GB"/>
        </w:rPr>
        <w:t>’</w:t>
      </w:r>
      <w:r w:rsidRPr="009737C8" w:rsidR="002D5CDD">
        <w:rPr>
          <w:lang w:val="en-GB"/>
        </w:rPr>
        <w:t xml:space="preserve"> overly restrictive interpretation of the notion of </w:t>
      </w:r>
      <w:r w:rsidRPr="009737C8" w:rsidR="00AD6E81">
        <w:rPr>
          <w:lang w:val="en-GB"/>
        </w:rPr>
        <w:br/>
      </w:r>
      <w:r w:rsidRPr="009737C8" w:rsidR="002D5CDD">
        <w:rPr>
          <w:lang w:val="en-GB"/>
        </w:rPr>
        <w:t>“no alternative traffic route” had resulted in a disproportionate interference with his right to freedom of assembly.</w:t>
      </w:r>
    </w:p>
    <w:p w:rsidRPr="009737C8" w:rsidR="002D5CDD" w:rsidP="009737C8" w:rsidRDefault="002D5CD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11</w:t>
      </w:r>
      <w:r w:rsidRPr="009737C8">
        <w:rPr>
          <w:lang w:val="en-GB"/>
        </w:rPr>
        <w:fldChar w:fldCharType="end"/>
      </w:r>
      <w:r w:rsidRPr="009737C8">
        <w:rPr>
          <w:lang w:val="en-GB"/>
        </w:rPr>
        <w:t>.  Article 11 of the Convention provides as follows:</w:t>
      </w:r>
    </w:p>
    <w:p w:rsidRPr="009737C8" w:rsidR="002D5CDD" w:rsidP="009737C8" w:rsidRDefault="002D5CDD">
      <w:pPr>
        <w:pStyle w:val="ECHRParaQuote"/>
        <w:rPr>
          <w:lang w:val="en-GB"/>
        </w:rPr>
      </w:pPr>
      <w:r w:rsidRPr="009737C8">
        <w:rPr>
          <w:sz w:val="24"/>
          <w:lang w:val="en-GB"/>
        </w:rPr>
        <w:t>“</w:t>
      </w:r>
      <w:r w:rsidRPr="009737C8">
        <w:rPr>
          <w:lang w:val="en-GB"/>
        </w:rPr>
        <w:t>1.</w:t>
      </w:r>
      <w:proofErr w:type="gramStart"/>
      <w:r w:rsidRPr="009737C8">
        <w:rPr>
          <w:lang w:val="en-GB"/>
        </w:rPr>
        <w:t>  Everyone</w:t>
      </w:r>
      <w:proofErr w:type="gramEnd"/>
      <w:r w:rsidRPr="009737C8">
        <w:rPr>
          <w:lang w:val="en-GB"/>
        </w:rPr>
        <w:t xml:space="preserve"> has the right to freedom of peaceful assembly and to freedom of association with others, including the right to form and to join trade unions for the protection of his interests.</w:t>
      </w:r>
    </w:p>
    <w:p w:rsidRPr="009737C8" w:rsidR="002D5CDD" w:rsidP="009737C8" w:rsidRDefault="002D5CDD">
      <w:pPr>
        <w:pStyle w:val="ECHRParaQuote"/>
        <w:rPr>
          <w:lang w:val="en-GB"/>
        </w:rPr>
      </w:pPr>
      <w:r w:rsidRPr="009737C8">
        <w:rPr>
          <w:lang w:val="en-GB"/>
        </w:rPr>
        <w:t>2.  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 This Article shall not prevent the imposition of lawful restrictions on the exercise of these rights by members of the armed forces, of the police or of the administration of the State.”</w:t>
      </w:r>
    </w:p>
    <w:p w:rsidRPr="009737C8" w:rsidR="002D5CDD" w:rsidP="009737C8" w:rsidRDefault="002D5CDD">
      <w:pPr>
        <w:pStyle w:val="ECHRHeading2"/>
        <w:rPr>
          <w:lang w:val="en-GB"/>
        </w:rPr>
      </w:pPr>
      <w:r w:rsidRPr="009737C8">
        <w:rPr>
          <w:lang w:val="en-GB"/>
        </w:rPr>
        <w:t>A.  Admissibility</w:t>
      </w:r>
    </w:p>
    <w:p w:rsidRPr="009737C8" w:rsidR="002D5CDD" w:rsidP="009737C8" w:rsidRDefault="002D5CD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12</w:t>
      </w:r>
      <w:r w:rsidRPr="009737C8">
        <w:rPr>
          <w:lang w:val="en-GB"/>
        </w:rPr>
        <w:fldChar w:fldCharType="end"/>
      </w:r>
      <w:r w:rsidRPr="009737C8">
        <w:rPr>
          <w:lang w:val="en-GB"/>
        </w:rPr>
        <w:t>.  The Court notes that the application is not manifestly ill-founded within the meaning of Article 35 § 3 (a) of the Convention. It further notes that it is not inadmissible on any other grounds. It must therefore be declared admissible.</w:t>
      </w:r>
    </w:p>
    <w:p w:rsidRPr="009737C8" w:rsidR="00014566" w:rsidP="009737C8" w:rsidRDefault="00014566">
      <w:pPr>
        <w:pStyle w:val="ECHRHeading2"/>
        <w:rPr>
          <w:lang w:val="en-GB"/>
        </w:rPr>
      </w:pPr>
      <w:r w:rsidRPr="009737C8">
        <w:rPr>
          <w:lang w:val="en-GB"/>
        </w:rPr>
        <w:t>B.  Merits</w:t>
      </w:r>
    </w:p>
    <w:p w:rsidRPr="009737C8" w:rsidR="002D5CDD"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13</w:t>
      </w:r>
      <w:r w:rsidRPr="009737C8">
        <w:rPr>
          <w:lang w:val="en-GB"/>
        </w:rPr>
        <w:fldChar w:fldCharType="end"/>
      </w:r>
      <w:r w:rsidRPr="009737C8" w:rsidR="00014566">
        <w:rPr>
          <w:lang w:val="en-GB"/>
        </w:rPr>
        <w:t>.  </w:t>
      </w:r>
      <w:r w:rsidRPr="009737C8" w:rsidR="002D5CDD">
        <w:rPr>
          <w:lang w:val="en-GB"/>
        </w:rPr>
        <w:t xml:space="preserve">The applicant argued that the interference complained of </w:t>
      </w:r>
      <w:r w:rsidRPr="009737C8" w:rsidR="00450C35">
        <w:rPr>
          <w:lang w:val="en-GB"/>
        </w:rPr>
        <w:t xml:space="preserve">had </w:t>
      </w:r>
      <w:r w:rsidRPr="009737C8" w:rsidR="002D5CDD">
        <w:rPr>
          <w:lang w:val="en-GB"/>
        </w:rPr>
        <w:t xml:space="preserve">not </w:t>
      </w:r>
      <w:r w:rsidRPr="009737C8" w:rsidR="00450C35">
        <w:rPr>
          <w:lang w:val="en-GB"/>
        </w:rPr>
        <w:t xml:space="preserve">been </w:t>
      </w:r>
      <w:r w:rsidRPr="009737C8" w:rsidR="002D5CDD">
        <w:rPr>
          <w:lang w:val="en-GB"/>
        </w:rPr>
        <w:t xml:space="preserve">lawful, since the authorities had stretched the relevant provision of the Assembly Act so as to be able to ban the event. Nor </w:t>
      </w:r>
      <w:r w:rsidRPr="009737C8" w:rsidR="00450C35">
        <w:rPr>
          <w:lang w:val="en-GB"/>
        </w:rPr>
        <w:t xml:space="preserve">had </w:t>
      </w:r>
      <w:r w:rsidRPr="009737C8" w:rsidR="002D5CDD">
        <w:rPr>
          <w:lang w:val="en-GB"/>
        </w:rPr>
        <w:t>it pursue</w:t>
      </w:r>
      <w:r w:rsidRPr="009737C8" w:rsidR="00450C35">
        <w:rPr>
          <w:lang w:val="en-GB"/>
        </w:rPr>
        <w:t>d</w:t>
      </w:r>
      <w:r w:rsidRPr="009737C8" w:rsidR="002D5CDD">
        <w:rPr>
          <w:lang w:val="en-GB"/>
        </w:rPr>
        <w:t xml:space="preserve"> any legitimate aim, since the reasons underlying the ban were purely political. As regards its necessity, he argued that had the demonstration been authorised</w:t>
      </w:r>
      <w:r w:rsidRPr="009737C8" w:rsidR="00450C35">
        <w:rPr>
          <w:lang w:val="en-GB"/>
        </w:rPr>
        <w:t>,</w:t>
      </w:r>
      <w:r w:rsidRPr="009737C8" w:rsidR="002D5CDD">
        <w:rPr>
          <w:lang w:val="en-GB"/>
        </w:rPr>
        <w:t xml:space="preserve"> it would not have caused any disproportionate </w:t>
      </w:r>
      <w:r w:rsidRPr="009737C8" w:rsidR="00450C35">
        <w:rPr>
          <w:lang w:val="en-GB"/>
        </w:rPr>
        <w:t xml:space="preserve">obstruction </w:t>
      </w:r>
      <w:r w:rsidRPr="009737C8" w:rsidR="002D5CDD">
        <w:rPr>
          <w:lang w:val="en-GB"/>
        </w:rPr>
        <w:t xml:space="preserve">to the traffic. </w:t>
      </w:r>
      <w:proofErr w:type="spellStart"/>
      <w:r w:rsidRPr="009737C8" w:rsidR="002D5CDD">
        <w:rPr>
          <w:lang w:val="en-GB"/>
        </w:rPr>
        <w:t>Venyige</w:t>
      </w:r>
      <w:proofErr w:type="spellEnd"/>
      <w:r w:rsidRPr="009737C8" w:rsidR="002D5CDD">
        <w:rPr>
          <w:lang w:val="en-GB"/>
        </w:rPr>
        <w:t xml:space="preserve"> Street, with the service lane included, was wide enough to accommodate the expected number of participants, some 200; and the police could have secured access to the prison notwithstanding the on-going event.</w:t>
      </w:r>
    </w:p>
    <w:p w:rsidRPr="009737C8" w:rsidR="002D5CDD" w:rsidP="009737C8" w:rsidRDefault="002D5CD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14</w:t>
      </w:r>
      <w:r w:rsidRPr="009737C8">
        <w:rPr>
          <w:lang w:val="en-GB"/>
        </w:rPr>
        <w:fldChar w:fldCharType="end"/>
      </w:r>
      <w:r w:rsidRPr="009737C8">
        <w:rPr>
          <w:lang w:val="en-GB"/>
        </w:rPr>
        <w:t xml:space="preserve">.  The Government submitted that the interference was prescribed by law, namely by the relevant provisions of the Assembly Act. Furthermore, it pursued the legitimate aim of securing the rights of others, that is, those of </w:t>
      </w:r>
      <w:r w:rsidRPr="009737C8" w:rsidR="00450C35">
        <w:rPr>
          <w:lang w:val="en-GB"/>
        </w:rPr>
        <w:t xml:space="preserve">other road </w:t>
      </w:r>
      <w:r w:rsidRPr="009737C8">
        <w:rPr>
          <w:lang w:val="en-GB"/>
        </w:rPr>
        <w:t xml:space="preserve">users. As to its necessity, the Government stressed that the police had had to balance the right to assembly and the right to free movement. Since in the present case the event was likely to </w:t>
      </w:r>
      <w:r w:rsidRPr="009737C8" w:rsidR="00450C35">
        <w:rPr>
          <w:lang w:val="en-GB"/>
        </w:rPr>
        <w:t xml:space="preserve">cause inordinate traffic congestion in </w:t>
      </w:r>
      <w:r w:rsidRPr="009737C8">
        <w:rPr>
          <w:lang w:val="en-GB"/>
        </w:rPr>
        <w:t xml:space="preserve">both </w:t>
      </w:r>
      <w:proofErr w:type="spellStart"/>
      <w:r w:rsidRPr="009737C8">
        <w:rPr>
          <w:lang w:val="en-GB"/>
        </w:rPr>
        <w:t>Venyige</w:t>
      </w:r>
      <w:proofErr w:type="spellEnd"/>
      <w:r w:rsidRPr="009737C8">
        <w:rPr>
          <w:lang w:val="en-GB"/>
        </w:rPr>
        <w:t xml:space="preserve"> Street and the neighbouring major thoroughfare, it was the police</w:t>
      </w:r>
      <w:r w:rsidRPr="009737C8" w:rsidR="009737C8">
        <w:rPr>
          <w:lang w:val="en-GB"/>
        </w:rPr>
        <w:t>’</w:t>
      </w:r>
      <w:r w:rsidRPr="009737C8">
        <w:rPr>
          <w:lang w:val="en-GB"/>
        </w:rPr>
        <w:t xml:space="preserve">s </w:t>
      </w:r>
      <w:r w:rsidRPr="009737C8" w:rsidR="00450C35">
        <w:rPr>
          <w:lang w:val="en-GB"/>
        </w:rPr>
        <w:t xml:space="preserve">prerogative </w:t>
      </w:r>
      <w:r w:rsidRPr="009737C8">
        <w:rPr>
          <w:lang w:val="en-GB"/>
        </w:rPr>
        <w:t>to restrict the applicant</w:t>
      </w:r>
      <w:r w:rsidRPr="009737C8" w:rsidR="009737C8">
        <w:rPr>
          <w:lang w:val="en-GB"/>
        </w:rPr>
        <w:t>’</w:t>
      </w:r>
      <w:r w:rsidRPr="009737C8">
        <w:rPr>
          <w:lang w:val="en-GB"/>
        </w:rPr>
        <w:t>s Article</w:t>
      </w:r>
      <w:r w:rsidRPr="009737C8" w:rsidR="00742A36">
        <w:rPr>
          <w:lang w:val="en-GB"/>
        </w:rPr>
        <w:t> </w:t>
      </w:r>
      <w:r w:rsidRPr="009737C8">
        <w:rPr>
          <w:lang w:val="en-GB"/>
        </w:rPr>
        <w:t>11 rights: the measure was thus a necessary and proportionate restriction on the right to assembly.</w:t>
      </w:r>
    </w:p>
    <w:p w:rsidRPr="009737C8" w:rsidR="002D5CDD" w:rsidP="009737C8" w:rsidRDefault="002D5CD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15</w:t>
      </w:r>
      <w:r w:rsidRPr="009737C8">
        <w:rPr>
          <w:lang w:val="en-GB"/>
        </w:rPr>
        <w:fldChar w:fldCharType="end"/>
      </w:r>
      <w:r w:rsidRPr="009737C8">
        <w:rPr>
          <w:lang w:val="en-GB"/>
        </w:rPr>
        <w:t xml:space="preserve">.  The Court notes that the Government did not dispute that the applicant could rely on the guarantees contained in Article 11; nor did they deny that the ban on the demonstration had interfered with the exercise of his rights under that provision. </w:t>
      </w:r>
      <w:r w:rsidRPr="009737C8" w:rsidR="00742A36">
        <w:rPr>
          <w:lang w:val="en-GB"/>
        </w:rPr>
        <w:t>It</w:t>
      </w:r>
      <w:r w:rsidRPr="009737C8">
        <w:rPr>
          <w:lang w:val="en-GB"/>
        </w:rPr>
        <w:t xml:space="preserve"> sees no reason to hold otherwise.</w:t>
      </w:r>
    </w:p>
    <w:p w:rsidRPr="009737C8" w:rsidR="002D5CDD" w:rsidP="009737C8" w:rsidRDefault="002D5CD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16</w:t>
      </w:r>
      <w:r w:rsidRPr="009737C8">
        <w:rPr>
          <w:lang w:val="en-GB"/>
        </w:rPr>
        <w:fldChar w:fldCharType="end"/>
      </w:r>
      <w:r w:rsidRPr="009737C8">
        <w:rPr>
          <w:lang w:val="en-GB"/>
        </w:rPr>
        <w:t xml:space="preserve">.  It must therefore be determined whether the measure complained of was “prescribed by law”, was </w:t>
      </w:r>
      <w:r w:rsidRPr="009737C8" w:rsidR="001B7D01">
        <w:rPr>
          <w:lang w:val="en-GB"/>
        </w:rPr>
        <w:t xml:space="preserve">in furtherance of </w:t>
      </w:r>
      <w:r w:rsidRPr="009737C8">
        <w:rPr>
          <w:lang w:val="en-GB"/>
        </w:rPr>
        <w:t>one or more of the legitimate aims set out in paragraph 2, and was “necessary in a democratic society” to achieve them.</w:t>
      </w:r>
    </w:p>
    <w:p w:rsidRPr="009737C8" w:rsidR="00B74CFD" w:rsidP="009737C8" w:rsidRDefault="00B74CF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17</w:t>
      </w:r>
      <w:r w:rsidRPr="009737C8">
        <w:rPr>
          <w:lang w:val="en-GB"/>
        </w:rPr>
        <w:fldChar w:fldCharType="end"/>
      </w:r>
      <w:r w:rsidRPr="009737C8">
        <w:rPr>
          <w:lang w:val="en-GB"/>
        </w:rPr>
        <w:t>.  </w:t>
      </w:r>
      <w:r w:rsidRPr="009737C8" w:rsidR="002D5CDD">
        <w:rPr>
          <w:lang w:val="en-GB"/>
        </w:rPr>
        <w:t>The</w:t>
      </w:r>
      <w:r w:rsidRPr="009737C8">
        <w:rPr>
          <w:lang w:val="en-GB"/>
        </w:rPr>
        <w:t xml:space="preserve"> Court observes that the ban was based on section 8(1) of the Assembly Act and considers that it was thus </w:t>
      </w:r>
      <w:r w:rsidRPr="009737C8" w:rsidR="00742A36">
        <w:rPr>
          <w:lang w:val="en-GB"/>
        </w:rPr>
        <w:t>prescribed by law</w:t>
      </w:r>
      <w:r w:rsidRPr="009737C8">
        <w:rPr>
          <w:lang w:val="en-GB"/>
        </w:rPr>
        <w:t>.</w:t>
      </w:r>
    </w:p>
    <w:p w:rsidRPr="009737C8" w:rsidR="002D5CDD" w:rsidP="009737C8" w:rsidRDefault="00B74CFD">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18</w:t>
      </w:r>
      <w:r w:rsidRPr="009737C8">
        <w:rPr>
          <w:lang w:val="en-GB"/>
        </w:rPr>
        <w:fldChar w:fldCharType="end"/>
      </w:r>
      <w:r w:rsidRPr="009737C8">
        <w:rPr>
          <w:lang w:val="en-GB"/>
        </w:rPr>
        <w:t xml:space="preserve">.  Moreover, </w:t>
      </w:r>
      <w:r w:rsidRPr="009737C8" w:rsidR="00852A22">
        <w:rPr>
          <w:lang w:val="en-GB"/>
        </w:rPr>
        <w:t xml:space="preserve">the Court </w:t>
      </w:r>
      <w:r w:rsidRPr="009737C8" w:rsidR="002D5CDD">
        <w:rPr>
          <w:lang w:val="en-GB"/>
        </w:rPr>
        <w:t>is satisfied that the measure complained of pursued the legitimate aims of preventing disorder and protecting the rights of others.</w:t>
      </w:r>
    </w:p>
    <w:p w:rsidRPr="009737C8" w:rsidR="00B74CFD" w:rsidP="009737C8" w:rsidRDefault="002D5CDD">
      <w:pPr>
        <w:pStyle w:val="ECHRPara"/>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19</w:t>
      </w:r>
      <w:r w:rsidRPr="009737C8">
        <w:rPr>
          <w:lang w:val="en-GB"/>
        </w:rPr>
        <w:fldChar w:fldCharType="end"/>
      </w:r>
      <w:r w:rsidRPr="009737C8">
        <w:rPr>
          <w:lang w:val="en-GB"/>
        </w:rPr>
        <w:t>.  As regards the question as to whether the interference was necessary in a democratic society, the Court re</w:t>
      </w:r>
      <w:r w:rsidRPr="009737C8" w:rsidR="00B74CFD">
        <w:rPr>
          <w:lang w:val="en-GB"/>
        </w:rPr>
        <w:t xml:space="preserve">fers </w:t>
      </w:r>
      <w:r w:rsidRPr="009737C8" w:rsidR="00742A36">
        <w:rPr>
          <w:lang w:val="en-GB"/>
        </w:rPr>
        <w:t xml:space="preserve">at the outset </w:t>
      </w:r>
      <w:r w:rsidRPr="009737C8" w:rsidR="00B74CFD">
        <w:rPr>
          <w:lang w:val="en-GB"/>
        </w:rPr>
        <w:t xml:space="preserve">to the principles </w:t>
      </w:r>
      <w:r w:rsidRPr="009737C8" w:rsidR="00B74CFD">
        <w:t xml:space="preserve">enounced in paragraphs 24 to 27 </w:t>
      </w:r>
      <w:r w:rsidRPr="009737C8" w:rsidR="00AA463E">
        <w:t xml:space="preserve">of </w:t>
      </w:r>
      <w:r w:rsidRPr="009737C8" w:rsidR="00B74CFD">
        <w:t xml:space="preserve">the judgment </w:t>
      </w:r>
      <w:proofErr w:type="spellStart"/>
      <w:r w:rsidRPr="009737C8" w:rsidR="00B74CFD">
        <w:rPr>
          <w:i/>
        </w:rPr>
        <w:t>Körtvélyessy</w:t>
      </w:r>
      <w:proofErr w:type="spellEnd"/>
      <w:r w:rsidRPr="009737C8" w:rsidR="00B74CFD">
        <w:rPr>
          <w:i/>
        </w:rPr>
        <w:t xml:space="preserve"> v. Hungary</w:t>
      </w:r>
      <w:r w:rsidRPr="009737C8" w:rsidR="00B74CFD">
        <w:t xml:space="preserve"> (no. 7871/10, 5 April 2016).</w:t>
      </w:r>
    </w:p>
    <w:p w:rsidRPr="009737C8" w:rsidR="002D5CDD" w:rsidP="009737C8" w:rsidRDefault="00B74CFD">
      <w:pPr>
        <w:pStyle w:val="ECHRPara"/>
        <w:rPr>
          <w:i/>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20</w:t>
      </w:r>
      <w:r w:rsidRPr="009737C8">
        <w:rPr>
          <w:lang w:val="en-GB"/>
        </w:rPr>
        <w:fldChar w:fldCharType="end"/>
      </w:r>
      <w:r w:rsidRPr="009737C8">
        <w:rPr>
          <w:lang w:val="en-GB"/>
        </w:rPr>
        <w:t>.  </w:t>
      </w:r>
      <w:r w:rsidRPr="009737C8" w:rsidR="00852A22">
        <w:rPr>
          <w:lang w:val="en-GB"/>
        </w:rPr>
        <w:t>The Court</w:t>
      </w:r>
      <w:r w:rsidRPr="009737C8" w:rsidR="002D5CDD">
        <w:rPr>
          <w:lang w:val="en-GB"/>
        </w:rPr>
        <w:t xml:space="preserve"> observes that in the domestic court decision dealing with the case, the basis for upholding the ban on the assembly related exclusively to traffic issues. </w:t>
      </w:r>
      <w:r w:rsidRPr="009737C8" w:rsidR="00742A36">
        <w:rPr>
          <w:lang w:val="en-GB"/>
        </w:rPr>
        <w:t>The</w:t>
      </w:r>
      <w:r w:rsidRPr="009737C8" w:rsidR="002D5CDD">
        <w:rPr>
          <w:lang w:val="en-GB"/>
        </w:rPr>
        <w:t xml:space="preserve"> Government</w:t>
      </w:r>
      <w:r w:rsidRPr="009737C8" w:rsidR="009737C8">
        <w:rPr>
          <w:lang w:val="en-GB"/>
        </w:rPr>
        <w:t>’</w:t>
      </w:r>
      <w:r w:rsidRPr="009737C8" w:rsidR="002D5CDD">
        <w:rPr>
          <w:lang w:val="en-GB"/>
        </w:rPr>
        <w:t>s submissions</w:t>
      </w:r>
      <w:r w:rsidRPr="009737C8" w:rsidR="00852A22">
        <w:rPr>
          <w:lang w:val="en-GB"/>
        </w:rPr>
        <w:t xml:space="preserve"> were</w:t>
      </w:r>
      <w:r w:rsidRPr="009737C8" w:rsidR="002D5CDD">
        <w:rPr>
          <w:lang w:val="en-GB"/>
        </w:rPr>
        <w:t xml:space="preserve">, in essence, confined to the affirmation that the demonstration would have seriously hampered </w:t>
      </w:r>
      <w:r w:rsidRPr="009737C8" w:rsidR="00852A22">
        <w:rPr>
          <w:lang w:val="en-GB"/>
        </w:rPr>
        <w:t xml:space="preserve">the </w:t>
      </w:r>
      <w:r w:rsidRPr="009737C8" w:rsidR="002D5CDD">
        <w:rPr>
          <w:lang w:val="en-GB"/>
        </w:rPr>
        <w:t xml:space="preserve">free </w:t>
      </w:r>
      <w:r w:rsidRPr="009737C8" w:rsidR="00852A22">
        <w:rPr>
          <w:lang w:val="en-GB"/>
        </w:rPr>
        <w:t xml:space="preserve">flow of </w:t>
      </w:r>
      <w:r w:rsidRPr="009737C8" w:rsidR="002D5CDD">
        <w:rPr>
          <w:lang w:val="en-GB"/>
        </w:rPr>
        <w:t xml:space="preserve">traffic in the area. In this connection, the Court reiterates that a demonstration in a public place may cause a certain level of disruption to ordinary life </w:t>
      </w:r>
      <w:r w:rsidRPr="009737C8" w:rsidR="00AF6494">
        <w:rPr>
          <w:lang w:val="en-GB"/>
        </w:rPr>
        <w:t xml:space="preserve">including disruption of traffic. However, where demonstrators do not engage in </w:t>
      </w:r>
      <w:r w:rsidRPr="009737C8" w:rsidR="00FD1D28">
        <w:rPr>
          <w:lang w:val="en-GB"/>
        </w:rPr>
        <w:t>acts</w:t>
      </w:r>
      <w:r w:rsidRPr="009737C8" w:rsidR="00AF6494">
        <w:rPr>
          <w:lang w:val="en-GB"/>
        </w:rPr>
        <w:t xml:space="preserve"> of violence, it is important for public authorities to show a certain degree of tolerance towards peaceful gatherings if the freedom of assembly guaranteed by Article 11 is not to be deprived of all substance </w:t>
      </w:r>
      <w:r w:rsidRPr="009737C8" w:rsidR="002D5CDD">
        <w:rPr>
          <w:lang w:val="en-GB"/>
        </w:rPr>
        <w:t xml:space="preserve">(see </w:t>
      </w:r>
      <w:proofErr w:type="spellStart"/>
      <w:r w:rsidRPr="009737C8" w:rsidR="00D125C0">
        <w:rPr>
          <w:i/>
          <w:lang w:val="en-GB"/>
        </w:rPr>
        <w:t>Nurettin</w:t>
      </w:r>
      <w:proofErr w:type="spellEnd"/>
      <w:r w:rsidRPr="009737C8" w:rsidR="00D125C0">
        <w:rPr>
          <w:i/>
          <w:lang w:val="en-GB"/>
        </w:rPr>
        <w:t xml:space="preserve"> </w:t>
      </w:r>
      <w:proofErr w:type="spellStart"/>
      <w:r w:rsidRPr="009737C8" w:rsidR="00D125C0">
        <w:rPr>
          <w:i/>
          <w:lang w:val="en-GB"/>
        </w:rPr>
        <w:t>Aldemir</w:t>
      </w:r>
      <w:proofErr w:type="spellEnd"/>
      <w:r w:rsidRPr="009737C8" w:rsidR="00D125C0">
        <w:rPr>
          <w:i/>
          <w:lang w:val="en-GB"/>
        </w:rPr>
        <w:t xml:space="preserve"> and </w:t>
      </w:r>
      <w:r w:rsidRPr="009737C8" w:rsidR="002D5CDD">
        <w:rPr>
          <w:i/>
          <w:lang w:val="en-GB"/>
        </w:rPr>
        <w:t>Others v.</w:t>
      </w:r>
      <w:r w:rsidRPr="009737C8" w:rsidR="009779E3">
        <w:rPr>
          <w:i/>
          <w:lang w:val="en-GB"/>
        </w:rPr>
        <w:t xml:space="preserve"> </w:t>
      </w:r>
      <w:r w:rsidRPr="009737C8" w:rsidR="002D5CDD">
        <w:rPr>
          <w:i/>
          <w:lang w:val="en-GB"/>
        </w:rPr>
        <w:t>Turkey</w:t>
      </w:r>
      <w:r w:rsidRPr="009737C8" w:rsidR="002D5CDD">
        <w:rPr>
          <w:lang w:val="en-GB"/>
        </w:rPr>
        <w:t>, nos. 32124/02</w:t>
      </w:r>
      <w:r w:rsidRPr="009737C8" w:rsidR="00AF6494">
        <w:rPr>
          <w:lang w:val="en-GB"/>
        </w:rPr>
        <w:t xml:space="preserve"> </w:t>
      </w:r>
      <w:r w:rsidRPr="009737C8" w:rsidR="004C72A1">
        <w:rPr>
          <w:lang w:val="en-GB"/>
        </w:rPr>
        <w:t xml:space="preserve">and </w:t>
      </w:r>
      <w:r w:rsidRPr="009737C8" w:rsidR="003839E7">
        <w:rPr>
          <w:lang w:val="en-GB"/>
        </w:rPr>
        <w:t>6 </w:t>
      </w:r>
      <w:r w:rsidRPr="009737C8" w:rsidR="004C72A1">
        <w:rPr>
          <w:lang w:val="en-GB"/>
        </w:rPr>
        <w:t>others</w:t>
      </w:r>
      <w:r w:rsidRPr="009737C8" w:rsidR="00AF6494">
        <w:rPr>
          <w:lang w:val="en-GB"/>
        </w:rPr>
        <w:t xml:space="preserve">, </w:t>
      </w:r>
      <w:r w:rsidRPr="009737C8" w:rsidR="002D5CDD">
        <w:rPr>
          <w:lang w:val="en-GB"/>
        </w:rPr>
        <w:t>§</w:t>
      </w:r>
      <w:r w:rsidRPr="009737C8" w:rsidR="00EB3175">
        <w:rPr>
          <w:lang w:val="en-GB"/>
        </w:rPr>
        <w:t> </w:t>
      </w:r>
      <w:r w:rsidRPr="009737C8" w:rsidR="002D5CDD">
        <w:rPr>
          <w:lang w:val="en-GB"/>
        </w:rPr>
        <w:t>43, 18 December 2007</w:t>
      </w:r>
      <w:r w:rsidRPr="009737C8" w:rsidR="00852A22">
        <w:rPr>
          <w:lang w:val="en-GB"/>
        </w:rPr>
        <w:t>, and</w:t>
      </w:r>
      <w:r w:rsidRPr="009737C8" w:rsidR="002D5CDD">
        <w:rPr>
          <w:lang w:val="en-GB"/>
        </w:rPr>
        <w:t xml:space="preserve"> </w:t>
      </w:r>
      <w:proofErr w:type="spellStart"/>
      <w:r w:rsidRPr="009737C8" w:rsidR="002D5CDD">
        <w:rPr>
          <w:i/>
        </w:rPr>
        <w:t>Budaházy</w:t>
      </w:r>
      <w:proofErr w:type="spellEnd"/>
      <w:r w:rsidRPr="009737C8" w:rsidR="002D5CDD">
        <w:rPr>
          <w:i/>
        </w:rPr>
        <w:t xml:space="preserve"> v. Hungary</w:t>
      </w:r>
      <w:r w:rsidRPr="009737C8" w:rsidR="002D5CDD">
        <w:t>, no. 41479/10</w:t>
      </w:r>
      <w:r w:rsidRPr="009737C8" w:rsidR="002D5CDD">
        <w:rPr>
          <w:snapToGrid w:val="0"/>
        </w:rPr>
        <w:t>, §</w:t>
      </w:r>
      <w:r w:rsidRPr="009737C8" w:rsidR="00EB3175">
        <w:rPr>
          <w:snapToGrid w:val="0"/>
        </w:rPr>
        <w:t> </w:t>
      </w:r>
      <w:r w:rsidRPr="009737C8" w:rsidR="002D5CDD">
        <w:rPr>
          <w:snapToGrid w:val="0"/>
        </w:rPr>
        <w:t>34, 15</w:t>
      </w:r>
      <w:r w:rsidRPr="009737C8" w:rsidR="00742A36">
        <w:rPr>
          <w:snapToGrid w:val="0"/>
        </w:rPr>
        <w:t> </w:t>
      </w:r>
      <w:r w:rsidRPr="009737C8" w:rsidR="002D5CDD">
        <w:rPr>
          <w:snapToGrid w:val="0"/>
        </w:rPr>
        <w:t>December 2015</w:t>
      </w:r>
      <w:r w:rsidRPr="009737C8" w:rsidR="002D5CDD">
        <w:rPr>
          <w:lang w:val="en-GB"/>
        </w:rPr>
        <w:t>).</w:t>
      </w:r>
    </w:p>
    <w:p w:rsidRPr="009737C8" w:rsidR="002D5CDD" w:rsidP="009737C8" w:rsidRDefault="00AB68E1">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21</w:t>
      </w:r>
      <w:r w:rsidRPr="009737C8">
        <w:rPr>
          <w:lang w:val="en-GB"/>
        </w:rPr>
        <w:fldChar w:fldCharType="end"/>
      </w:r>
      <w:r w:rsidRPr="009737C8">
        <w:rPr>
          <w:lang w:val="en-GB"/>
        </w:rPr>
        <w:t>.  </w:t>
      </w:r>
      <w:r w:rsidRPr="009737C8" w:rsidR="00B74CFD">
        <w:rPr>
          <w:lang w:val="en-GB"/>
        </w:rPr>
        <w:t xml:space="preserve">Concerning the </w:t>
      </w:r>
      <w:r w:rsidRPr="009737C8" w:rsidR="002D5CDD">
        <w:rPr>
          <w:lang w:val="en-GB"/>
        </w:rPr>
        <w:t>assessment of the relevant facts</w:t>
      </w:r>
      <w:r w:rsidRPr="009737C8" w:rsidR="00B74CFD">
        <w:rPr>
          <w:lang w:val="en-GB"/>
        </w:rPr>
        <w:t xml:space="preserve"> of the present case, the Court bases its findings </w:t>
      </w:r>
      <w:r w:rsidRPr="009737C8" w:rsidR="00852A22">
        <w:rPr>
          <w:lang w:val="en-GB"/>
        </w:rPr>
        <w:t xml:space="preserve">on those </w:t>
      </w:r>
      <w:r w:rsidRPr="009737C8" w:rsidR="00B74CFD">
        <w:rPr>
          <w:lang w:val="en-GB"/>
        </w:rPr>
        <w:t xml:space="preserve">in the </w:t>
      </w:r>
      <w:proofErr w:type="spellStart"/>
      <w:r w:rsidRPr="009737C8" w:rsidR="00B74CFD">
        <w:rPr>
          <w:i/>
          <w:lang w:val="en-GB"/>
        </w:rPr>
        <w:t>Körtvélyessy</w:t>
      </w:r>
      <w:proofErr w:type="spellEnd"/>
      <w:r w:rsidRPr="009737C8" w:rsidR="00B74CFD">
        <w:rPr>
          <w:lang w:val="en-GB"/>
        </w:rPr>
        <w:t xml:space="preserve"> case (see paragraphs 29 and 30 of that judgment, cited above)</w:t>
      </w:r>
      <w:r w:rsidRPr="009737C8" w:rsidR="00852A22">
        <w:rPr>
          <w:lang w:val="en-GB"/>
        </w:rPr>
        <w:t>,</w:t>
      </w:r>
      <w:r w:rsidRPr="009737C8" w:rsidR="00B74CFD">
        <w:rPr>
          <w:lang w:val="en-GB"/>
        </w:rPr>
        <w:t xml:space="preserve"> which concerned a similar </w:t>
      </w:r>
      <w:r w:rsidRPr="009737C8" w:rsidR="00D60170">
        <w:rPr>
          <w:lang w:val="en-GB"/>
        </w:rPr>
        <w:t xml:space="preserve">problem </w:t>
      </w:r>
      <w:r w:rsidRPr="009737C8" w:rsidR="00742A36">
        <w:rPr>
          <w:lang w:val="en-GB"/>
        </w:rPr>
        <w:t>relating to</w:t>
      </w:r>
      <w:r w:rsidRPr="009737C8" w:rsidR="00D60170">
        <w:rPr>
          <w:lang w:val="en-GB"/>
        </w:rPr>
        <w:t xml:space="preserve"> the very same</w:t>
      </w:r>
      <w:r w:rsidRPr="009737C8" w:rsidR="00852A22">
        <w:rPr>
          <w:lang w:val="en-GB"/>
        </w:rPr>
        <w:t xml:space="preserve"> location</w:t>
      </w:r>
      <w:r w:rsidRPr="009737C8" w:rsidR="00D60170">
        <w:rPr>
          <w:lang w:val="en-GB"/>
        </w:rPr>
        <w:t xml:space="preserve">. For essentially the same reasons as in that case, </w:t>
      </w:r>
      <w:r w:rsidRPr="009737C8" w:rsidR="002D5CDD">
        <w:rPr>
          <w:lang w:val="en-GB"/>
        </w:rPr>
        <w:t xml:space="preserve">the Court finds that the </w:t>
      </w:r>
      <w:r w:rsidRPr="009737C8" w:rsidR="00852A22">
        <w:rPr>
          <w:lang w:val="en-GB"/>
        </w:rPr>
        <w:t xml:space="preserve">reason </w:t>
      </w:r>
      <w:r w:rsidRPr="009737C8" w:rsidR="002D5CDD">
        <w:rPr>
          <w:lang w:val="en-GB"/>
        </w:rPr>
        <w:t>for ban</w:t>
      </w:r>
      <w:r w:rsidRPr="009737C8" w:rsidR="00852A22">
        <w:rPr>
          <w:lang w:val="en-GB"/>
        </w:rPr>
        <w:t>ning</w:t>
      </w:r>
      <w:r w:rsidRPr="009737C8" w:rsidR="002D5CDD">
        <w:rPr>
          <w:lang w:val="en-GB"/>
        </w:rPr>
        <w:t xml:space="preserve"> the planned peaceful assembly was, if at all relevant, not sufficient to meet any pressing social need. The ban has therefore not been shown to </w:t>
      </w:r>
      <w:r w:rsidRPr="009737C8" w:rsidR="00742A36">
        <w:rPr>
          <w:lang w:val="en-GB"/>
        </w:rPr>
        <w:t>be</w:t>
      </w:r>
      <w:r w:rsidRPr="009737C8" w:rsidR="002D5CDD">
        <w:rPr>
          <w:lang w:val="en-GB"/>
        </w:rPr>
        <w:t xml:space="preserve"> necessary in a democratic society in order to achieve the aims pursued.</w:t>
      </w:r>
    </w:p>
    <w:p w:rsidRPr="009737C8" w:rsidR="002D5CDD" w:rsidP="009737C8" w:rsidRDefault="00742A36">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22</w:t>
      </w:r>
      <w:r w:rsidRPr="009737C8">
        <w:rPr>
          <w:lang w:val="en-GB"/>
        </w:rPr>
        <w:fldChar w:fldCharType="end"/>
      </w:r>
      <w:r w:rsidRPr="009737C8">
        <w:rPr>
          <w:lang w:val="en-GB"/>
        </w:rPr>
        <w:t>.  </w:t>
      </w:r>
      <w:r w:rsidRPr="009737C8" w:rsidR="002D5CDD">
        <w:rPr>
          <w:lang w:val="en-GB"/>
        </w:rPr>
        <w:t>Accordingly, there has been a violation of Article 11 of the Convention.</w:t>
      </w:r>
    </w:p>
    <w:p w:rsidRPr="009737C8" w:rsidR="00014566" w:rsidP="009737C8" w:rsidRDefault="00742A36">
      <w:pPr>
        <w:pStyle w:val="ECHRHeading1"/>
        <w:rPr>
          <w:lang w:val="en-GB"/>
        </w:rPr>
      </w:pPr>
      <w:r w:rsidRPr="009737C8">
        <w:rPr>
          <w:lang w:val="en-GB"/>
        </w:rPr>
        <w:t>II</w:t>
      </w:r>
      <w:r w:rsidRPr="009737C8" w:rsidR="00014566">
        <w:rPr>
          <w:lang w:val="en-GB"/>
        </w:rPr>
        <w:t>.</w:t>
      </w:r>
      <w:proofErr w:type="gramStart"/>
      <w:r w:rsidRPr="009737C8" w:rsidR="00014566">
        <w:rPr>
          <w:lang w:val="en-GB"/>
        </w:rPr>
        <w:t>  APPLICATION</w:t>
      </w:r>
      <w:proofErr w:type="gramEnd"/>
      <w:r w:rsidRPr="009737C8" w:rsidR="00014566">
        <w:rPr>
          <w:lang w:val="en-GB"/>
        </w:rPr>
        <w:t xml:space="preserve"> OF ARTICLE 41 OF THE CONVENTION</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23</w:t>
      </w:r>
      <w:r w:rsidRPr="009737C8">
        <w:rPr>
          <w:lang w:val="en-GB"/>
        </w:rPr>
        <w:fldChar w:fldCharType="end"/>
      </w:r>
      <w:r w:rsidRPr="009737C8" w:rsidR="00014566">
        <w:rPr>
          <w:lang w:val="en-GB"/>
        </w:rPr>
        <w:t>.  Article 41 of the Convention provides:</w:t>
      </w:r>
    </w:p>
    <w:p w:rsidRPr="009737C8" w:rsidR="00014566" w:rsidP="009737C8" w:rsidRDefault="00014566">
      <w:pPr>
        <w:pStyle w:val="ECHRParaQuote"/>
        <w:keepNext/>
        <w:keepLines/>
        <w:rPr>
          <w:lang w:val="en-GB"/>
        </w:rPr>
      </w:pPr>
      <w:r w:rsidRPr="009737C8">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9737C8" w:rsidR="00014566" w:rsidP="009737C8" w:rsidRDefault="00014566">
      <w:pPr>
        <w:pStyle w:val="ECHRHeading2"/>
        <w:rPr>
          <w:lang w:val="en-GB"/>
        </w:rPr>
      </w:pPr>
      <w:r w:rsidRPr="009737C8">
        <w:rPr>
          <w:lang w:val="en-GB"/>
        </w:rPr>
        <w:t>A.  Damage</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24</w:t>
      </w:r>
      <w:r w:rsidRPr="009737C8">
        <w:rPr>
          <w:lang w:val="en-GB"/>
        </w:rPr>
        <w:fldChar w:fldCharType="end"/>
      </w:r>
      <w:r w:rsidRPr="009737C8" w:rsidR="00014566">
        <w:rPr>
          <w:lang w:val="en-GB"/>
        </w:rPr>
        <w:t xml:space="preserve">.  The applicant claimed </w:t>
      </w:r>
      <w:r w:rsidRPr="009737C8" w:rsidR="00D60170">
        <w:rPr>
          <w:lang w:val="en-GB"/>
        </w:rPr>
        <w:t>10,000</w:t>
      </w:r>
      <w:r w:rsidRPr="009737C8" w:rsidR="00014566">
        <w:rPr>
          <w:lang w:val="en-GB"/>
        </w:rPr>
        <w:t xml:space="preserve"> euros (EUR) in respect of </w:t>
      </w:r>
      <w:r w:rsidRPr="009737C8" w:rsidR="00AD6E81">
        <w:rPr>
          <w:lang w:val="en-GB"/>
        </w:rPr>
        <w:br/>
      </w:r>
      <w:r w:rsidRPr="009737C8" w:rsidR="00014566">
        <w:rPr>
          <w:lang w:val="en-GB"/>
        </w:rPr>
        <w:t>non-pecuniary damage.</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25</w:t>
      </w:r>
      <w:r w:rsidRPr="009737C8">
        <w:rPr>
          <w:lang w:val="en-GB"/>
        </w:rPr>
        <w:fldChar w:fldCharType="end"/>
      </w:r>
      <w:r w:rsidRPr="009737C8" w:rsidR="00014566">
        <w:rPr>
          <w:lang w:val="en-GB"/>
        </w:rPr>
        <w:t xml:space="preserve">.  The Government </w:t>
      </w:r>
      <w:r w:rsidRPr="009737C8" w:rsidR="00D60170">
        <w:rPr>
          <w:lang w:val="en-GB"/>
        </w:rPr>
        <w:t xml:space="preserve">contested </w:t>
      </w:r>
      <w:r w:rsidRPr="009737C8" w:rsidR="00852A22">
        <w:rPr>
          <w:lang w:val="en-GB"/>
        </w:rPr>
        <w:t xml:space="preserve">the </w:t>
      </w:r>
      <w:r w:rsidRPr="009737C8" w:rsidR="00D60170">
        <w:rPr>
          <w:lang w:val="en-GB"/>
        </w:rPr>
        <w:t>claim.</w:t>
      </w:r>
    </w:p>
    <w:p w:rsidRPr="009737C8" w:rsidR="00D60170" w:rsidP="009737C8" w:rsidRDefault="00D60170">
      <w:pPr>
        <w:pStyle w:val="ECHRPara"/>
        <w:rPr>
          <w:i/>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26</w:t>
      </w:r>
      <w:r w:rsidRPr="009737C8">
        <w:rPr>
          <w:lang w:val="en-GB"/>
        </w:rPr>
        <w:fldChar w:fldCharType="end"/>
      </w:r>
      <w:r w:rsidRPr="009737C8">
        <w:rPr>
          <w:lang w:val="en-GB"/>
        </w:rPr>
        <w:t xml:space="preserve">.  The Court considers that the finding of a violation constitutes sufficient just satisfaction for any non-pecuniary damage the applicant may have suffered (see </w:t>
      </w:r>
      <w:proofErr w:type="spellStart"/>
      <w:r w:rsidRPr="009737C8" w:rsidR="007F339E">
        <w:rPr>
          <w:i/>
          <w:lang w:val="en-GB"/>
        </w:rPr>
        <w:t>Körtvélyessy</w:t>
      </w:r>
      <w:proofErr w:type="spellEnd"/>
      <w:r w:rsidRPr="009737C8">
        <w:t xml:space="preserve">, </w:t>
      </w:r>
      <w:r w:rsidRPr="009737C8" w:rsidR="007F339E">
        <w:t xml:space="preserve">cited above, </w:t>
      </w:r>
      <w:r w:rsidRPr="009737C8">
        <w:t xml:space="preserve">§ </w:t>
      </w:r>
      <w:r w:rsidRPr="009737C8" w:rsidR="007F339E">
        <w:t>36</w:t>
      </w:r>
      <w:r w:rsidRPr="009737C8">
        <w:rPr>
          <w:lang w:val="en-GB"/>
        </w:rPr>
        <w:t>).</w:t>
      </w:r>
    </w:p>
    <w:p w:rsidRPr="009737C8" w:rsidR="00014566" w:rsidP="009737C8" w:rsidRDefault="00014566">
      <w:pPr>
        <w:pStyle w:val="ECHRHeading2"/>
        <w:rPr>
          <w:lang w:val="en-GB"/>
        </w:rPr>
      </w:pPr>
      <w:r w:rsidRPr="009737C8">
        <w:rPr>
          <w:lang w:val="en-GB"/>
        </w:rPr>
        <w:t>B.  Costs and expenses</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27</w:t>
      </w:r>
      <w:r w:rsidRPr="009737C8">
        <w:rPr>
          <w:lang w:val="en-GB"/>
        </w:rPr>
        <w:fldChar w:fldCharType="end"/>
      </w:r>
      <w:r w:rsidRPr="009737C8" w:rsidR="00014566">
        <w:rPr>
          <w:lang w:val="en-GB"/>
        </w:rPr>
        <w:t xml:space="preserve">.  The applicant also claimed EUR </w:t>
      </w:r>
      <w:r w:rsidRPr="009737C8" w:rsidR="00D60170">
        <w:rPr>
          <w:lang w:val="en-GB"/>
        </w:rPr>
        <w:t>3,500</w:t>
      </w:r>
      <w:r w:rsidRPr="009737C8" w:rsidR="00014566">
        <w:rPr>
          <w:lang w:val="en-GB"/>
        </w:rPr>
        <w:t xml:space="preserve"> for the costs and expenses incurred before the Court</w:t>
      </w:r>
      <w:r w:rsidRPr="009737C8" w:rsidR="00D60170">
        <w:rPr>
          <w:lang w:val="en-GB"/>
        </w:rPr>
        <w:t>, without itemising this claim</w:t>
      </w:r>
      <w:r w:rsidRPr="009737C8" w:rsidR="00014566">
        <w:rPr>
          <w:lang w:val="en-GB"/>
        </w:rPr>
        <w:t>.</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28</w:t>
      </w:r>
      <w:r w:rsidRPr="009737C8">
        <w:rPr>
          <w:lang w:val="en-GB"/>
        </w:rPr>
        <w:fldChar w:fldCharType="end"/>
      </w:r>
      <w:r w:rsidRPr="009737C8" w:rsidR="00014566">
        <w:rPr>
          <w:lang w:val="en-GB"/>
        </w:rPr>
        <w:t xml:space="preserve">.  The Government </w:t>
      </w:r>
      <w:r w:rsidRPr="009737C8" w:rsidR="00D60170">
        <w:rPr>
          <w:lang w:val="en-GB"/>
        </w:rPr>
        <w:t xml:space="preserve">contested </w:t>
      </w:r>
      <w:r w:rsidRPr="009737C8" w:rsidR="00852A22">
        <w:rPr>
          <w:lang w:val="en-GB"/>
        </w:rPr>
        <w:t xml:space="preserve">the </w:t>
      </w:r>
      <w:r w:rsidRPr="009737C8" w:rsidR="00D60170">
        <w:rPr>
          <w:lang w:val="en-GB"/>
        </w:rPr>
        <w:t>claim.</w:t>
      </w:r>
    </w:p>
    <w:p w:rsidRPr="009737C8" w:rsidR="00D60170" w:rsidP="009737C8" w:rsidRDefault="00D60170">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29</w:t>
      </w:r>
      <w:r w:rsidRPr="009737C8">
        <w:rPr>
          <w:lang w:val="en-GB"/>
        </w:rPr>
        <w:fldChar w:fldCharType="end"/>
      </w:r>
      <w:r w:rsidRPr="009737C8">
        <w:rPr>
          <w:lang w:val="en-GB"/>
        </w:rPr>
        <w:t>.  According to the Court</w:t>
      </w:r>
      <w:r w:rsidRPr="009737C8" w:rsidR="009737C8">
        <w:rPr>
          <w:lang w:val="en-GB"/>
        </w:rPr>
        <w:t>’</w:t>
      </w:r>
      <w:r w:rsidRPr="009737C8">
        <w:rPr>
          <w:lang w:val="en-GB"/>
        </w:rPr>
        <w:t>s case-law, an applicant is entitled to the reimbursement of costs and expenses only in so far as it has been shown that these have been actually and necessarily incurred and are reasonable as to quantum. In the present case, regard being had to the documents in its possession and the above criteria, the Court considers it reasonable to award the sum of EUR 1,</w:t>
      </w:r>
      <w:r w:rsidRPr="009737C8" w:rsidR="00585E26">
        <w:rPr>
          <w:lang w:val="en-GB"/>
        </w:rPr>
        <w:t>0</w:t>
      </w:r>
      <w:r w:rsidRPr="009737C8">
        <w:rPr>
          <w:lang w:val="en-GB"/>
        </w:rPr>
        <w:t>00 covering costs under all heads.</w:t>
      </w:r>
    </w:p>
    <w:p w:rsidRPr="009737C8" w:rsidR="00014566" w:rsidP="009737C8" w:rsidRDefault="00014566">
      <w:pPr>
        <w:pStyle w:val="ECHRHeading2"/>
        <w:rPr>
          <w:lang w:val="en-GB"/>
        </w:rPr>
      </w:pPr>
      <w:r w:rsidRPr="009737C8">
        <w:rPr>
          <w:lang w:val="en-GB"/>
        </w:rPr>
        <w:t>C.  Default interest</w:t>
      </w:r>
    </w:p>
    <w:p w:rsidRPr="009737C8" w:rsidR="00014566" w:rsidP="009737C8" w:rsidRDefault="00EF5849">
      <w:pPr>
        <w:pStyle w:val="ECHRPara"/>
        <w:rPr>
          <w:lang w:val="en-GB"/>
        </w:rPr>
      </w:pPr>
      <w:r w:rsidRPr="009737C8">
        <w:rPr>
          <w:lang w:val="en-GB"/>
        </w:rPr>
        <w:fldChar w:fldCharType="begin"/>
      </w:r>
      <w:r w:rsidRPr="009737C8">
        <w:rPr>
          <w:lang w:val="en-GB"/>
        </w:rPr>
        <w:instrText xml:space="preserve"> SEQ level0 \*arabic </w:instrText>
      </w:r>
      <w:r w:rsidRPr="009737C8">
        <w:rPr>
          <w:lang w:val="en-GB"/>
        </w:rPr>
        <w:fldChar w:fldCharType="separate"/>
      </w:r>
      <w:r w:rsidRPr="009737C8" w:rsidR="009737C8">
        <w:rPr>
          <w:noProof/>
          <w:lang w:val="en-GB"/>
        </w:rPr>
        <w:t>30</w:t>
      </w:r>
      <w:r w:rsidRPr="009737C8">
        <w:rPr>
          <w:lang w:val="en-GB"/>
        </w:rPr>
        <w:fldChar w:fldCharType="end"/>
      </w:r>
      <w:r w:rsidRPr="009737C8" w:rsidR="00014566">
        <w:rPr>
          <w:lang w:val="en-GB"/>
        </w:rPr>
        <w:t>.  The Court considers it appropriate that the default interest rate should be based on the marginal lending rate of the European Central Bank, to which should be added three percentage points.</w:t>
      </w:r>
    </w:p>
    <w:p w:rsidRPr="009737C8" w:rsidR="00014566" w:rsidP="009737C8" w:rsidRDefault="00BB5883">
      <w:pPr>
        <w:pStyle w:val="ECHRTitle1"/>
        <w:rPr>
          <w:lang w:val="en-GB"/>
        </w:rPr>
      </w:pPr>
      <w:r w:rsidRPr="009737C8">
        <w:rPr>
          <w:lang w:val="en-GB"/>
        </w:rPr>
        <w:t>FOR THESE REASONS, THE COURT</w:t>
      </w:r>
      <w:r w:rsidRPr="009737C8" w:rsidR="00EF5849">
        <w:rPr>
          <w:lang w:val="en-GB"/>
        </w:rPr>
        <w:t>, UNANIMOUSLY,</w:t>
      </w:r>
    </w:p>
    <w:p w:rsidRPr="009737C8" w:rsidR="00B637B9" w:rsidP="009737C8" w:rsidRDefault="00B637B9">
      <w:pPr>
        <w:pStyle w:val="JuList"/>
        <w:rPr>
          <w:lang w:val="en-GB"/>
        </w:rPr>
      </w:pPr>
      <w:r w:rsidRPr="009737C8">
        <w:rPr>
          <w:lang w:val="en-GB"/>
        </w:rPr>
        <w:t>1.  </w:t>
      </w:r>
      <w:proofErr w:type="gramStart"/>
      <w:r w:rsidRPr="009737C8">
        <w:rPr>
          <w:i/>
          <w:lang w:val="en-GB"/>
        </w:rPr>
        <w:t>Declares</w:t>
      </w:r>
      <w:proofErr w:type="gramEnd"/>
      <w:r w:rsidRPr="009737C8" w:rsidR="00EF5849">
        <w:rPr>
          <w:lang w:val="en-GB"/>
        </w:rPr>
        <w:t xml:space="preserve"> </w:t>
      </w:r>
      <w:r w:rsidRPr="009737C8">
        <w:rPr>
          <w:lang w:val="en-GB"/>
        </w:rPr>
        <w:t xml:space="preserve">the </w:t>
      </w:r>
      <w:r w:rsidRPr="009737C8" w:rsidR="00EF5849">
        <w:rPr>
          <w:lang w:val="en-GB"/>
        </w:rPr>
        <w:t>application</w:t>
      </w:r>
      <w:r w:rsidRPr="009737C8">
        <w:rPr>
          <w:lang w:val="en-GB"/>
        </w:rPr>
        <w:t xml:space="preserve"> admissible;</w:t>
      </w:r>
    </w:p>
    <w:p w:rsidRPr="009737C8" w:rsidR="00014566" w:rsidP="009737C8" w:rsidRDefault="00014566">
      <w:pPr>
        <w:pStyle w:val="JuList"/>
        <w:ind w:left="0" w:firstLine="0"/>
        <w:rPr>
          <w:lang w:val="en-GB"/>
        </w:rPr>
      </w:pPr>
    </w:p>
    <w:p w:rsidRPr="009737C8" w:rsidR="00014566" w:rsidP="009737C8" w:rsidRDefault="00D60170">
      <w:pPr>
        <w:pStyle w:val="JuList"/>
        <w:rPr>
          <w:lang w:val="en-GB"/>
        </w:rPr>
      </w:pPr>
      <w:r w:rsidRPr="009737C8">
        <w:rPr>
          <w:lang w:val="en-GB"/>
        </w:rPr>
        <w:t>2</w:t>
      </w:r>
      <w:r w:rsidRPr="009737C8" w:rsidR="00014566">
        <w:rPr>
          <w:lang w:val="en-GB"/>
        </w:rPr>
        <w:t>.  </w:t>
      </w:r>
      <w:proofErr w:type="gramStart"/>
      <w:r w:rsidRPr="009737C8" w:rsidR="00014566">
        <w:rPr>
          <w:i/>
          <w:lang w:val="en-GB"/>
        </w:rPr>
        <w:t>Holds</w:t>
      </w:r>
      <w:proofErr w:type="gramEnd"/>
      <w:r w:rsidRPr="009737C8" w:rsidR="00EF5849">
        <w:rPr>
          <w:lang w:val="en-GB"/>
        </w:rPr>
        <w:t xml:space="preserve"> </w:t>
      </w:r>
      <w:r w:rsidRPr="009737C8" w:rsidR="00014566">
        <w:rPr>
          <w:lang w:val="en-GB"/>
        </w:rPr>
        <w:t xml:space="preserve">that there has been a violation of Article </w:t>
      </w:r>
      <w:r w:rsidRPr="009737C8">
        <w:rPr>
          <w:lang w:val="en-GB"/>
        </w:rPr>
        <w:t>11</w:t>
      </w:r>
      <w:r w:rsidRPr="009737C8" w:rsidR="00014566">
        <w:rPr>
          <w:lang w:val="en-GB"/>
        </w:rPr>
        <w:t xml:space="preserve"> of the Convention;</w:t>
      </w:r>
    </w:p>
    <w:p w:rsidRPr="009737C8" w:rsidR="00014566" w:rsidP="009737C8" w:rsidRDefault="00014566">
      <w:pPr>
        <w:pStyle w:val="JuList"/>
        <w:rPr>
          <w:lang w:val="en-GB"/>
        </w:rPr>
      </w:pPr>
    </w:p>
    <w:p w:rsidRPr="009737C8" w:rsidR="00014566" w:rsidP="009737C8" w:rsidRDefault="00D60170">
      <w:pPr>
        <w:pStyle w:val="JuList"/>
        <w:rPr>
          <w:lang w:val="en-GB"/>
        </w:rPr>
      </w:pPr>
      <w:r w:rsidRPr="009737C8">
        <w:rPr>
          <w:lang w:val="en-GB"/>
        </w:rPr>
        <w:t>3</w:t>
      </w:r>
      <w:r w:rsidRPr="009737C8" w:rsidR="00EF5849">
        <w:rPr>
          <w:lang w:val="en-GB"/>
        </w:rPr>
        <w:t>.  </w:t>
      </w:r>
      <w:r w:rsidRPr="009737C8" w:rsidR="00EF5849">
        <w:rPr>
          <w:i/>
          <w:lang w:val="en-GB"/>
        </w:rPr>
        <w:t>Holds</w:t>
      </w:r>
      <w:r w:rsidRPr="009737C8" w:rsidR="00EF5849">
        <w:rPr>
          <w:lang w:val="en-GB"/>
        </w:rPr>
        <w:t xml:space="preserve"> that the finding of a violation constitutes in itself sufficient just satisfaction for the non-pecuniary damage sustained by the applicant;</w:t>
      </w:r>
    </w:p>
    <w:p w:rsidRPr="009737C8" w:rsidR="00014566" w:rsidP="009737C8" w:rsidRDefault="00014566">
      <w:pPr>
        <w:pStyle w:val="JuList"/>
        <w:rPr>
          <w:lang w:val="en-GB"/>
        </w:rPr>
      </w:pPr>
    </w:p>
    <w:p w:rsidRPr="009737C8" w:rsidR="00AD6E81" w:rsidP="009737C8" w:rsidRDefault="00D60170">
      <w:pPr>
        <w:pStyle w:val="JuList"/>
        <w:rPr>
          <w:lang w:val="en-GB"/>
        </w:rPr>
      </w:pPr>
      <w:r w:rsidRPr="009737C8">
        <w:rPr>
          <w:lang w:val="en-GB"/>
        </w:rPr>
        <w:t>4</w:t>
      </w:r>
      <w:r w:rsidRPr="009737C8" w:rsidR="00014566">
        <w:rPr>
          <w:lang w:val="en-GB"/>
        </w:rPr>
        <w:t>.  </w:t>
      </w:r>
      <w:r w:rsidRPr="009737C8" w:rsidR="00014566">
        <w:rPr>
          <w:i/>
          <w:lang w:val="en-GB"/>
        </w:rPr>
        <w:t>Holds</w:t>
      </w:r>
      <w:r w:rsidRPr="009737C8" w:rsidR="008F218A">
        <w:rPr>
          <w:i/>
          <w:lang w:val="en-GB"/>
        </w:rPr>
        <w:t>,</w:t>
      </w:r>
    </w:p>
    <w:p w:rsidRPr="009737C8" w:rsidR="00014566" w:rsidP="009737C8" w:rsidRDefault="00014566">
      <w:pPr>
        <w:pStyle w:val="JuLista"/>
        <w:rPr>
          <w:lang w:val="en-GB"/>
        </w:rPr>
      </w:pPr>
      <w:r w:rsidRPr="009737C8">
        <w:rPr>
          <w:lang w:val="en-GB"/>
        </w:rPr>
        <w:t>(a)  that the respondent State is to pay the applicant, within three months</w:t>
      </w:r>
      <w:r w:rsidRPr="009737C8" w:rsidR="00440092">
        <w:rPr>
          <w:lang w:val="en-GB"/>
        </w:rPr>
        <w:t xml:space="preserve"> </w:t>
      </w:r>
      <w:r w:rsidRPr="009737C8" w:rsidR="00EF5849">
        <w:rPr>
          <w:lang w:val="en-GB"/>
        </w:rPr>
        <w:t>from the date on which the judgment becomes final in accordance with A</w:t>
      </w:r>
      <w:r w:rsidRPr="009737C8" w:rsidR="00D60170">
        <w:rPr>
          <w:lang w:val="en-GB"/>
        </w:rPr>
        <w:t>rticle 44 § 2 of the Convention</w:t>
      </w:r>
      <w:r w:rsidRPr="009737C8" w:rsidR="00742A36">
        <w:rPr>
          <w:lang w:val="en-GB"/>
        </w:rPr>
        <w:t>,</w:t>
      </w:r>
      <w:r w:rsidRPr="009737C8">
        <w:rPr>
          <w:lang w:val="en-GB"/>
        </w:rPr>
        <w:t xml:space="preserve"> </w:t>
      </w:r>
      <w:r w:rsidRPr="009737C8" w:rsidR="00D60170">
        <w:rPr>
          <w:lang w:val="en-GB"/>
        </w:rPr>
        <w:t>EUR 1,</w:t>
      </w:r>
      <w:r w:rsidRPr="009737C8" w:rsidR="00585E26">
        <w:rPr>
          <w:lang w:val="en-GB"/>
        </w:rPr>
        <w:t>0</w:t>
      </w:r>
      <w:r w:rsidRPr="009737C8" w:rsidR="00D60170">
        <w:rPr>
          <w:lang w:val="en-GB"/>
        </w:rPr>
        <w:t>00 (one thousand euros), plus any tax that may be chargeable to the applicant, in respect of costs and expenses</w:t>
      </w:r>
      <w:r w:rsidRPr="009737C8" w:rsidR="00742A36">
        <w:rPr>
          <w:lang w:val="en-GB"/>
        </w:rPr>
        <w:t>,</w:t>
      </w:r>
      <w:r w:rsidRPr="009737C8" w:rsidR="00D60170">
        <w:rPr>
          <w:lang w:val="en-GB"/>
        </w:rPr>
        <w:t xml:space="preserve"> </w:t>
      </w:r>
      <w:r w:rsidRPr="009737C8">
        <w:rPr>
          <w:lang w:val="en-GB"/>
        </w:rPr>
        <w:t xml:space="preserve">to be converted into </w:t>
      </w:r>
      <w:r w:rsidRPr="009737C8">
        <w:rPr>
          <w:color w:val="000000"/>
          <w:lang w:val="en-GB"/>
        </w:rPr>
        <w:t>the currency of the respondent State</w:t>
      </w:r>
      <w:r w:rsidRPr="009737C8" w:rsidR="00D60170">
        <w:rPr>
          <w:color w:val="000000"/>
          <w:lang w:val="en-GB"/>
        </w:rPr>
        <w:t xml:space="preserve"> </w:t>
      </w:r>
      <w:r w:rsidRPr="009737C8">
        <w:rPr>
          <w:lang w:val="en-GB"/>
        </w:rPr>
        <w:t>at the rate applicable at the date of settlement;</w:t>
      </w:r>
    </w:p>
    <w:p w:rsidRPr="009737C8" w:rsidR="00014566" w:rsidP="009737C8" w:rsidRDefault="00014566">
      <w:pPr>
        <w:pStyle w:val="JuLista"/>
        <w:rPr>
          <w:lang w:val="en-GB"/>
        </w:rPr>
      </w:pPr>
      <w:r w:rsidRPr="009737C8">
        <w:rPr>
          <w:lang w:val="en-GB"/>
        </w:rPr>
        <w:t>(b)  that from the expiry of the above-mentioned three months until settlement simple interest shall be payable on the above amount at a rate equal to the marginal lending rate of the European Central Bank during the default period</w:t>
      </w:r>
      <w:r w:rsidRPr="009737C8" w:rsidR="00FC432D">
        <w:rPr>
          <w:lang w:val="en-GB"/>
        </w:rPr>
        <w:t>,</w:t>
      </w:r>
      <w:r w:rsidRPr="009737C8">
        <w:rPr>
          <w:lang w:val="en-GB"/>
        </w:rPr>
        <w:t xml:space="preserve"> plus three percentage points;</w:t>
      </w:r>
    </w:p>
    <w:p w:rsidRPr="009737C8" w:rsidR="00014566" w:rsidP="009737C8" w:rsidRDefault="00014566">
      <w:pPr>
        <w:pStyle w:val="JuList"/>
        <w:rPr>
          <w:lang w:val="en-GB"/>
        </w:rPr>
      </w:pPr>
    </w:p>
    <w:p w:rsidRPr="009737C8" w:rsidR="00014566" w:rsidP="009737C8" w:rsidRDefault="00D60170">
      <w:pPr>
        <w:pStyle w:val="JuList"/>
        <w:keepNext/>
        <w:keepLines/>
        <w:rPr>
          <w:lang w:val="en-GB"/>
        </w:rPr>
      </w:pPr>
      <w:r w:rsidRPr="009737C8">
        <w:rPr>
          <w:lang w:val="en-GB"/>
        </w:rPr>
        <w:t>5</w:t>
      </w:r>
      <w:r w:rsidRPr="009737C8" w:rsidR="00014566">
        <w:rPr>
          <w:lang w:val="en-GB"/>
        </w:rPr>
        <w:t>.  </w:t>
      </w:r>
      <w:r w:rsidRPr="009737C8" w:rsidR="00014566">
        <w:rPr>
          <w:i/>
          <w:lang w:val="en-GB"/>
        </w:rPr>
        <w:t>Dismisses</w:t>
      </w:r>
      <w:r w:rsidRPr="009737C8" w:rsidR="00EF5849">
        <w:rPr>
          <w:lang w:val="en-GB"/>
        </w:rPr>
        <w:t xml:space="preserve"> </w:t>
      </w:r>
      <w:r w:rsidRPr="009737C8" w:rsidR="00014566">
        <w:rPr>
          <w:lang w:val="en-GB"/>
        </w:rPr>
        <w:t>the remainder of the applicant</w:t>
      </w:r>
      <w:r w:rsidRPr="009737C8" w:rsidR="009737C8">
        <w:rPr>
          <w:lang w:val="en-GB"/>
        </w:rPr>
        <w:t>’</w:t>
      </w:r>
      <w:r w:rsidRPr="009737C8" w:rsidR="00EF5849">
        <w:rPr>
          <w:lang w:val="en-GB"/>
        </w:rPr>
        <w:t>s</w:t>
      </w:r>
      <w:r w:rsidRPr="009737C8" w:rsidR="00014566">
        <w:rPr>
          <w:lang w:val="en-GB"/>
        </w:rPr>
        <w:t xml:space="preserve"> claim for just satisfaction.</w:t>
      </w:r>
    </w:p>
    <w:p w:rsidRPr="009737C8" w:rsidR="00014566" w:rsidP="009737C8" w:rsidRDefault="00014566">
      <w:pPr>
        <w:pStyle w:val="JuParaLast"/>
        <w:rPr>
          <w:lang w:val="en-GB"/>
        </w:rPr>
      </w:pPr>
      <w:r w:rsidRPr="009737C8">
        <w:rPr>
          <w:lang w:val="en-GB"/>
        </w:rPr>
        <w:t xml:space="preserve">Done in English, and notified in writing on </w:t>
      </w:r>
      <w:r w:rsidRPr="009737C8" w:rsidR="00AE4017">
        <w:rPr>
          <w:lang w:val="en-GB"/>
        </w:rPr>
        <w:t>3 October 2017</w:t>
      </w:r>
      <w:r w:rsidRPr="009737C8" w:rsidR="00C915FB">
        <w:rPr>
          <w:lang w:val="en-GB"/>
        </w:rPr>
        <w:t>, pursuant to Rule </w:t>
      </w:r>
      <w:r w:rsidRPr="009737C8">
        <w:rPr>
          <w:lang w:val="en-GB"/>
        </w:rPr>
        <w:t>77</w:t>
      </w:r>
      <w:r w:rsidRPr="009737C8" w:rsidR="00C915FB">
        <w:rPr>
          <w:lang w:val="en-GB"/>
        </w:rPr>
        <w:t> </w:t>
      </w:r>
      <w:r w:rsidRPr="009737C8">
        <w:rPr>
          <w:lang w:val="en-GB"/>
        </w:rPr>
        <w:t>§§</w:t>
      </w:r>
      <w:r w:rsidRPr="009737C8" w:rsidR="00C915FB">
        <w:rPr>
          <w:lang w:val="en-GB"/>
        </w:rPr>
        <w:t> </w:t>
      </w:r>
      <w:r w:rsidRPr="009737C8">
        <w:rPr>
          <w:lang w:val="en-GB"/>
        </w:rPr>
        <w:t>2 and 3 of the Rules of Court.</w:t>
      </w:r>
    </w:p>
    <w:p w:rsidRPr="009737C8" w:rsidR="00014566" w:rsidP="009737C8" w:rsidRDefault="00014566">
      <w:pPr>
        <w:pStyle w:val="JuSigned"/>
        <w:rPr>
          <w:lang w:val="pt-PT"/>
        </w:rPr>
      </w:pPr>
      <w:r w:rsidRPr="009737C8">
        <w:rPr>
          <w:lang w:val="en-GB"/>
        </w:rPr>
        <w:tab/>
      </w:r>
      <w:proofErr w:type="spellStart"/>
      <w:r w:rsidRPr="009737C8" w:rsidR="00EF5849">
        <w:rPr>
          <w:lang w:val="pt-PT"/>
        </w:rPr>
        <w:t>Marialena</w:t>
      </w:r>
      <w:proofErr w:type="spellEnd"/>
      <w:r w:rsidRPr="009737C8" w:rsidR="00EF5849">
        <w:rPr>
          <w:lang w:val="pt-PT"/>
        </w:rPr>
        <w:t xml:space="preserve"> </w:t>
      </w:r>
      <w:proofErr w:type="spellStart"/>
      <w:r w:rsidRPr="009737C8" w:rsidR="00EF5849">
        <w:rPr>
          <w:lang w:val="pt-PT"/>
        </w:rPr>
        <w:t>Tsirli</w:t>
      </w:r>
      <w:proofErr w:type="spellEnd"/>
      <w:r w:rsidRPr="009737C8">
        <w:rPr>
          <w:lang w:val="pt-PT"/>
        </w:rPr>
        <w:tab/>
      </w:r>
      <w:r w:rsidRPr="009737C8" w:rsidR="00EF5849">
        <w:rPr>
          <w:szCs w:val="24"/>
          <w:lang w:val="pt-PT"/>
        </w:rPr>
        <w:t xml:space="preserve">Ganna </w:t>
      </w:r>
      <w:proofErr w:type="spellStart"/>
      <w:r w:rsidRPr="009737C8" w:rsidR="00EF5849">
        <w:rPr>
          <w:szCs w:val="24"/>
          <w:lang w:val="pt-PT"/>
        </w:rPr>
        <w:t>Yudkivska</w:t>
      </w:r>
      <w:proofErr w:type="spellEnd"/>
      <w:r w:rsidRPr="009737C8" w:rsidR="00E1557C">
        <w:rPr>
          <w:szCs w:val="24"/>
          <w:lang w:val="pt-PT"/>
        </w:rPr>
        <w:br/>
      </w:r>
      <w:r w:rsidRPr="009737C8">
        <w:rPr>
          <w:lang w:val="pt-PT"/>
        </w:rPr>
        <w:tab/>
      </w:r>
      <w:r w:rsidRPr="009737C8" w:rsidR="00EF5849">
        <w:rPr>
          <w:iCs/>
          <w:lang w:val="pt-PT"/>
        </w:rPr>
        <w:t>Registrar</w:t>
      </w:r>
      <w:r w:rsidRPr="009737C8">
        <w:rPr>
          <w:lang w:val="pt-PT"/>
        </w:rPr>
        <w:tab/>
      </w:r>
      <w:proofErr w:type="spellStart"/>
      <w:r w:rsidRPr="009737C8">
        <w:rPr>
          <w:lang w:val="pt-PT"/>
        </w:rPr>
        <w:t>President</w:t>
      </w:r>
      <w:proofErr w:type="spellEnd"/>
    </w:p>
    <w:sectPr w:rsidRPr="009737C8" w:rsidR="00014566" w:rsidSect="00AE4017">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849" w:rsidRPr="00E4133A" w:rsidRDefault="00EF5849" w:rsidP="00014566">
      <w:pPr>
        <w:rPr>
          <w:lang w:val="en-GB"/>
        </w:rPr>
      </w:pPr>
      <w:r w:rsidRPr="00E4133A">
        <w:rPr>
          <w:lang w:val="en-GB"/>
        </w:rPr>
        <w:separator/>
      </w:r>
    </w:p>
  </w:endnote>
  <w:endnote w:type="continuationSeparator" w:id="0">
    <w:p w:rsidR="00EF5849" w:rsidRPr="00E4133A" w:rsidRDefault="00EF5849" w:rsidP="00014566">
      <w:pPr>
        <w:rPr>
          <w:lang w:val="en-GB"/>
        </w:rPr>
      </w:pPr>
      <w:r w:rsidRPr="00E4133A">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5A" w:rsidRPr="00150BFA" w:rsidRDefault="0018785A" w:rsidP="0020718E">
    <w:pPr>
      <w:jc w:val="center"/>
    </w:pPr>
    <w:r>
      <w:rPr>
        <w:noProof/>
        <w:lang w:eastAsia="ja-JP"/>
      </w:rPr>
      <w:drawing>
        <wp:inline distT="0" distB="0" distL="0" distR="0" wp14:anchorId="7CC9793B" wp14:editId="583CC944">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18785A" w:rsidRDefault="00187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849" w:rsidRPr="00E4133A" w:rsidRDefault="00EF5849" w:rsidP="00014566">
      <w:pPr>
        <w:rPr>
          <w:lang w:val="en-GB"/>
        </w:rPr>
      </w:pPr>
      <w:r w:rsidRPr="00E4133A">
        <w:rPr>
          <w:lang w:val="en-GB"/>
        </w:rPr>
        <w:separator/>
      </w:r>
    </w:p>
  </w:footnote>
  <w:footnote w:type="continuationSeparator" w:id="0">
    <w:p w:rsidR="00EF5849" w:rsidRPr="00E4133A" w:rsidRDefault="00EF5849" w:rsidP="00014566">
      <w:pPr>
        <w:rPr>
          <w:lang w:val="en-GB"/>
        </w:rPr>
      </w:pPr>
      <w:r w:rsidRPr="00E4133A">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849" w:rsidRPr="0018785A" w:rsidRDefault="00EF5849" w:rsidP="0018785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5A" w:rsidRPr="00A45145" w:rsidRDefault="0018785A" w:rsidP="00A45145">
    <w:pPr>
      <w:jc w:val="center"/>
    </w:pPr>
    <w:r>
      <w:rPr>
        <w:noProof/>
        <w:lang w:eastAsia="ja-JP"/>
      </w:rPr>
      <w:drawing>
        <wp:inline distT="0" distB="0" distL="0" distR="0" wp14:anchorId="33C7504A" wp14:editId="005FF869">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18785A" w:rsidRDefault="001878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5A" w:rsidRPr="00E4133A" w:rsidRDefault="0018785A"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737C8">
      <w:rPr>
        <w:rStyle w:val="PageNumber"/>
        <w:noProof/>
        <w:szCs w:val="18"/>
        <w:lang w:val="en-GB"/>
      </w:rPr>
      <w:t>6</w:t>
    </w:r>
    <w:r>
      <w:rPr>
        <w:rStyle w:val="PageNumber"/>
        <w:szCs w:val="18"/>
        <w:lang w:val="en-GB"/>
      </w:rPr>
      <w:fldChar w:fldCharType="end"/>
    </w:r>
    <w:r w:rsidRPr="00E4133A">
      <w:rPr>
        <w:lang w:val="en-GB"/>
      </w:rPr>
      <w:tab/>
    </w:r>
    <w:r>
      <w:rPr>
        <w:lang w:val="en-GB"/>
      </w:rPr>
      <w:t>KÖRTVÉLYESSY v. HUNGARY</w:t>
    </w:r>
    <w:r w:rsidRPr="00E4133A">
      <w:rPr>
        <w:lang w:val="en-GB"/>
      </w:rPr>
      <w:t xml:space="preserve"> </w:t>
    </w:r>
    <w:r>
      <w:rPr>
        <w:lang w:val="en-GB"/>
      </w:rPr>
      <w:t>(N</w:t>
    </w:r>
    <w:r w:rsidR="00CE3404">
      <w:rPr>
        <w:lang w:val="en-GB"/>
      </w:rPr>
      <w:t>o</w:t>
    </w:r>
    <w:r>
      <w:rPr>
        <w:lang w:val="en-GB"/>
      </w:rPr>
      <w:t>. 3)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5A" w:rsidRPr="00E4133A" w:rsidRDefault="0018785A" w:rsidP="00D60D87">
    <w:pPr>
      <w:pStyle w:val="ECHRHeader"/>
      <w:rPr>
        <w:lang w:val="en-GB"/>
      </w:rPr>
    </w:pPr>
    <w:r w:rsidRPr="00E4133A">
      <w:rPr>
        <w:lang w:val="en-GB"/>
      </w:rPr>
      <w:tab/>
    </w:r>
    <w:r>
      <w:rPr>
        <w:lang w:val="en-GB"/>
      </w:rPr>
      <w:t>KÖRTVÉLYESSY v. HUNGARY</w:t>
    </w:r>
    <w:r w:rsidRPr="00E4133A">
      <w:rPr>
        <w:lang w:val="en-GB"/>
      </w:rPr>
      <w:t xml:space="preserve"> </w:t>
    </w:r>
    <w:r>
      <w:rPr>
        <w:lang w:val="en-GB"/>
      </w:rPr>
      <w:t>(N</w:t>
    </w:r>
    <w:r w:rsidR="00CE3404">
      <w:rPr>
        <w:lang w:val="en-GB"/>
      </w:rPr>
      <w:t>o</w:t>
    </w:r>
    <w:r>
      <w:rPr>
        <w:lang w:val="en-GB"/>
      </w:rPr>
      <w:t>. 3) JUDGMENT</w:t>
    </w:r>
    <w:r w:rsidRPr="00E4133A">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737C8">
      <w:rPr>
        <w:rStyle w:val="PageNumber"/>
        <w:noProof/>
        <w:szCs w:val="18"/>
        <w:lang w:val="en-GB"/>
      </w:rPr>
      <w:t>5</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F5849"/>
    <w:rsid w:val="00000067"/>
    <w:rsid w:val="000010ED"/>
    <w:rsid w:val="000041F8"/>
    <w:rsid w:val="000042A8"/>
    <w:rsid w:val="00004308"/>
    <w:rsid w:val="00005BF0"/>
    <w:rsid w:val="00007154"/>
    <w:rsid w:val="000103AE"/>
    <w:rsid w:val="00011D69"/>
    <w:rsid w:val="00012AD3"/>
    <w:rsid w:val="00014566"/>
    <w:rsid w:val="00015C2D"/>
    <w:rsid w:val="00015F00"/>
    <w:rsid w:val="00022C1D"/>
    <w:rsid w:val="00034987"/>
    <w:rsid w:val="000350E3"/>
    <w:rsid w:val="000602DF"/>
    <w:rsid w:val="00061B05"/>
    <w:rsid w:val="00062973"/>
    <w:rsid w:val="00062D5D"/>
    <w:rsid w:val="000632D5"/>
    <w:rsid w:val="000644EE"/>
    <w:rsid w:val="00066F84"/>
    <w:rsid w:val="00071ABC"/>
    <w:rsid w:val="00075FC4"/>
    <w:rsid w:val="000842D9"/>
    <w:rsid w:val="000856D7"/>
    <w:rsid w:val="000902AD"/>
    <w:rsid w:val="000925AD"/>
    <w:rsid w:val="000A24EB"/>
    <w:rsid w:val="000B6923"/>
    <w:rsid w:val="000C033C"/>
    <w:rsid w:val="000C5F3C"/>
    <w:rsid w:val="000C6DCC"/>
    <w:rsid w:val="000D47AA"/>
    <w:rsid w:val="000D721F"/>
    <w:rsid w:val="000E069B"/>
    <w:rsid w:val="000E0E82"/>
    <w:rsid w:val="000E1DC5"/>
    <w:rsid w:val="000E223F"/>
    <w:rsid w:val="000E35AC"/>
    <w:rsid w:val="000E7D45"/>
    <w:rsid w:val="000F7851"/>
    <w:rsid w:val="00104E23"/>
    <w:rsid w:val="00111B0C"/>
    <w:rsid w:val="00120D6C"/>
    <w:rsid w:val="00123B64"/>
    <w:rsid w:val="001257EC"/>
    <w:rsid w:val="00132C6A"/>
    <w:rsid w:val="00133D33"/>
    <w:rsid w:val="00134D64"/>
    <w:rsid w:val="00135A30"/>
    <w:rsid w:val="0013612C"/>
    <w:rsid w:val="00137FF6"/>
    <w:rsid w:val="00141650"/>
    <w:rsid w:val="001457D8"/>
    <w:rsid w:val="00162A12"/>
    <w:rsid w:val="00166530"/>
    <w:rsid w:val="001665AE"/>
    <w:rsid w:val="0016731B"/>
    <w:rsid w:val="001832BD"/>
    <w:rsid w:val="0018785A"/>
    <w:rsid w:val="001943B5"/>
    <w:rsid w:val="00195134"/>
    <w:rsid w:val="001A145B"/>
    <w:rsid w:val="001A674C"/>
    <w:rsid w:val="001B3B24"/>
    <w:rsid w:val="001B7D01"/>
    <w:rsid w:val="001C0F98"/>
    <w:rsid w:val="001C2A42"/>
    <w:rsid w:val="001D63ED"/>
    <w:rsid w:val="001D7348"/>
    <w:rsid w:val="001E035B"/>
    <w:rsid w:val="001E0961"/>
    <w:rsid w:val="001E3EAE"/>
    <w:rsid w:val="001E5348"/>
    <w:rsid w:val="001E6F32"/>
    <w:rsid w:val="001F2145"/>
    <w:rsid w:val="001F380C"/>
    <w:rsid w:val="001F6262"/>
    <w:rsid w:val="001F67B0"/>
    <w:rsid w:val="001F7B3D"/>
    <w:rsid w:val="00205F9F"/>
    <w:rsid w:val="00210338"/>
    <w:rsid w:val="002115FC"/>
    <w:rsid w:val="002133F8"/>
    <w:rsid w:val="0021423C"/>
    <w:rsid w:val="00230D00"/>
    <w:rsid w:val="00231DF7"/>
    <w:rsid w:val="00231FD1"/>
    <w:rsid w:val="002339E0"/>
    <w:rsid w:val="00233CF8"/>
    <w:rsid w:val="0023575D"/>
    <w:rsid w:val="00237148"/>
    <w:rsid w:val="0024222D"/>
    <w:rsid w:val="00244B0E"/>
    <w:rsid w:val="00244F6C"/>
    <w:rsid w:val="00247622"/>
    <w:rsid w:val="002532C5"/>
    <w:rsid w:val="00255A26"/>
    <w:rsid w:val="00260C03"/>
    <w:rsid w:val="0026540E"/>
    <w:rsid w:val="0027225C"/>
    <w:rsid w:val="00275123"/>
    <w:rsid w:val="00282240"/>
    <w:rsid w:val="0028572A"/>
    <w:rsid w:val="002948AD"/>
    <w:rsid w:val="00294C05"/>
    <w:rsid w:val="00294C92"/>
    <w:rsid w:val="002A01CC"/>
    <w:rsid w:val="002A61B1"/>
    <w:rsid w:val="002A663C"/>
    <w:rsid w:val="002B1E6C"/>
    <w:rsid w:val="002B444B"/>
    <w:rsid w:val="002B53AC"/>
    <w:rsid w:val="002B5887"/>
    <w:rsid w:val="002C0692"/>
    <w:rsid w:val="002C0E27"/>
    <w:rsid w:val="002C3040"/>
    <w:rsid w:val="002D022D"/>
    <w:rsid w:val="002D24BB"/>
    <w:rsid w:val="002D5CDD"/>
    <w:rsid w:val="002E44B1"/>
    <w:rsid w:val="002F171B"/>
    <w:rsid w:val="002F2AF7"/>
    <w:rsid w:val="002F7E1C"/>
    <w:rsid w:val="00301A75"/>
    <w:rsid w:val="00302F70"/>
    <w:rsid w:val="0030336F"/>
    <w:rsid w:val="003035B9"/>
    <w:rsid w:val="0030375E"/>
    <w:rsid w:val="0031102C"/>
    <w:rsid w:val="00312A30"/>
    <w:rsid w:val="00320F72"/>
    <w:rsid w:val="0032463E"/>
    <w:rsid w:val="00326224"/>
    <w:rsid w:val="0032676F"/>
    <w:rsid w:val="00331EAC"/>
    <w:rsid w:val="00337EE4"/>
    <w:rsid w:val="00340FFD"/>
    <w:rsid w:val="003506B1"/>
    <w:rsid w:val="00356AC7"/>
    <w:rsid w:val="003609FA"/>
    <w:rsid w:val="003710C8"/>
    <w:rsid w:val="003750BE"/>
    <w:rsid w:val="003839E7"/>
    <w:rsid w:val="00387B9D"/>
    <w:rsid w:val="0039364F"/>
    <w:rsid w:val="00396686"/>
    <w:rsid w:val="0039778E"/>
    <w:rsid w:val="003A27D8"/>
    <w:rsid w:val="003A441D"/>
    <w:rsid w:val="003B4941"/>
    <w:rsid w:val="003B62E7"/>
    <w:rsid w:val="003C5714"/>
    <w:rsid w:val="003C6B9F"/>
    <w:rsid w:val="003C6E2A"/>
    <w:rsid w:val="003D0299"/>
    <w:rsid w:val="003D0AE9"/>
    <w:rsid w:val="003E6D80"/>
    <w:rsid w:val="003F05FA"/>
    <w:rsid w:val="003F244A"/>
    <w:rsid w:val="003F30B8"/>
    <w:rsid w:val="003F4C45"/>
    <w:rsid w:val="003F5949"/>
    <w:rsid w:val="003F5F7B"/>
    <w:rsid w:val="003F7D64"/>
    <w:rsid w:val="00414300"/>
    <w:rsid w:val="00425C67"/>
    <w:rsid w:val="00427E7A"/>
    <w:rsid w:val="00436307"/>
    <w:rsid w:val="00436C49"/>
    <w:rsid w:val="00440092"/>
    <w:rsid w:val="00445366"/>
    <w:rsid w:val="00445886"/>
    <w:rsid w:val="00447F5B"/>
    <w:rsid w:val="00450C35"/>
    <w:rsid w:val="00461DB0"/>
    <w:rsid w:val="00463926"/>
    <w:rsid w:val="00464097"/>
    <w:rsid w:val="004646E0"/>
    <w:rsid w:val="00464C9A"/>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C72A1"/>
    <w:rsid w:val="004D15F3"/>
    <w:rsid w:val="004D347F"/>
    <w:rsid w:val="004D5311"/>
    <w:rsid w:val="004D5DCC"/>
    <w:rsid w:val="004E1766"/>
    <w:rsid w:val="004F10AF"/>
    <w:rsid w:val="004F11A4"/>
    <w:rsid w:val="004F2389"/>
    <w:rsid w:val="004F304D"/>
    <w:rsid w:val="004F61BE"/>
    <w:rsid w:val="004F66B1"/>
    <w:rsid w:val="00511C07"/>
    <w:rsid w:val="00512D5D"/>
    <w:rsid w:val="005173A6"/>
    <w:rsid w:val="00520BAA"/>
    <w:rsid w:val="00523400"/>
    <w:rsid w:val="00525208"/>
    <w:rsid w:val="005257A5"/>
    <w:rsid w:val="005264C0"/>
    <w:rsid w:val="00526A8A"/>
    <w:rsid w:val="00530586"/>
    <w:rsid w:val="00531DF2"/>
    <w:rsid w:val="00535BB8"/>
    <w:rsid w:val="0053636B"/>
    <w:rsid w:val="005442EE"/>
    <w:rsid w:val="00547353"/>
    <w:rsid w:val="005474E7"/>
    <w:rsid w:val="005512A3"/>
    <w:rsid w:val="00556C2C"/>
    <w:rsid w:val="005578CE"/>
    <w:rsid w:val="00562781"/>
    <w:rsid w:val="00563E83"/>
    <w:rsid w:val="00571352"/>
    <w:rsid w:val="0057271C"/>
    <w:rsid w:val="00572845"/>
    <w:rsid w:val="00585E26"/>
    <w:rsid w:val="00592772"/>
    <w:rsid w:val="0059574A"/>
    <w:rsid w:val="005A1B9B"/>
    <w:rsid w:val="005A6751"/>
    <w:rsid w:val="005B092E"/>
    <w:rsid w:val="005B152C"/>
    <w:rsid w:val="005B186F"/>
    <w:rsid w:val="005B1EE0"/>
    <w:rsid w:val="005B2B24"/>
    <w:rsid w:val="005B4425"/>
    <w:rsid w:val="005B4B94"/>
    <w:rsid w:val="005C3EE8"/>
    <w:rsid w:val="005D34F9"/>
    <w:rsid w:val="005D4190"/>
    <w:rsid w:val="005D67A3"/>
    <w:rsid w:val="005E2988"/>
    <w:rsid w:val="005E2A43"/>
    <w:rsid w:val="005E3085"/>
    <w:rsid w:val="005E438A"/>
    <w:rsid w:val="005F51E1"/>
    <w:rsid w:val="00611C80"/>
    <w:rsid w:val="00620692"/>
    <w:rsid w:val="006242CA"/>
    <w:rsid w:val="00627507"/>
    <w:rsid w:val="00633717"/>
    <w:rsid w:val="00633E63"/>
    <w:rsid w:val="006344E1"/>
    <w:rsid w:val="006545C4"/>
    <w:rsid w:val="00661971"/>
    <w:rsid w:val="00661CE8"/>
    <w:rsid w:val="006623D9"/>
    <w:rsid w:val="0066550C"/>
    <w:rsid w:val="006716F2"/>
    <w:rsid w:val="00674633"/>
    <w:rsid w:val="00682BF2"/>
    <w:rsid w:val="006859CE"/>
    <w:rsid w:val="00691270"/>
    <w:rsid w:val="00694BA8"/>
    <w:rsid w:val="006A037C"/>
    <w:rsid w:val="006A36F4"/>
    <w:rsid w:val="006A406F"/>
    <w:rsid w:val="006A5D3A"/>
    <w:rsid w:val="006C23D4"/>
    <w:rsid w:val="006C3E49"/>
    <w:rsid w:val="006C7BB0"/>
    <w:rsid w:val="006C7C1E"/>
    <w:rsid w:val="006D3237"/>
    <w:rsid w:val="006E2E37"/>
    <w:rsid w:val="006E3CF1"/>
    <w:rsid w:val="006E7E80"/>
    <w:rsid w:val="006F1DF9"/>
    <w:rsid w:val="006F24DB"/>
    <w:rsid w:val="006F48CA"/>
    <w:rsid w:val="006F5286"/>
    <w:rsid w:val="006F64DD"/>
    <w:rsid w:val="007000A7"/>
    <w:rsid w:val="00715127"/>
    <w:rsid w:val="00715E8E"/>
    <w:rsid w:val="00723580"/>
    <w:rsid w:val="00723755"/>
    <w:rsid w:val="0073136C"/>
    <w:rsid w:val="00731F0F"/>
    <w:rsid w:val="00733250"/>
    <w:rsid w:val="00741404"/>
    <w:rsid w:val="00742A36"/>
    <w:rsid w:val="007449E5"/>
    <w:rsid w:val="00746C5A"/>
    <w:rsid w:val="00747FF0"/>
    <w:rsid w:val="007509D5"/>
    <w:rsid w:val="00764D4E"/>
    <w:rsid w:val="00765A1F"/>
    <w:rsid w:val="00774A6E"/>
    <w:rsid w:val="00775B6D"/>
    <w:rsid w:val="00776D68"/>
    <w:rsid w:val="007850EE"/>
    <w:rsid w:val="00785B95"/>
    <w:rsid w:val="00790E96"/>
    <w:rsid w:val="00793366"/>
    <w:rsid w:val="007A716F"/>
    <w:rsid w:val="007B270A"/>
    <w:rsid w:val="007C0695"/>
    <w:rsid w:val="007C419A"/>
    <w:rsid w:val="007C4CC8"/>
    <w:rsid w:val="007C5426"/>
    <w:rsid w:val="007C5798"/>
    <w:rsid w:val="007C704B"/>
    <w:rsid w:val="007D4832"/>
    <w:rsid w:val="007E21B2"/>
    <w:rsid w:val="007E2C4E"/>
    <w:rsid w:val="007F1905"/>
    <w:rsid w:val="007F339E"/>
    <w:rsid w:val="0080048F"/>
    <w:rsid w:val="00801300"/>
    <w:rsid w:val="00802C64"/>
    <w:rsid w:val="00805E52"/>
    <w:rsid w:val="008061D0"/>
    <w:rsid w:val="00810B38"/>
    <w:rsid w:val="008161EE"/>
    <w:rsid w:val="008204C7"/>
    <w:rsid w:val="00820992"/>
    <w:rsid w:val="00823602"/>
    <w:rsid w:val="008255F5"/>
    <w:rsid w:val="0083014E"/>
    <w:rsid w:val="0083214A"/>
    <w:rsid w:val="00834220"/>
    <w:rsid w:val="00845723"/>
    <w:rsid w:val="00851D71"/>
    <w:rsid w:val="00851EF9"/>
    <w:rsid w:val="00852A22"/>
    <w:rsid w:val="008577FD"/>
    <w:rsid w:val="00860B03"/>
    <w:rsid w:val="0086497A"/>
    <w:rsid w:val="008713A1"/>
    <w:rsid w:val="008754AB"/>
    <w:rsid w:val="0088060C"/>
    <w:rsid w:val="00880B07"/>
    <w:rsid w:val="00891F84"/>
    <w:rsid w:val="00893576"/>
    <w:rsid w:val="00893E73"/>
    <w:rsid w:val="008A43C4"/>
    <w:rsid w:val="008B02DC"/>
    <w:rsid w:val="008B57CE"/>
    <w:rsid w:val="008B659F"/>
    <w:rsid w:val="008C26DE"/>
    <w:rsid w:val="008D2225"/>
    <w:rsid w:val="008D4752"/>
    <w:rsid w:val="008D552A"/>
    <w:rsid w:val="008E271C"/>
    <w:rsid w:val="008E418E"/>
    <w:rsid w:val="008E5BC6"/>
    <w:rsid w:val="008E6A25"/>
    <w:rsid w:val="008F218A"/>
    <w:rsid w:val="008F5193"/>
    <w:rsid w:val="009013A7"/>
    <w:rsid w:val="009017FB"/>
    <w:rsid w:val="009017FC"/>
    <w:rsid w:val="00903B43"/>
    <w:rsid w:val="0090506B"/>
    <w:rsid w:val="009050C9"/>
    <w:rsid w:val="009066FC"/>
    <w:rsid w:val="009140A3"/>
    <w:rsid w:val="009144A2"/>
    <w:rsid w:val="0091510C"/>
    <w:rsid w:val="009259AC"/>
    <w:rsid w:val="00926F38"/>
    <w:rsid w:val="00934301"/>
    <w:rsid w:val="00936CD1"/>
    <w:rsid w:val="00941747"/>
    <w:rsid w:val="00941EFB"/>
    <w:rsid w:val="00947AFB"/>
    <w:rsid w:val="00951D7D"/>
    <w:rsid w:val="00952C12"/>
    <w:rsid w:val="009630C7"/>
    <w:rsid w:val="00972B55"/>
    <w:rsid w:val="009737C8"/>
    <w:rsid w:val="009743B7"/>
    <w:rsid w:val="009779E3"/>
    <w:rsid w:val="0098228B"/>
    <w:rsid w:val="009828DA"/>
    <w:rsid w:val="00985BAB"/>
    <w:rsid w:val="00997F03"/>
    <w:rsid w:val="009A46DF"/>
    <w:rsid w:val="009B1B5F"/>
    <w:rsid w:val="009B2EC2"/>
    <w:rsid w:val="009B6673"/>
    <w:rsid w:val="009C191B"/>
    <w:rsid w:val="009C2BD6"/>
    <w:rsid w:val="009C35B7"/>
    <w:rsid w:val="009E1F32"/>
    <w:rsid w:val="009E5829"/>
    <w:rsid w:val="009E776C"/>
    <w:rsid w:val="00A130B4"/>
    <w:rsid w:val="00A14F25"/>
    <w:rsid w:val="00A1726E"/>
    <w:rsid w:val="00A204CF"/>
    <w:rsid w:val="00A23D00"/>
    <w:rsid w:val="00A23D49"/>
    <w:rsid w:val="00A27004"/>
    <w:rsid w:val="00A30C29"/>
    <w:rsid w:val="00A34DD6"/>
    <w:rsid w:val="00A36819"/>
    <w:rsid w:val="00A36989"/>
    <w:rsid w:val="00A43628"/>
    <w:rsid w:val="00A54192"/>
    <w:rsid w:val="00A6035E"/>
    <w:rsid w:val="00A6144C"/>
    <w:rsid w:val="00A66617"/>
    <w:rsid w:val="00A671F8"/>
    <w:rsid w:val="00A673A4"/>
    <w:rsid w:val="00A673DB"/>
    <w:rsid w:val="00A724AE"/>
    <w:rsid w:val="00A73329"/>
    <w:rsid w:val="00A82359"/>
    <w:rsid w:val="00A83F75"/>
    <w:rsid w:val="00A865D2"/>
    <w:rsid w:val="00A94C20"/>
    <w:rsid w:val="00A96ED6"/>
    <w:rsid w:val="00AA227F"/>
    <w:rsid w:val="00AA3BC7"/>
    <w:rsid w:val="00AA463E"/>
    <w:rsid w:val="00AA754A"/>
    <w:rsid w:val="00AB099E"/>
    <w:rsid w:val="00AB4328"/>
    <w:rsid w:val="00AB57ED"/>
    <w:rsid w:val="00AB5FA0"/>
    <w:rsid w:val="00AB68E1"/>
    <w:rsid w:val="00AD6E81"/>
    <w:rsid w:val="00AE0A2E"/>
    <w:rsid w:val="00AE0CAB"/>
    <w:rsid w:val="00AE354C"/>
    <w:rsid w:val="00AE4017"/>
    <w:rsid w:val="00AE459E"/>
    <w:rsid w:val="00AF4B07"/>
    <w:rsid w:val="00AF6186"/>
    <w:rsid w:val="00AF6494"/>
    <w:rsid w:val="00AF7A3A"/>
    <w:rsid w:val="00B05F37"/>
    <w:rsid w:val="00B160DB"/>
    <w:rsid w:val="00B20836"/>
    <w:rsid w:val="00B235BB"/>
    <w:rsid w:val="00B27A44"/>
    <w:rsid w:val="00B30BBF"/>
    <w:rsid w:val="00B33C03"/>
    <w:rsid w:val="00B44E56"/>
    <w:rsid w:val="00B44F93"/>
    <w:rsid w:val="00B46543"/>
    <w:rsid w:val="00B47D33"/>
    <w:rsid w:val="00B52BE0"/>
    <w:rsid w:val="00B54133"/>
    <w:rsid w:val="00B552F8"/>
    <w:rsid w:val="00B637B9"/>
    <w:rsid w:val="00B701ED"/>
    <w:rsid w:val="00B74CFD"/>
    <w:rsid w:val="00B8086C"/>
    <w:rsid w:val="00B861B4"/>
    <w:rsid w:val="00B86DFE"/>
    <w:rsid w:val="00B90990"/>
    <w:rsid w:val="00B922FF"/>
    <w:rsid w:val="00B92491"/>
    <w:rsid w:val="00B9281E"/>
    <w:rsid w:val="00B93925"/>
    <w:rsid w:val="00B95187"/>
    <w:rsid w:val="00BA2D55"/>
    <w:rsid w:val="00BA71B1"/>
    <w:rsid w:val="00BB0637"/>
    <w:rsid w:val="00BB345F"/>
    <w:rsid w:val="00BB5883"/>
    <w:rsid w:val="00BB68EA"/>
    <w:rsid w:val="00BC1C27"/>
    <w:rsid w:val="00BC6BBF"/>
    <w:rsid w:val="00BD1572"/>
    <w:rsid w:val="00BE14E3"/>
    <w:rsid w:val="00BE3774"/>
    <w:rsid w:val="00BE41E5"/>
    <w:rsid w:val="00BF0BBB"/>
    <w:rsid w:val="00BF4109"/>
    <w:rsid w:val="00BF4CC3"/>
    <w:rsid w:val="00C054C7"/>
    <w:rsid w:val="00C057B5"/>
    <w:rsid w:val="00C22687"/>
    <w:rsid w:val="00C32E4D"/>
    <w:rsid w:val="00C333A0"/>
    <w:rsid w:val="00C36A81"/>
    <w:rsid w:val="00C41974"/>
    <w:rsid w:val="00C447AD"/>
    <w:rsid w:val="00C4541E"/>
    <w:rsid w:val="00C53F4A"/>
    <w:rsid w:val="00C54125"/>
    <w:rsid w:val="00C55B54"/>
    <w:rsid w:val="00C6098E"/>
    <w:rsid w:val="00C6152C"/>
    <w:rsid w:val="00C621C2"/>
    <w:rsid w:val="00C74810"/>
    <w:rsid w:val="00C90D68"/>
    <w:rsid w:val="00C915FB"/>
    <w:rsid w:val="00C939FE"/>
    <w:rsid w:val="00CA4BDA"/>
    <w:rsid w:val="00CB1F66"/>
    <w:rsid w:val="00CB2951"/>
    <w:rsid w:val="00CD282B"/>
    <w:rsid w:val="00CD4C35"/>
    <w:rsid w:val="00CD7369"/>
    <w:rsid w:val="00CE0B0E"/>
    <w:rsid w:val="00CE2F1E"/>
    <w:rsid w:val="00CE3404"/>
    <w:rsid w:val="00CE3831"/>
    <w:rsid w:val="00D00ABB"/>
    <w:rsid w:val="00D02EEC"/>
    <w:rsid w:val="00D03551"/>
    <w:rsid w:val="00D06A63"/>
    <w:rsid w:val="00D07E0E"/>
    <w:rsid w:val="00D11478"/>
    <w:rsid w:val="00D125C0"/>
    <w:rsid w:val="00D15ED0"/>
    <w:rsid w:val="00D21B3E"/>
    <w:rsid w:val="00D21FED"/>
    <w:rsid w:val="00D24251"/>
    <w:rsid w:val="00D343E2"/>
    <w:rsid w:val="00D361A2"/>
    <w:rsid w:val="00D44C2E"/>
    <w:rsid w:val="00D45414"/>
    <w:rsid w:val="00D53C0F"/>
    <w:rsid w:val="00D566BD"/>
    <w:rsid w:val="00D57A4D"/>
    <w:rsid w:val="00D60170"/>
    <w:rsid w:val="00D60AA7"/>
    <w:rsid w:val="00D60D87"/>
    <w:rsid w:val="00D6435F"/>
    <w:rsid w:val="00D75E28"/>
    <w:rsid w:val="00D772C2"/>
    <w:rsid w:val="00D8008E"/>
    <w:rsid w:val="00D82C45"/>
    <w:rsid w:val="00D835EA"/>
    <w:rsid w:val="00D908A8"/>
    <w:rsid w:val="00D977B6"/>
    <w:rsid w:val="00DA4A31"/>
    <w:rsid w:val="00DA61F2"/>
    <w:rsid w:val="00DA7B04"/>
    <w:rsid w:val="00DB2AFE"/>
    <w:rsid w:val="00DB36C2"/>
    <w:rsid w:val="00DB7196"/>
    <w:rsid w:val="00DC169B"/>
    <w:rsid w:val="00DC2AB9"/>
    <w:rsid w:val="00DC63F0"/>
    <w:rsid w:val="00DD2903"/>
    <w:rsid w:val="00DD6EE5"/>
    <w:rsid w:val="00DE1B8E"/>
    <w:rsid w:val="00DE386C"/>
    <w:rsid w:val="00DE3BA4"/>
    <w:rsid w:val="00DE4D35"/>
    <w:rsid w:val="00DF0549"/>
    <w:rsid w:val="00DF098B"/>
    <w:rsid w:val="00DF11C4"/>
    <w:rsid w:val="00DF210C"/>
    <w:rsid w:val="00DF4B6A"/>
    <w:rsid w:val="00E02C09"/>
    <w:rsid w:val="00E04D59"/>
    <w:rsid w:val="00E07DA1"/>
    <w:rsid w:val="00E123CB"/>
    <w:rsid w:val="00E1557C"/>
    <w:rsid w:val="00E20E13"/>
    <w:rsid w:val="00E21DBC"/>
    <w:rsid w:val="00E275D7"/>
    <w:rsid w:val="00E27DBE"/>
    <w:rsid w:val="00E32AB1"/>
    <w:rsid w:val="00E36C71"/>
    <w:rsid w:val="00E40404"/>
    <w:rsid w:val="00E4133A"/>
    <w:rsid w:val="00E459C6"/>
    <w:rsid w:val="00E47589"/>
    <w:rsid w:val="00E55293"/>
    <w:rsid w:val="00E64915"/>
    <w:rsid w:val="00E661D4"/>
    <w:rsid w:val="00E70091"/>
    <w:rsid w:val="00E720F5"/>
    <w:rsid w:val="00E76D47"/>
    <w:rsid w:val="00E81E79"/>
    <w:rsid w:val="00E849F7"/>
    <w:rsid w:val="00E90302"/>
    <w:rsid w:val="00E94833"/>
    <w:rsid w:val="00E9597F"/>
    <w:rsid w:val="00E97396"/>
    <w:rsid w:val="00EA185E"/>
    <w:rsid w:val="00EA592A"/>
    <w:rsid w:val="00EA737F"/>
    <w:rsid w:val="00EB14E4"/>
    <w:rsid w:val="00EB3175"/>
    <w:rsid w:val="00EB32A5"/>
    <w:rsid w:val="00EB34ED"/>
    <w:rsid w:val="00EB7BE0"/>
    <w:rsid w:val="00EC315E"/>
    <w:rsid w:val="00ED077C"/>
    <w:rsid w:val="00ED1190"/>
    <w:rsid w:val="00ED6544"/>
    <w:rsid w:val="00EE0277"/>
    <w:rsid w:val="00EE1DA9"/>
    <w:rsid w:val="00EE3E00"/>
    <w:rsid w:val="00EE5DD2"/>
    <w:rsid w:val="00EF41F1"/>
    <w:rsid w:val="00EF4F08"/>
    <w:rsid w:val="00EF573B"/>
    <w:rsid w:val="00EF5849"/>
    <w:rsid w:val="00F00A79"/>
    <w:rsid w:val="00F00E86"/>
    <w:rsid w:val="00F00F8B"/>
    <w:rsid w:val="00F07C1E"/>
    <w:rsid w:val="00F105DB"/>
    <w:rsid w:val="00F132BC"/>
    <w:rsid w:val="00F13D80"/>
    <w:rsid w:val="00F16AAA"/>
    <w:rsid w:val="00F21161"/>
    <w:rsid w:val="00F218EF"/>
    <w:rsid w:val="00F21BC7"/>
    <w:rsid w:val="00F266A2"/>
    <w:rsid w:val="00F32269"/>
    <w:rsid w:val="00F4457E"/>
    <w:rsid w:val="00F56A6F"/>
    <w:rsid w:val="00F5709C"/>
    <w:rsid w:val="00F64EF1"/>
    <w:rsid w:val="00F8765F"/>
    <w:rsid w:val="00F90767"/>
    <w:rsid w:val="00FA685B"/>
    <w:rsid w:val="00FB0C01"/>
    <w:rsid w:val="00FC18F2"/>
    <w:rsid w:val="00FC39E5"/>
    <w:rsid w:val="00FC3A78"/>
    <w:rsid w:val="00FC432D"/>
    <w:rsid w:val="00FC5FFE"/>
    <w:rsid w:val="00FD1005"/>
    <w:rsid w:val="00FD1D28"/>
    <w:rsid w:val="00FD3180"/>
    <w:rsid w:val="00FD6C75"/>
    <w:rsid w:val="00FE71B3"/>
    <w:rsid w:val="00FF2AC9"/>
    <w:rsid w:val="00FF42C5"/>
    <w:rsid w:val="00FF75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00067"/>
    <w:pPr>
      <w:jc w:val="both"/>
    </w:pPr>
    <w:rPr>
      <w:rFonts w:eastAsiaTheme="minorEastAsia"/>
      <w:sz w:val="24"/>
    </w:rPr>
  </w:style>
  <w:style w:type="paragraph" w:styleId="Heading1">
    <w:name w:val="heading 1"/>
    <w:basedOn w:val="Normal"/>
    <w:next w:val="Normal"/>
    <w:link w:val="Heading1Char"/>
    <w:uiPriority w:val="99"/>
    <w:semiHidden/>
    <w:rsid w:val="000000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000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000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000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8161EE"/>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000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8161EE"/>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8161EE"/>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8161EE"/>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00067"/>
    <w:rPr>
      <w:rFonts w:ascii="Tahoma" w:hAnsi="Tahoma" w:cs="Tahoma"/>
      <w:sz w:val="16"/>
      <w:szCs w:val="16"/>
    </w:rPr>
  </w:style>
  <w:style w:type="character" w:customStyle="1" w:styleId="BalloonTextChar">
    <w:name w:val="Balloon Text Char"/>
    <w:basedOn w:val="DefaultParagraphFont"/>
    <w:link w:val="BalloonText"/>
    <w:uiPriority w:val="99"/>
    <w:semiHidden/>
    <w:rsid w:val="00000067"/>
    <w:rPr>
      <w:rFonts w:ascii="Tahoma" w:eastAsiaTheme="minorEastAsia" w:hAnsi="Tahoma" w:cs="Tahoma"/>
      <w:sz w:val="16"/>
      <w:szCs w:val="16"/>
    </w:rPr>
  </w:style>
  <w:style w:type="character" w:styleId="BookTitle">
    <w:name w:val="Book Title"/>
    <w:uiPriority w:val="99"/>
    <w:semiHidden/>
    <w:qFormat/>
    <w:rsid w:val="008161EE"/>
    <w:rPr>
      <w:i/>
      <w:iCs/>
      <w:smallCaps/>
      <w:spacing w:val="5"/>
    </w:rPr>
  </w:style>
  <w:style w:type="paragraph" w:customStyle="1" w:styleId="ECHRHeader">
    <w:name w:val="ECHR_Header"/>
    <w:aliases w:val="Ju_Header"/>
    <w:basedOn w:val="Header"/>
    <w:uiPriority w:val="4"/>
    <w:qFormat/>
    <w:rsid w:val="008161EE"/>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00067"/>
    <w:pPr>
      <w:jc w:val="left"/>
    </w:pPr>
    <w:rPr>
      <w:sz w:val="8"/>
    </w:rPr>
  </w:style>
  <w:style w:type="character" w:styleId="Strong">
    <w:name w:val="Strong"/>
    <w:uiPriority w:val="99"/>
    <w:semiHidden/>
    <w:qFormat/>
    <w:rsid w:val="008161EE"/>
    <w:rPr>
      <w:b/>
      <w:bCs/>
    </w:rPr>
  </w:style>
  <w:style w:type="paragraph" w:styleId="NoSpacing">
    <w:name w:val="No Spacing"/>
    <w:basedOn w:val="Normal"/>
    <w:link w:val="NoSpacingChar"/>
    <w:semiHidden/>
    <w:qFormat/>
    <w:rsid w:val="008161EE"/>
    <w:rPr>
      <w:sz w:val="22"/>
    </w:rPr>
  </w:style>
  <w:style w:type="character" w:customStyle="1" w:styleId="NoSpacingChar">
    <w:name w:val="No Spacing Char"/>
    <w:basedOn w:val="DefaultParagraphFont"/>
    <w:link w:val="NoSpacing"/>
    <w:semiHidden/>
    <w:rsid w:val="008161EE"/>
    <w:rPr>
      <w:rFonts w:eastAsiaTheme="minorEastAsia"/>
    </w:rPr>
  </w:style>
  <w:style w:type="paragraph" w:customStyle="1" w:styleId="ECHRFooterLine">
    <w:name w:val="ECHR_Footer_Line"/>
    <w:aliases w:val="Footer_Line"/>
    <w:basedOn w:val="Normal"/>
    <w:next w:val="ECHRFooter"/>
    <w:uiPriority w:val="57"/>
    <w:semiHidden/>
    <w:rsid w:val="00000067"/>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semiHidden/>
    <w:qFormat/>
    <w:rsid w:val="008161EE"/>
    <w:pPr>
      <w:numPr>
        <w:numId w:val="44"/>
      </w:numPr>
      <w:jc w:val="left"/>
    </w:pPr>
    <w:rPr>
      <w:b/>
    </w:rPr>
  </w:style>
  <w:style w:type="paragraph" w:customStyle="1" w:styleId="OpiPara">
    <w:name w:val="Opi_Para"/>
    <w:basedOn w:val="ECHRPara"/>
    <w:uiPriority w:val="46"/>
    <w:qFormat/>
    <w:rsid w:val="008161EE"/>
  </w:style>
  <w:style w:type="paragraph" w:customStyle="1" w:styleId="JuParaSub">
    <w:name w:val="Ju_Para_Sub"/>
    <w:basedOn w:val="ECHRPara"/>
    <w:uiPriority w:val="13"/>
    <w:qFormat/>
    <w:rsid w:val="008161EE"/>
    <w:pPr>
      <w:ind w:left="284"/>
    </w:pPr>
  </w:style>
  <w:style w:type="paragraph" w:customStyle="1" w:styleId="ECHRTitleCentre3">
    <w:name w:val="ECHR_Title_Centre_3"/>
    <w:aliases w:val="Ju_H_Article"/>
    <w:basedOn w:val="Normal"/>
    <w:next w:val="ECHRParaQuote"/>
    <w:uiPriority w:val="27"/>
    <w:qFormat/>
    <w:rsid w:val="008161E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8161EE"/>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8161EE"/>
  </w:style>
  <w:style w:type="paragraph" w:customStyle="1" w:styleId="OpiQuot">
    <w:name w:val="Opi_Quot"/>
    <w:basedOn w:val="ECHRParaQuote"/>
    <w:uiPriority w:val="48"/>
    <w:qFormat/>
    <w:rsid w:val="008161EE"/>
  </w:style>
  <w:style w:type="paragraph" w:customStyle="1" w:styleId="OpiQuotSub">
    <w:name w:val="Opi_Quot_Sub"/>
    <w:basedOn w:val="JuQuotSub"/>
    <w:uiPriority w:val="49"/>
    <w:qFormat/>
    <w:rsid w:val="008161EE"/>
  </w:style>
  <w:style w:type="paragraph" w:customStyle="1" w:styleId="ECHRTitleCentre2">
    <w:name w:val="ECHR_Title_Centre_2"/>
    <w:aliases w:val="Dec_H_Case"/>
    <w:basedOn w:val="Normal"/>
    <w:next w:val="ECHRPara"/>
    <w:uiPriority w:val="8"/>
    <w:qFormat/>
    <w:rsid w:val="008161EE"/>
    <w:pPr>
      <w:spacing w:after="240"/>
      <w:jc w:val="center"/>
      <w:outlineLvl w:val="0"/>
    </w:pPr>
    <w:rPr>
      <w:rFonts w:asciiTheme="majorHAnsi" w:hAnsiTheme="majorHAnsi"/>
    </w:rPr>
  </w:style>
  <w:style w:type="paragraph" w:customStyle="1" w:styleId="JuTitle">
    <w:name w:val="Ju_Title"/>
    <w:basedOn w:val="Normal"/>
    <w:next w:val="ECHRPara"/>
    <w:uiPriority w:val="3"/>
    <w:semiHidden/>
    <w:qFormat/>
    <w:rsid w:val="008161EE"/>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8161EE"/>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8161EE"/>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8161EE"/>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8161E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8161EE"/>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8161EE"/>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8161EE"/>
    <w:pPr>
      <w:keepNext/>
      <w:keepLines/>
      <w:spacing w:before="240" w:after="120"/>
      <w:ind w:left="1236"/>
    </w:pPr>
    <w:rPr>
      <w:sz w:val="20"/>
    </w:rPr>
  </w:style>
  <w:style w:type="paragraph" w:customStyle="1" w:styleId="JuQuotSub">
    <w:name w:val="Ju_Quot_Sub"/>
    <w:basedOn w:val="ECHRParaQuote"/>
    <w:uiPriority w:val="15"/>
    <w:qFormat/>
    <w:rsid w:val="008161EE"/>
    <w:pPr>
      <w:ind w:left="567"/>
    </w:pPr>
  </w:style>
  <w:style w:type="paragraph" w:customStyle="1" w:styleId="JuInitialled">
    <w:name w:val="Ju_Initialled"/>
    <w:basedOn w:val="Normal"/>
    <w:uiPriority w:val="31"/>
    <w:qFormat/>
    <w:rsid w:val="008161EE"/>
    <w:pPr>
      <w:tabs>
        <w:tab w:val="center" w:pos="6407"/>
      </w:tabs>
      <w:spacing w:before="720"/>
      <w:jc w:val="right"/>
    </w:pPr>
  </w:style>
  <w:style w:type="paragraph" w:customStyle="1" w:styleId="OpiHA">
    <w:name w:val="Opi_H_A"/>
    <w:basedOn w:val="ECHRHeading1"/>
    <w:next w:val="OpiPara"/>
    <w:uiPriority w:val="41"/>
    <w:qFormat/>
    <w:rsid w:val="008161EE"/>
    <w:pPr>
      <w:tabs>
        <w:tab w:val="clear" w:pos="357"/>
      </w:tabs>
      <w:outlineLvl w:val="1"/>
    </w:pPr>
    <w:rPr>
      <w:b/>
    </w:rPr>
  </w:style>
  <w:style w:type="paragraph" w:styleId="Header">
    <w:name w:val="header"/>
    <w:basedOn w:val="Normal"/>
    <w:link w:val="HeaderChar"/>
    <w:uiPriority w:val="57"/>
    <w:semiHidden/>
    <w:rsid w:val="0000006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00067"/>
    <w:rPr>
      <w:sz w:val="24"/>
    </w:rPr>
  </w:style>
  <w:style w:type="character" w:customStyle="1" w:styleId="Heading1Char">
    <w:name w:val="Heading 1 Char"/>
    <w:basedOn w:val="DefaultParagraphFont"/>
    <w:link w:val="Heading1"/>
    <w:uiPriority w:val="99"/>
    <w:semiHidden/>
    <w:rsid w:val="000000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8161EE"/>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8161EE"/>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00067"/>
    <w:rPr>
      <w:rFonts w:asciiTheme="majorHAnsi" w:eastAsiaTheme="majorEastAsia" w:hAnsiTheme="majorHAnsi" w:cstheme="majorBidi"/>
      <w:b/>
      <w:bCs/>
      <w:color w:val="4D4D4D"/>
      <w:sz w:val="26"/>
      <w:szCs w:val="26"/>
    </w:rPr>
  </w:style>
  <w:style w:type="character" w:customStyle="1" w:styleId="JUNAMES">
    <w:name w:val="JU_NAMES"/>
    <w:uiPriority w:val="17"/>
    <w:qFormat/>
    <w:rsid w:val="008161EE"/>
    <w:rPr>
      <w:caps w:val="0"/>
      <w:smallCaps/>
    </w:rPr>
  </w:style>
  <w:style w:type="paragraph" w:customStyle="1" w:styleId="JuCase">
    <w:name w:val="Ju_Case"/>
    <w:basedOn w:val="Normal"/>
    <w:next w:val="ECHRPara"/>
    <w:uiPriority w:val="10"/>
    <w:rsid w:val="00000067"/>
    <w:pPr>
      <w:ind w:firstLine="284"/>
    </w:pPr>
    <w:rPr>
      <w:b/>
    </w:rPr>
  </w:style>
  <w:style w:type="character" w:customStyle="1" w:styleId="Heading3Char">
    <w:name w:val="Heading 3 Char"/>
    <w:basedOn w:val="DefaultParagraphFont"/>
    <w:link w:val="Heading3"/>
    <w:uiPriority w:val="99"/>
    <w:semiHidden/>
    <w:rsid w:val="000000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000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8161EE"/>
    <w:rPr>
      <w:rFonts w:asciiTheme="majorHAnsi" w:eastAsiaTheme="majorEastAsia" w:hAnsiTheme="majorHAnsi" w:cstheme="majorBidi"/>
      <w:b/>
      <w:bCs/>
      <w:color w:val="808080"/>
    </w:rPr>
  </w:style>
  <w:style w:type="character" w:styleId="SubtleEmphasis">
    <w:name w:val="Subtle Emphasis"/>
    <w:uiPriority w:val="99"/>
    <w:semiHidden/>
    <w:qFormat/>
    <w:rsid w:val="008161EE"/>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8161EE"/>
    <w:pPr>
      <w:keepNext/>
      <w:keepLines/>
      <w:spacing w:before="720" w:after="240"/>
      <w:outlineLvl w:val="0"/>
    </w:pPr>
    <w:rPr>
      <w:rFonts w:asciiTheme="majorHAnsi" w:hAnsiTheme="majorHAnsi"/>
      <w:sz w:val="28"/>
    </w:rPr>
  </w:style>
  <w:style w:type="character" w:styleId="Emphasis">
    <w:name w:val="Emphasis"/>
    <w:uiPriority w:val="99"/>
    <w:semiHidden/>
    <w:qFormat/>
    <w:rsid w:val="008161EE"/>
    <w:rPr>
      <w:b/>
      <w:bCs/>
      <w:i/>
      <w:iCs/>
      <w:spacing w:val="10"/>
      <w:bdr w:val="none" w:sz="0" w:space="0" w:color="auto"/>
      <w:shd w:val="clear" w:color="auto" w:fill="auto"/>
    </w:rPr>
  </w:style>
  <w:style w:type="paragraph" w:styleId="Footer">
    <w:name w:val="footer"/>
    <w:basedOn w:val="Normal"/>
    <w:link w:val="FooterChar"/>
    <w:uiPriority w:val="57"/>
    <w:semiHidden/>
    <w:rsid w:val="000000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00067"/>
    <w:rPr>
      <w:sz w:val="24"/>
    </w:rPr>
  </w:style>
  <w:style w:type="character" w:styleId="FootnoteReference">
    <w:name w:val="footnote reference"/>
    <w:basedOn w:val="DefaultParagraphFont"/>
    <w:uiPriority w:val="99"/>
    <w:semiHidden/>
    <w:rsid w:val="00000067"/>
    <w:rPr>
      <w:vertAlign w:val="superscript"/>
    </w:rPr>
  </w:style>
  <w:style w:type="paragraph" w:styleId="FootnoteText">
    <w:name w:val="footnote text"/>
    <w:basedOn w:val="Normal"/>
    <w:link w:val="FootnoteTextChar"/>
    <w:uiPriority w:val="99"/>
    <w:semiHidden/>
    <w:rsid w:val="00000067"/>
    <w:rPr>
      <w:sz w:val="20"/>
      <w:szCs w:val="20"/>
    </w:rPr>
  </w:style>
  <w:style w:type="character" w:customStyle="1" w:styleId="FootnoteTextChar">
    <w:name w:val="Footnote Text Char"/>
    <w:basedOn w:val="DefaultParagraphFont"/>
    <w:link w:val="FootnoteText"/>
    <w:uiPriority w:val="99"/>
    <w:semiHidden/>
    <w:rsid w:val="00000067"/>
    <w:rPr>
      <w:rFonts w:eastAsiaTheme="minorEastAsia"/>
      <w:sz w:val="20"/>
      <w:szCs w:val="20"/>
    </w:rPr>
  </w:style>
  <w:style w:type="character" w:customStyle="1" w:styleId="Heading6Char">
    <w:name w:val="Heading 6 Char"/>
    <w:basedOn w:val="DefaultParagraphFont"/>
    <w:link w:val="Heading6"/>
    <w:uiPriority w:val="99"/>
    <w:semiHidden/>
    <w:rsid w:val="000000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8161E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8161E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8161E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00067"/>
    <w:rPr>
      <w:color w:val="0072BC" w:themeColor="hyperlink"/>
      <w:u w:val="single"/>
    </w:rPr>
  </w:style>
  <w:style w:type="character" w:styleId="IntenseEmphasis">
    <w:name w:val="Intense Emphasis"/>
    <w:uiPriority w:val="99"/>
    <w:semiHidden/>
    <w:qFormat/>
    <w:rsid w:val="008161EE"/>
    <w:rPr>
      <w:b/>
      <w:bCs/>
    </w:rPr>
  </w:style>
  <w:style w:type="paragraph" w:styleId="IntenseQuote">
    <w:name w:val="Intense Quote"/>
    <w:basedOn w:val="Normal"/>
    <w:next w:val="Normal"/>
    <w:link w:val="IntenseQuoteChar"/>
    <w:uiPriority w:val="99"/>
    <w:semiHidden/>
    <w:qFormat/>
    <w:rsid w:val="008161EE"/>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8161EE"/>
    <w:rPr>
      <w:rFonts w:eastAsiaTheme="minorEastAsia"/>
      <w:b/>
      <w:bCs/>
      <w:i/>
      <w:iCs/>
      <w:lang w:bidi="en-US"/>
    </w:rPr>
  </w:style>
  <w:style w:type="character" w:styleId="IntenseReference">
    <w:name w:val="Intense Reference"/>
    <w:uiPriority w:val="99"/>
    <w:semiHidden/>
    <w:qFormat/>
    <w:rsid w:val="008161EE"/>
    <w:rPr>
      <w:smallCaps/>
      <w:spacing w:val="5"/>
      <w:u w:val="single"/>
    </w:rPr>
  </w:style>
  <w:style w:type="paragraph" w:styleId="ListParagraph">
    <w:name w:val="List Paragraph"/>
    <w:basedOn w:val="Normal"/>
    <w:uiPriority w:val="99"/>
    <w:semiHidden/>
    <w:qFormat/>
    <w:rsid w:val="008161E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8161EE"/>
    <w:pPr>
      <w:spacing w:before="200"/>
      <w:ind w:left="360" w:right="360"/>
    </w:pPr>
    <w:rPr>
      <w:i/>
      <w:iCs/>
      <w:sz w:val="22"/>
      <w:lang w:bidi="en-US"/>
    </w:rPr>
  </w:style>
  <w:style w:type="character" w:customStyle="1" w:styleId="QuoteChar">
    <w:name w:val="Quote Char"/>
    <w:basedOn w:val="DefaultParagraphFont"/>
    <w:link w:val="Quote"/>
    <w:uiPriority w:val="99"/>
    <w:semiHidden/>
    <w:rsid w:val="008161EE"/>
    <w:rPr>
      <w:rFonts w:eastAsiaTheme="minorEastAsia"/>
      <w:i/>
      <w:iCs/>
      <w:lang w:bidi="en-US"/>
    </w:rPr>
  </w:style>
  <w:style w:type="character" w:styleId="SubtleReference">
    <w:name w:val="Subtle Reference"/>
    <w:uiPriority w:val="99"/>
    <w:semiHidden/>
    <w:qFormat/>
    <w:rsid w:val="008161EE"/>
    <w:rPr>
      <w:smallCaps/>
    </w:rPr>
  </w:style>
  <w:style w:type="table" w:styleId="TableGrid">
    <w:name w:val="Table Grid"/>
    <w:basedOn w:val="TableNormal"/>
    <w:uiPriority w:val="59"/>
    <w:semiHidden/>
    <w:rsid w:val="000000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000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000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000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000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000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8161EE"/>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000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8161EE"/>
    <w:pPr>
      <w:spacing w:before="120" w:after="120"/>
      <w:ind w:left="425" w:firstLine="142"/>
    </w:pPr>
    <w:rPr>
      <w:sz w:val="20"/>
    </w:rPr>
  </w:style>
  <w:style w:type="paragraph" w:customStyle="1" w:styleId="ECHRPara">
    <w:name w:val="ECHR_Para"/>
    <w:aliases w:val="Ju_Para"/>
    <w:basedOn w:val="Normal"/>
    <w:link w:val="ECHRParaChar"/>
    <w:uiPriority w:val="12"/>
    <w:qFormat/>
    <w:rsid w:val="008161EE"/>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000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8161EE"/>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8161EE"/>
    <w:pPr>
      <w:ind w:left="340" w:hanging="340"/>
    </w:pPr>
  </w:style>
  <w:style w:type="paragraph" w:customStyle="1" w:styleId="JuSigned">
    <w:name w:val="Ju_Signed"/>
    <w:basedOn w:val="Normal"/>
    <w:next w:val="JuParaLast"/>
    <w:uiPriority w:val="32"/>
    <w:qFormat/>
    <w:rsid w:val="008161EE"/>
    <w:pPr>
      <w:tabs>
        <w:tab w:val="center" w:pos="851"/>
        <w:tab w:val="center" w:pos="6407"/>
      </w:tabs>
      <w:spacing w:before="720"/>
      <w:jc w:val="left"/>
    </w:pPr>
  </w:style>
  <w:style w:type="paragraph" w:customStyle="1" w:styleId="JuParaLast">
    <w:name w:val="Ju_Para_Last"/>
    <w:basedOn w:val="Normal"/>
    <w:next w:val="ECHRPara"/>
    <w:uiPriority w:val="30"/>
    <w:qFormat/>
    <w:rsid w:val="008161EE"/>
    <w:pPr>
      <w:keepNext/>
      <w:keepLines/>
      <w:spacing w:before="240"/>
      <w:ind w:firstLine="284"/>
    </w:pPr>
  </w:style>
  <w:style w:type="character" w:customStyle="1" w:styleId="JuITMark">
    <w:name w:val="Ju_ITMark"/>
    <w:basedOn w:val="DefaultParagraphFont"/>
    <w:uiPriority w:val="38"/>
    <w:qFormat/>
    <w:rsid w:val="008161EE"/>
    <w:rPr>
      <w:vanish w:val="0"/>
      <w:color w:val="auto"/>
      <w:sz w:val="14"/>
      <w:bdr w:val="none" w:sz="0" w:space="0" w:color="auto"/>
      <w:shd w:val="clear" w:color="auto" w:fill="BEE5FF" w:themeFill="background1" w:themeFillTint="33"/>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8161EE"/>
    <w:pPr>
      <w:ind w:left="346" w:firstLine="0"/>
    </w:pPr>
  </w:style>
  <w:style w:type="paragraph" w:customStyle="1" w:styleId="OpiTranslation">
    <w:name w:val="Opi_Translation"/>
    <w:basedOn w:val="Normal"/>
    <w:next w:val="OpiPara"/>
    <w:uiPriority w:val="40"/>
    <w:qFormat/>
    <w:rsid w:val="008161EE"/>
    <w:pPr>
      <w:jc w:val="center"/>
      <w:outlineLvl w:val="0"/>
    </w:pPr>
    <w:rPr>
      <w:i/>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HTitle">
    <w:name w:val="Dec_H_Title"/>
    <w:basedOn w:val="ECHRTitleCentre1"/>
    <w:uiPriority w:val="7"/>
    <w:semiHidden/>
    <w:qFormat/>
    <w:rsid w:val="008161EE"/>
  </w:style>
  <w:style w:type="paragraph" w:styleId="ListBullet">
    <w:name w:val="List Bullet"/>
    <w:basedOn w:val="Normal"/>
    <w:uiPriority w:val="99"/>
    <w:semiHidden/>
    <w:rsid w:val="00014566"/>
    <w:pPr>
      <w:numPr>
        <w:numId w:val="1"/>
      </w:numPr>
    </w:pPr>
  </w:style>
  <w:style w:type="paragraph" w:customStyle="1" w:styleId="JuCourt">
    <w:name w:val="Ju_Court"/>
    <w:basedOn w:val="Normal"/>
    <w:next w:val="Normal"/>
    <w:uiPriority w:val="16"/>
    <w:qFormat/>
    <w:rsid w:val="008161EE"/>
    <w:pPr>
      <w:tabs>
        <w:tab w:val="left" w:pos="907"/>
        <w:tab w:val="left" w:pos="1701"/>
        <w:tab w:val="right" w:pos="7371"/>
      </w:tabs>
      <w:spacing w:before="240"/>
      <w:ind w:left="397" w:hanging="397"/>
      <w:jc w:val="left"/>
    </w:pPr>
    <w:rPr>
      <w:lang w:bidi="en-US"/>
    </w:rPr>
  </w:style>
  <w:style w:type="paragraph" w:styleId="Subtitle">
    <w:name w:val="Subtitle"/>
    <w:basedOn w:val="Normal"/>
    <w:next w:val="Normal"/>
    <w:link w:val="SubtitleChar"/>
    <w:uiPriority w:val="99"/>
    <w:semiHidden/>
    <w:qFormat/>
    <w:rsid w:val="008161EE"/>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8161E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000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000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000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DecList">
    <w:name w:val="Dec_List"/>
    <w:basedOn w:val="Normal"/>
    <w:uiPriority w:val="9"/>
    <w:semiHidden/>
    <w:qFormat/>
    <w:rsid w:val="008161EE"/>
    <w:pPr>
      <w:spacing w:before="240"/>
      <w:ind w:left="284"/>
    </w:pPr>
  </w:style>
  <w:style w:type="paragraph" w:customStyle="1" w:styleId="JuListi">
    <w:name w:val="Ju_List_i"/>
    <w:basedOn w:val="Normal"/>
    <w:next w:val="JuLista"/>
    <w:uiPriority w:val="28"/>
    <w:qFormat/>
    <w:rsid w:val="008161EE"/>
    <w:pPr>
      <w:ind w:left="794"/>
    </w:pPr>
  </w:style>
  <w:style w:type="paragraph" w:customStyle="1" w:styleId="OpiH1">
    <w:name w:val="Opi_H_1"/>
    <w:basedOn w:val="ECHRHeading2"/>
    <w:uiPriority w:val="42"/>
    <w:qFormat/>
    <w:rsid w:val="008161EE"/>
    <w:pPr>
      <w:ind w:left="635" w:hanging="357"/>
      <w:outlineLvl w:val="2"/>
    </w:pPr>
  </w:style>
  <w:style w:type="paragraph" w:customStyle="1" w:styleId="OpiHa0">
    <w:name w:val="Opi_H_a"/>
    <w:basedOn w:val="ECHRHeading3"/>
    <w:uiPriority w:val="43"/>
    <w:qFormat/>
    <w:rsid w:val="008161EE"/>
    <w:pPr>
      <w:ind w:left="833" w:hanging="357"/>
      <w:outlineLvl w:val="3"/>
    </w:pPr>
    <w:rPr>
      <w:b/>
      <w:i w:val="0"/>
      <w:sz w:val="20"/>
    </w:rPr>
  </w:style>
  <w:style w:type="paragraph" w:customStyle="1" w:styleId="OpiHi">
    <w:name w:val="Opi_H_i"/>
    <w:basedOn w:val="ECHRHeading4"/>
    <w:uiPriority w:val="44"/>
    <w:qFormat/>
    <w:rsid w:val="008161EE"/>
    <w:pPr>
      <w:ind w:left="1037" w:hanging="357"/>
      <w:outlineLvl w:val="4"/>
    </w:pPr>
    <w:rPr>
      <w:b w:val="0"/>
      <w:i/>
    </w:rPr>
  </w:style>
  <w:style w:type="paragraph" w:customStyle="1" w:styleId="DummyStyle">
    <w:name w:val="Dummy_Style"/>
    <w:basedOn w:val="Normal"/>
    <w:semiHidden/>
    <w:qFormat/>
    <w:rsid w:val="008161EE"/>
    <w:rPr>
      <w:color w:val="00B050"/>
    </w:rPr>
  </w:style>
  <w:style w:type="paragraph" w:customStyle="1" w:styleId="JuHeaderLandscape">
    <w:name w:val="Ju_Header_Landscape"/>
    <w:basedOn w:val="ECHRHeader"/>
    <w:uiPriority w:val="4"/>
    <w:qFormat/>
    <w:rsid w:val="008161EE"/>
    <w:pPr>
      <w:tabs>
        <w:tab w:val="clear" w:pos="3686"/>
        <w:tab w:val="clear" w:pos="7371"/>
        <w:tab w:val="center" w:pos="6146"/>
        <w:tab w:val="right" w:pos="12293"/>
      </w:tabs>
    </w:pPr>
  </w:style>
  <w:style w:type="character" w:customStyle="1" w:styleId="ECHRParaChar">
    <w:name w:val="ECHR_Para Char"/>
    <w:aliases w:val="Ju_Para Char"/>
    <w:link w:val="ECHRPara"/>
    <w:uiPriority w:val="12"/>
    <w:rsid w:val="002D5CDD"/>
    <w:rPr>
      <w:rFonts w:eastAsiaTheme="minorEastAsia"/>
      <w:sz w:val="24"/>
    </w:rPr>
  </w:style>
  <w:style w:type="paragraph" w:styleId="Revision">
    <w:name w:val="Revision"/>
    <w:hidden/>
    <w:uiPriority w:val="99"/>
    <w:semiHidden/>
    <w:rsid w:val="00A14F25"/>
    <w:rPr>
      <w:rFonts w:eastAsiaTheme="minorEastAsia"/>
      <w:sz w:val="24"/>
    </w:rPr>
  </w:style>
  <w:style w:type="paragraph" w:customStyle="1" w:styleId="jupara">
    <w:name w:val="jupara"/>
    <w:basedOn w:val="Normal"/>
    <w:rsid w:val="009737C8"/>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9737C8"/>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0E339-A4CB-4BB0-B79D-9E65C0DE4256}"/>
</file>

<file path=customXml/itemProps2.xml><?xml version="1.0" encoding="utf-8"?>
<ds:datastoreItem xmlns:ds="http://schemas.openxmlformats.org/officeDocument/2006/customXml" ds:itemID="{02B14549-5E49-4905-9055-C76A011018CD}"/>
</file>

<file path=customXml/itemProps3.xml><?xml version="1.0" encoding="utf-8"?>
<ds:datastoreItem xmlns:ds="http://schemas.openxmlformats.org/officeDocument/2006/customXml" ds:itemID="{D5C85743-A5FF-45B9-BF52-E97F8C55BC9F}"/>
</file>

<file path=customXml/itemProps4.xml><?xml version="1.0" encoding="utf-8"?>
<ds:datastoreItem xmlns:ds="http://schemas.openxmlformats.org/officeDocument/2006/customXml" ds:itemID="{7DFDACCF-B770-480F-9C85-39D35D84E975}"/>
</file>

<file path=docProps/app.xml><?xml version="1.0" encoding="utf-8"?>
<Properties xmlns="http://schemas.openxmlformats.org/officeDocument/2006/extended-properties" xmlns:vt="http://schemas.openxmlformats.org/officeDocument/2006/docPropsVTypes">
  <Template>Normal.dotm</Template>
  <TotalTime>0</TotalTime>
  <Pages>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2018-01-16T13:07:00Z</dcterms:created>
  <dcterms:modified xsi:type="dcterms:W3CDTF">2018-01-16T13:07:00Z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58271/15</vt:lpwstr>
  </property>
  <property fmtid="{D5CDD505-2E9C-101B-9397-08002B2CF9AE}" pid="4" name="CASEID">
    <vt:lpwstr>1168629</vt:lpwstr>
  </property>
  <property fmtid="{D5CDD505-2E9C-101B-9397-08002B2CF9AE}" pid="5" name="ContentTypeId">
    <vt:lpwstr>0x010100558EB02BDB9E204AB350EDD385B68E10</vt:lpwstr>
  </property>
</Properties>
</file>