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2 : Exploiter des référentiels, normes et standards adoptés par le prestataire informatique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Appliquer les standards stricts de l'entreprise lors de la configuration des postes de travail.</w:t>
      </w:r>
    </w:p>
    <w:p>
      <w:pPr>
        <w:pStyle w:val="Heading1"/>
      </w:pPr>
      <w:r>
        <w:t>II. Contexte</w:t>
      </w:r>
    </w:p>
    <w:p>
      <w:r>
        <w:t>Afin de garantir l'homogénéité du parc informatique et la sécurité du réseau, chaque ordinateur doit être préparé selon des normes établies (Mastering).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Utilisation de l'outil de déploiement réseau pour installer l'image système standardisée (Windows) sur les nouveaux Laptops.</w:t>
      </w:r>
    </w:p>
    <w:p>
      <w:pPr>
        <w:pStyle w:val="ListBullet"/>
      </w:pPr>
      <w:r>
        <w:t>Application de la convention de nommage de l'entreprise pour intégrer correctement le poste dans l'Active Directory (AD).</w:t>
      </w:r>
    </w:p>
    <w:p>
      <w:pPr>
        <w:pStyle w:val="ListBullet"/>
      </w:pPr>
      <w:r>
        <w:t>Vérification de l'installation des agents de sécurité (Antivirus, VPN) imposés par les normes internes.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Postes de travail 100% conformes à la politique de sécurité.</w:t>
      </w:r>
    </w:p>
    <w:p>
      <w:pPr>
        <w:pStyle w:val="ListBullet"/>
      </w:pPr>
      <w:r>
        <w:t>Homogénéité du parc informatique facilitant la maintenance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