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04" w:rsidRPr="00AF2E04" w:rsidRDefault="00AF2E04" w:rsidP="0067563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  <w:lang w:eastAsia="ru-RU"/>
        </w:rPr>
      </w:pPr>
    </w:p>
    <w:p w:rsidR="00AF2E04" w:rsidRPr="00012C94" w:rsidRDefault="00AF2E04" w:rsidP="00675636">
      <w:pPr>
        <w:rPr>
          <w:sz w:val="28"/>
          <w:szCs w:val="28"/>
        </w:rPr>
      </w:pPr>
      <w:r>
        <w:t xml:space="preserve"> </w:t>
      </w:r>
      <w:r w:rsidRPr="00AF2E04">
        <w:t xml:space="preserve">    </w:t>
      </w:r>
      <w:r w:rsidRPr="00AF2E04">
        <w:rPr>
          <w:sz w:val="28"/>
          <w:szCs w:val="28"/>
        </w:rPr>
        <w:t xml:space="preserve">Лабораторная работа № 11 «Описание структуры </w:t>
      </w:r>
      <w:r w:rsidRPr="00AF2E04">
        <w:rPr>
          <w:sz w:val="28"/>
          <w:szCs w:val="28"/>
          <w:lang w:val="en-US"/>
        </w:rPr>
        <w:t>XML</w:t>
      </w:r>
      <w:r w:rsidRPr="00AF2E04">
        <w:rPr>
          <w:sz w:val="28"/>
          <w:szCs w:val="28"/>
        </w:rPr>
        <w:t xml:space="preserve"> документа средствами </w:t>
      </w:r>
      <w:r w:rsidRPr="00AF2E04">
        <w:rPr>
          <w:sz w:val="28"/>
          <w:szCs w:val="28"/>
          <w:lang w:val="en-US"/>
        </w:rPr>
        <w:t>DTD</w:t>
      </w:r>
      <w:r w:rsidRPr="00AF2E04">
        <w:rPr>
          <w:sz w:val="28"/>
          <w:szCs w:val="28"/>
        </w:rPr>
        <w:t>»</w:t>
      </w:r>
    </w:p>
    <w:p w:rsidR="00B71D08" w:rsidRPr="00675636" w:rsidRDefault="00AF2E04" w:rsidP="00675636">
      <w:pPr>
        <w:rPr>
          <w:rFonts w:ascii="Tahoma" w:hAnsi="Tahoma" w:cs="Tahoma"/>
          <w:color w:val="494949"/>
          <w:sz w:val="18"/>
          <w:szCs w:val="18"/>
          <w:shd w:val="clear" w:color="auto" w:fill="FFFFFF"/>
        </w:rPr>
      </w:pPr>
      <w:r>
        <w:rPr>
          <w:rStyle w:val="text"/>
          <w:rFonts w:ascii="Tahoma" w:hAnsi="Tahoma" w:cs="Tahoma"/>
          <w:b/>
          <w:bCs/>
          <w:color w:val="494949"/>
          <w:sz w:val="18"/>
          <w:szCs w:val="18"/>
          <w:shd w:val="clear" w:color="auto" w:fill="FFFFFF"/>
        </w:rPr>
        <w:t>Аннотация: </w:t>
      </w:r>
      <w:r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 xml:space="preserve">Цель работы: ознакомиться с конструкциями языка XML и его реализациями, со способами описания структуры документа средствами DTD. </w:t>
      </w:r>
      <w:r w:rsidR="00F93A84">
        <w:rPr>
          <w:rStyle w:val="spelling-content-entity"/>
          <w:rFonts w:ascii="Tahoma" w:hAnsi="Tahoma" w:cs="Tahoma"/>
          <w:color w:val="494949"/>
          <w:sz w:val="18"/>
          <w:szCs w:val="18"/>
          <w:shd w:val="clear" w:color="auto" w:fill="FFFFFF"/>
        </w:rPr>
        <w:t xml:space="preserve"> </w:t>
      </w:r>
      <w:r w:rsidR="00F93A84">
        <w:rPr>
          <w:rFonts w:ascii="Tahoma" w:hAnsi="Tahoma" w:cs="Tahoma"/>
          <w:color w:val="494949"/>
          <w:sz w:val="18"/>
          <w:szCs w:val="18"/>
          <w:shd w:val="clear" w:color="auto" w:fill="FFFFFF"/>
        </w:rPr>
        <w:t>Изучить способы обработки XML документов</w:t>
      </w:r>
      <w:r w:rsidR="00B71D08" w:rsidRPr="00675636">
        <w:rPr>
          <w:rFonts w:ascii="Tahoma" w:hAnsi="Tahoma" w:cs="Tahoma"/>
          <w:color w:val="494949"/>
          <w:sz w:val="18"/>
          <w:szCs w:val="18"/>
          <w:shd w:val="clear" w:color="auto" w:fill="FFFFFF"/>
        </w:rPr>
        <w:t>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XML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Первая строка XML-документа называется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объявление XML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это необязательная строка, указывающая версию стандарта XML (обычно это 1.0), также здесь может быть указана кодировка символов и внешние зависимости.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&lt;?</w:t>
      </w:r>
      <w:proofErr w:type="spellStart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xml</w:t>
      </w:r>
      <w:proofErr w:type="spellEnd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version</w:t>
      </w:r>
      <w:proofErr w:type="spellEnd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="1.0" </w:t>
      </w:r>
      <w:proofErr w:type="spellStart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encoding</w:t>
      </w:r>
      <w:proofErr w:type="spellEnd"/>
      <w:r w:rsidRPr="0067563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="utf-8"?&gt;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Важнейшее обязательное синтаксическое требование заключается в том, что документ имеет только один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корневой элемент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(так же иногда называемый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элемент документа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Это означает, что текст или другие данные всего документа должны быть расположены между единственным начальным корневым тегом и соответствующим ему конечным тегом.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компьютер&lt;/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Остальная часть этого XML-документа состоит из вложенных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элементов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некоторые из которых имеют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атрибуты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содержимое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Элемент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обычно состоит из открывающего и закрывающего тегов, обрамляющих текст и другие элементы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 видеокарта 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Кроме содержания у элемента могут быть 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атрибуты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— пары имя-значение, добавляемые 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открывающий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тег после названия элемента. Значения атрибутов всегда заключаются в кавычки (одинарные или двойные), одно и то же имя атрибута не может встречаться дважды в одном элементе. Не рекомендуется использовать разные типы кавычек для значений атрибутов одного тега.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model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=”6600” &gt; видеокарта 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приведённом примере у элемента «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video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 есть атрибут: «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model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», имеющий значение «6600»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любом месте дерева может быть размещен элемент-</w:t>
      </w:r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комментарий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XML-комментарии размещаются внутри специального тега, начинающегося с символов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&lt;!-- 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заканчивающегося символами --&gt;. Два знака дефис (--) внутри комментария присутствовать не могут.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&lt;!-- </w:t>
      </w:r>
      <w:proofErr w:type="spellStart"/>
      <w:r w:rsidRPr="0067563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Коментарий</w:t>
      </w:r>
      <w:proofErr w:type="spellEnd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--&gt;</w:t>
      </w:r>
      <w:proofErr w:type="gramEnd"/>
    </w:p>
    <w:p w:rsidR="00675636" w:rsidRPr="00675636" w:rsidRDefault="00675636" w:rsidP="00675636">
      <w:pPr>
        <w:spacing w:before="100" w:beforeAutospacing="1" w:after="100" w:afterAutospacing="1" w:line="240" w:lineRule="auto"/>
        <w:ind w:left="-14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log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&lt;event date=" 27/May/1999:02:32:46 " result="success"&gt;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-from&gt; 195.151.62.18 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ip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-from&gt;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method&gt;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GET&lt;/method&gt;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to&gt; 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misc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-to&gt;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response&gt;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200&lt;/response&gt;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&lt;/event&gt;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&lt;/log&gt;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706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Задание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70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Xml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-документ на основе данной таблицы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</w:t>
      </w:r>
      <w:proofErr w:type="gramEnd"/>
    </w:p>
    <w:p w:rsidR="00675636" w:rsidRPr="00675636" w:rsidRDefault="00675636" w:rsidP="00675636">
      <w:pPr>
        <w:spacing w:before="100" w:beforeAutospacing="1" w:after="100" w:afterAutospacing="1" w:line="240" w:lineRule="auto"/>
        <w:ind w:left="-70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Использовать выделенные слова левого столбца как теги, а обычные как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атрибуты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.В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качестве параметров используйте данные правого столбца.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70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Сохраните документ на личном диске и назовите его Video.xml</w:t>
      </w:r>
    </w:p>
    <w:p w:rsidR="00675636" w:rsidRPr="00675636" w:rsidRDefault="00675636" w:rsidP="0067563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FD9C5D8" wp14:editId="3087A9D7">
            <wp:extent cx="6867525" cy="5124450"/>
            <wp:effectExtent l="0" t="0" r="9525" b="0"/>
            <wp:docPr id="1" name="Рисунок 1" descr="http://textarchive.ru/images/1034/2067935/41e45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xtarchive.ru/images/1034/2067935/41e4598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636" w:rsidRPr="00675636" w:rsidRDefault="00675636" w:rsidP="00675636">
      <w:pPr>
        <w:spacing w:before="100" w:beforeAutospacing="1" w:after="100" w:afterAutospacing="1" w:line="240" w:lineRule="auto"/>
        <w:ind w:left="-70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результате 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Ваш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XML-файл может выглядеть так: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version="1.0" encoding="utf-8"?&gt;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Harakter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proizvoditel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ASUS "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model="EAH6670/DI/512MD5 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dlina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 170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мм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&lt;Video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videopamyat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="512" RAMDAC="400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10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бит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канал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 HDCP="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(1080p)" API="DirectX 11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OpenGL 3.2 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&lt;/Video&gt;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Pamyat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tip="ddr5"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shina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="256"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="1000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Pamyat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chip="Radeon HD 5670"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chastota_chipa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="775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МГц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kol-vo_processorov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="400 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porti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="D-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</w:t>
      </w: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,dvi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&lt;Interface&gt;PCI Express 2.1&lt;/Interface&gt;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upravlenie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="net"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activ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Sovmestimost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pitanie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="400 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="Windows XP x64, Windows XP, Windows MCE 2005, Windows Vista, Windows 7"&gt;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Sovmestimost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&lt;/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Harakter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</w:p>
    <w:p w:rsidR="00675636" w:rsidRDefault="00675636" w:rsidP="00675636">
      <w:pPr>
        <w:rPr>
          <w:rFonts w:ascii="Arial" w:hAnsi="Arial" w:cs="Arial"/>
          <w:b/>
          <w:bCs/>
          <w:color w:val="000000"/>
          <w:shd w:val="clear" w:color="auto" w:fill="F9F9F7"/>
          <w:lang w:val="en-US"/>
        </w:rPr>
      </w:pPr>
    </w:p>
    <w:p w:rsidR="00B71D08" w:rsidRDefault="00675636" w:rsidP="00675636">
      <w:pPr>
        <w:rPr>
          <w:rFonts w:ascii="Arial" w:hAnsi="Arial" w:cs="Arial"/>
          <w:b/>
          <w:bCs/>
          <w:color w:val="000000"/>
          <w:shd w:val="clear" w:color="auto" w:fill="F9F9F7"/>
          <w:lang w:val="en-US"/>
        </w:rPr>
      </w:pPr>
      <w:r>
        <w:rPr>
          <w:rFonts w:ascii="Arial" w:hAnsi="Arial" w:cs="Arial"/>
          <w:b/>
          <w:bCs/>
          <w:color w:val="000000"/>
          <w:shd w:val="clear" w:color="auto" w:fill="F9F9F7"/>
        </w:rPr>
        <w:t>Создание DTD-документа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DTD</w:t>
      </w:r>
      <w:r>
        <w:rPr>
          <w:rFonts w:ascii="Arial" w:hAnsi="Arial" w:cs="Arial"/>
          <w:color w:val="000000"/>
        </w:rPr>
        <w:t> (</w:t>
      </w:r>
      <w:proofErr w:type="spellStart"/>
      <w:r>
        <w:rPr>
          <w:rFonts w:ascii="Arial" w:hAnsi="Arial" w:cs="Arial"/>
          <w:i/>
          <w:iCs/>
          <w:color w:val="000000"/>
        </w:rPr>
        <w:t>Document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Type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Definition</w:t>
      </w:r>
      <w:proofErr w:type="spellEnd"/>
      <w:r>
        <w:rPr>
          <w:rFonts w:ascii="Arial" w:hAnsi="Arial" w:cs="Arial"/>
          <w:color w:val="000000"/>
        </w:rPr>
        <w:t> определение типа документа) — включает в себя два понятия:</w:t>
      </w:r>
    </w:p>
    <w:p w:rsidR="00675636" w:rsidRDefault="00675636" w:rsidP="00675636">
      <w:pPr>
        <w:pStyle w:val="a3"/>
        <w:spacing w:before="101" w:beforeAutospacing="0" w:after="101" w:afterAutospacing="0"/>
        <w:ind w:left="72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Термин, который используется для описания схемы документа или его части </w:t>
      </w:r>
      <w:r>
        <w:rPr>
          <w:rFonts w:ascii="Arial" w:hAnsi="Arial" w:cs="Arial"/>
          <w:i/>
          <w:iCs/>
          <w:color w:val="000000"/>
        </w:rPr>
        <w:t>языком схем DTD</w:t>
      </w:r>
      <w:r>
        <w:rPr>
          <w:rFonts w:ascii="Arial" w:hAnsi="Arial" w:cs="Arial"/>
          <w:color w:val="000000"/>
        </w:rPr>
        <w:t>.</w:t>
      </w:r>
    </w:p>
    <w:p w:rsidR="00675636" w:rsidRDefault="00675636" w:rsidP="00675636">
      <w:pPr>
        <w:pStyle w:val="a3"/>
        <w:numPr>
          <w:ilvl w:val="0"/>
          <w:numId w:val="8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after="202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Язык схем DTD (DTD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schema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language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</w:rPr>
        <w:t xml:space="preserve"> — искусственный язык, который используется для записи фактических синтаксических правил метаязыков разметки текста SGML и XML. С момента его внедрения другие языки схем для спецификаций, такие как XML </w:t>
      </w:r>
      <w:proofErr w:type="spellStart"/>
      <w:r>
        <w:rPr>
          <w:rFonts w:ascii="Arial" w:hAnsi="Arial" w:cs="Arial"/>
          <w:color w:val="000000"/>
        </w:rPr>
        <w:t>Schema</w:t>
      </w:r>
      <w:proofErr w:type="spellEnd"/>
      <w:r>
        <w:rPr>
          <w:rFonts w:ascii="Arial" w:hAnsi="Arial" w:cs="Arial"/>
          <w:color w:val="000000"/>
        </w:rPr>
        <w:t xml:space="preserve"> и RELAX NG, выпускаются с дополнительной функциональностью.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Объявление элементов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Объявления элементов образовывают перечень разрешенных названий элементов в документе, а также определяют информацию относительно тегов (являются ли они обязательными) и модели содержимого для каждого элемента.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Различные ключевые слова и символы определяют содержимое элемента: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EMPTY — пустое содержимое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ANY — любое содержимое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, — указывает порядок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| — разделение альтернатив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() — группировка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 — любое количество элементов (нуль и более)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+ — по крайней </w:t>
      </w:r>
      <w:proofErr w:type="gramStart"/>
      <w:r>
        <w:rPr>
          <w:rFonts w:ascii="Arial" w:hAnsi="Arial" w:cs="Arial"/>
          <w:color w:val="000000"/>
        </w:rPr>
        <w:t>мере</w:t>
      </w:r>
      <w:proofErr w:type="gramEnd"/>
      <w:r>
        <w:rPr>
          <w:rFonts w:ascii="Arial" w:hAnsi="Arial" w:cs="Arial"/>
          <w:color w:val="000000"/>
        </w:rPr>
        <w:t xml:space="preserve"> один элемент (один и более)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? — необязательное наличие элемента (ноль или один)</w:t>
      </w:r>
    </w:p>
    <w:p w:rsidR="00675636" w:rsidRDefault="00675636" w:rsidP="00675636">
      <w:pPr>
        <w:pStyle w:val="a3"/>
        <w:numPr>
          <w:ilvl w:val="0"/>
          <w:numId w:val="9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нет *, + или</w:t>
      </w:r>
      <w:proofErr w:type="gramStart"/>
      <w:r>
        <w:rPr>
          <w:rFonts w:ascii="Arial" w:hAnsi="Arial" w:cs="Arial"/>
          <w:color w:val="000000"/>
        </w:rPr>
        <w:t> ?</w:t>
      </w:r>
      <w:proofErr w:type="gramEnd"/>
      <w:r>
        <w:rPr>
          <w:rFonts w:ascii="Arial" w:hAnsi="Arial" w:cs="Arial"/>
          <w:color w:val="000000"/>
        </w:rPr>
        <w:t> — элемент должен быть только один</w:t>
      </w:r>
    </w:p>
    <w:p w:rsidR="00675636" w:rsidRDefault="00675636" w:rsidP="00675636">
      <w:pPr>
        <w:pStyle w:val="a3"/>
        <w:ind w:left="70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&lt;!ELEMENT HDD - - (250|500)+&gt;</w:t>
      </w:r>
    </w:p>
    <w:p w:rsidR="00675636" w:rsidRDefault="00675636" w:rsidP="0067563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Элемент HDD должен содержать один и более элементов 250 или 500 в произвольном порядке</w:t>
      </w:r>
    </w:p>
    <w:p w:rsidR="00675636" w:rsidRDefault="00675636" w:rsidP="00675636">
      <w:pPr>
        <w:pStyle w:val="4"/>
        <w:shd w:val="clear" w:color="auto" w:fill="F9F9F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Определение атрибутов</w:t>
      </w:r>
    </w:p>
    <w:p w:rsidR="00675636" w:rsidRDefault="00675636" w:rsidP="00675636">
      <w:pPr>
        <w:pStyle w:val="a3"/>
        <w:spacing w:before="101" w:beforeAutospacing="0" w:after="101" w:afterAutospacing="0"/>
        <w:ind w:firstLine="70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 каждым элементом DTD-документа можно сопоставить список атрибутов. Для этого используется директива !ATTLIST, </w:t>
      </w:r>
      <w:proofErr w:type="gramStart"/>
      <w:r>
        <w:rPr>
          <w:rFonts w:ascii="Arial" w:hAnsi="Arial" w:cs="Arial"/>
          <w:color w:val="000000"/>
        </w:rPr>
        <w:t>в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которой</w:t>
      </w:r>
      <w:proofErr w:type="gramEnd"/>
      <w:r>
        <w:rPr>
          <w:rFonts w:ascii="Arial" w:hAnsi="Arial" w:cs="Arial"/>
          <w:color w:val="000000"/>
        </w:rPr>
        <w:t xml:space="preserve"> указываются имя элемента, с которым может быть сопоставлен список атрибутов и параметры каждого атрибута: его имя, тип и свойства по умолчанию.</w:t>
      </w:r>
    </w:p>
    <w:p w:rsidR="00675636" w:rsidRP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Например</w:t>
      </w:r>
      <w:r w:rsidRPr="00675636">
        <w:rPr>
          <w:rFonts w:ascii="Arial" w:hAnsi="Arial" w:cs="Arial"/>
          <w:color w:val="000000"/>
          <w:lang w:val="en-US"/>
        </w:rPr>
        <w:t>: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&lt;!ATTLIST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Video model CDATA #REQUIRED&gt;</w:t>
      </w:r>
    </w:p>
    <w:p w:rsidR="00675636" w:rsidRDefault="00675636" w:rsidP="00675636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этом примере определен атрибут </w:t>
      </w:r>
      <w:proofErr w:type="spellStart"/>
      <w:r>
        <w:rPr>
          <w:rFonts w:ascii="Arial" w:hAnsi="Arial" w:cs="Arial"/>
          <w:color w:val="000000"/>
        </w:rPr>
        <w:t>Video</w:t>
      </w:r>
      <w:proofErr w:type="spellEnd"/>
      <w:r>
        <w:rPr>
          <w:rFonts w:ascii="Arial" w:hAnsi="Arial" w:cs="Arial"/>
          <w:color w:val="000000"/>
        </w:rPr>
        <w:t xml:space="preserve"> для элемента </w:t>
      </w:r>
      <w:proofErr w:type="spellStart"/>
      <w:r>
        <w:rPr>
          <w:rFonts w:ascii="Arial" w:hAnsi="Arial" w:cs="Arial"/>
          <w:color w:val="000000"/>
        </w:rPr>
        <w:t>model</w:t>
      </w:r>
      <w:proofErr w:type="spellEnd"/>
      <w:r>
        <w:rPr>
          <w:rFonts w:ascii="Arial" w:hAnsi="Arial" w:cs="Arial"/>
          <w:color w:val="000000"/>
        </w:rPr>
        <w:t>. Он является обязательным.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Существуют такие типы атрибутов: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CDATA (</w:t>
      </w:r>
      <w:proofErr w:type="spellStart"/>
      <w:r>
        <w:rPr>
          <w:rFonts w:ascii="Arial" w:hAnsi="Arial" w:cs="Arial"/>
          <w:color w:val="000000"/>
        </w:rPr>
        <w:t>Character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data</w:t>
      </w:r>
      <w:proofErr w:type="spellEnd"/>
      <w:r>
        <w:rPr>
          <w:rFonts w:ascii="Arial" w:hAnsi="Arial" w:cs="Arial"/>
          <w:color w:val="000000"/>
        </w:rPr>
        <w:t>) — значением атрибута могут быть любые символьные данные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 — значением атрибута должен быть уникальный идентификатор элемента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IDREF — значением элемента является ссылка на элемент </w:t>
      </w:r>
      <w:proofErr w:type="gramStart"/>
      <w:r>
        <w:rPr>
          <w:rFonts w:ascii="Arial" w:hAnsi="Arial" w:cs="Arial"/>
          <w:color w:val="000000"/>
        </w:rPr>
        <w:t>по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его</w:t>
      </w:r>
      <w:proofErr w:type="gramEnd"/>
      <w:r>
        <w:rPr>
          <w:rFonts w:ascii="Arial" w:hAnsi="Arial" w:cs="Arial"/>
          <w:color w:val="000000"/>
        </w:rPr>
        <w:t xml:space="preserve"> ID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IDREFS — </w:t>
      </w:r>
      <w:proofErr w:type="gramStart"/>
      <w:r>
        <w:rPr>
          <w:rFonts w:ascii="Arial" w:hAnsi="Arial" w:cs="Arial"/>
          <w:color w:val="000000"/>
        </w:rPr>
        <w:t>тоже</w:t>
      </w:r>
      <w:proofErr w:type="gramEnd"/>
      <w:r>
        <w:rPr>
          <w:rFonts w:ascii="Arial" w:hAnsi="Arial" w:cs="Arial"/>
          <w:color w:val="000000"/>
        </w:rPr>
        <w:t xml:space="preserve"> что и IDREF, но с возможностью ссылок не по одному идентификатору, а по нескольким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NMTOKEN — значением атрибута может быть последовательность символов, в чем-то схожая с именем (отсюда и названием —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token</w:t>
      </w:r>
      <w:proofErr w:type="spellEnd"/>
      <w:r>
        <w:rPr>
          <w:rFonts w:ascii="Arial" w:hAnsi="Arial" w:cs="Arial"/>
          <w:color w:val="000000"/>
        </w:rPr>
        <w:t>). Это строка, которая содержит любую комбинацию тех символов, которые разрешено использовать для имен XML.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NMTOKENS — значением атрибута является список значений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ENTITY — значение используется для ссылки на внешнюю сущность.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ENTITIES — позволяет задать список внешних сущностей, разделенных пробелами.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NOTATION — значением атрибута может быть одна из ранее определенных нотаций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NOTATIONS — позволяет задать список нотаций.</w:t>
      </w:r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Listings</w:t>
      </w:r>
      <w:proofErr w:type="spellEnd"/>
      <w:r>
        <w:rPr>
          <w:rFonts w:ascii="Arial" w:hAnsi="Arial" w:cs="Arial"/>
          <w:color w:val="000000"/>
        </w:rPr>
        <w:t xml:space="preserve"> и NOTATION-</w:t>
      </w:r>
      <w:proofErr w:type="spellStart"/>
      <w:r>
        <w:rPr>
          <w:rFonts w:ascii="Arial" w:hAnsi="Arial" w:cs="Arial"/>
          <w:color w:val="000000"/>
        </w:rPr>
        <w:t>listings</w:t>
      </w:r>
      <w:proofErr w:type="spellEnd"/>
    </w:p>
    <w:p w:rsidR="00675636" w:rsidRDefault="00675636" w:rsidP="00675636">
      <w:pPr>
        <w:pStyle w:val="a3"/>
        <w:numPr>
          <w:ilvl w:val="0"/>
          <w:numId w:val="10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ENUMERATION — задает список возможных альтернатив значений.</w:t>
      </w:r>
    </w:p>
    <w:p w:rsidR="00675636" w:rsidRDefault="00675636" w:rsidP="00675636">
      <w:pPr>
        <w:pStyle w:val="a3"/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Существуют такие свойства по умолчанию:</w:t>
      </w:r>
    </w:p>
    <w:p w:rsidR="00675636" w:rsidRDefault="00675636" w:rsidP="00675636">
      <w:pPr>
        <w:pStyle w:val="a3"/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IMPLIED — значение атрибута указывать не обязательно;</w:t>
      </w:r>
    </w:p>
    <w:p w:rsidR="00675636" w:rsidRDefault="00675636" w:rsidP="00675636">
      <w:pPr>
        <w:pStyle w:val="a3"/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REQUIRED — значение атрибута обязательно должно быть указано;</w:t>
      </w:r>
    </w:p>
    <w:p w:rsidR="00675636" w:rsidRDefault="00675636" w:rsidP="00675636">
      <w:pPr>
        <w:pStyle w:val="a3"/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FIXED — значение этого атрибута задано как константа в DTD и в документе не может быть изменено;</w:t>
      </w:r>
    </w:p>
    <w:p w:rsidR="00675636" w:rsidRDefault="00675636" w:rsidP="00675636">
      <w:pPr>
        <w:pStyle w:val="a3"/>
        <w:numPr>
          <w:ilvl w:val="0"/>
          <w:numId w:val="11"/>
        </w:numPr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pacing w:before="101" w:beforeAutospacing="0" w:after="101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некоторое конкретное значение, которое используется по умолчанию.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Пример</w:t>
      </w:r>
      <w:r w:rsidRPr="00675636">
        <w:rPr>
          <w:rFonts w:ascii="Arial" w:hAnsi="Arial" w:cs="Arial"/>
          <w:color w:val="000000"/>
          <w:lang w:val="en-US"/>
        </w:rPr>
        <w:t>: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&lt;?xml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encoding="koi8-r"?&gt;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log (event)+&gt;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event (</w:t>
      </w:r>
      <w:proofErr w:type="spellStart"/>
      <w:r w:rsidRPr="00675636">
        <w:rPr>
          <w:rFonts w:ascii="Arial" w:hAnsi="Arial" w:cs="Arial"/>
          <w:color w:val="000000"/>
          <w:lang w:val="en-US"/>
        </w:rPr>
        <w:t>ip-from,method,uri-to,result</w:t>
      </w:r>
      <w:proofErr w:type="spellEnd"/>
      <w:r w:rsidRPr="00675636">
        <w:rPr>
          <w:rFonts w:ascii="Arial" w:hAnsi="Arial" w:cs="Arial"/>
          <w:color w:val="000000"/>
          <w:lang w:val="en-US"/>
        </w:rPr>
        <w:t>)&gt;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method (#PCDATA)&gt;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lastRenderedPageBreak/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75636">
        <w:rPr>
          <w:rFonts w:ascii="Arial" w:hAnsi="Arial" w:cs="Arial"/>
          <w:color w:val="000000"/>
          <w:lang w:val="en-US"/>
        </w:rPr>
        <w:t>ip</w:t>
      </w:r>
      <w:proofErr w:type="spellEnd"/>
      <w:r w:rsidRPr="00675636">
        <w:rPr>
          <w:rFonts w:ascii="Arial" w:hAnsi="Arial" w:cs="Arial"/>
          <w:color w:val="000000"/>
          <w:lang w:val="en-US"/>
        </w:rPr>
        <w:t>-from (#PCDATA)&gt;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675636">
        <w:rPr>
          <w:rFonts w:ascii="Arial" w:hAnsi="Arial" w:cs="Arial"/>
          <w:color w:val="000000"/>
          <w:lang w:val="en-US"/>
        </w:rPr>
        <w:t>url</w:t>
      </w:r>
      <w:proofErr w:type="spellEnd"/>
      <w:r w:rsidRPr="00675636">
        <w:rPr>
          <w:rFonts w:ascii="Arial" w:hAnsi="Arial" w:cs="Arial"/>
          <w:color w:val="000000"/>
          <w:lang w:val="en-US"/>
        </w:rPr>
        <w:t>-to (#PCDATA)&gt;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&lt;!ELEMENT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response (#PCDATA)&gt;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&lt;!ATTLIST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event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result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CDATA #IMPLIED</w:t>
      </w:r>
    </w:p>
    <w:p w:rsidR="00675636" w:rsidRPr="00675636" w:rsidRDefault="00675636" w:rsidP="00675636">
      <w:pPr>
        <w:pStyle w:val="a3"/>
        <w:rPr>
          <w:rFonts w:ascii="Arial" w:hAnsi="Arial" w:cs="Arial"/>
          <w:color w:val="000000"/>
          <w:lang w:val="en-US"/>
        </w:rPr>
      </w:pPr>
      <w:proofErr w:type="gramStart"/>
      <w:r w:rsidRPr="00675636">
        <w:rPr>
          <w:rFonts w:ascii="Arial" w:hAnsi="Arial" w:cs="Arial"/>
          <w:color w:val="000000"/>
          <w:lang w:val="en-US"/>
        </w:rPr>
        <w:t>date</w:t>
      </w:r>
      <w:proofErr w:type="gramEnd"/>
      <w:r w:rsidRPr="00675636">
        <w:rPr>
          <w:rFonts w:ascii="Arial" w:hAnsi="Arial" w:cs="Arial"/>
          <w:color w:val="000000"/>
          <w:lang w:val="en-US"/>
        </w:rPr>
        <w:t xml:space="preserve"> CDATA #IMPLIED&gt;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 с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озда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нный</w:t>
      </w: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XML документ под названием Video.xml и убедились, что набор используемых при этом тэгов позволяет осуществлять любые манипуляции с нашей информацией. В таком случае, для того, чтобы утвердить правила нашего нового языка, т.е. список допустимых элементов, их возможное содержимое и атрибуты, мы должны создать DTD – определения.</w:t>
      </w:r>
    </w:p>
    <w:p w:rsidR="00675636" w:rsidRPr="00675636" w:rsidRDefault="00675636" w:rsidP="0067563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Создайте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dtd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файл на основе следующей таблицы под именем Video.dtd и включите в XML-документ новую строчку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&lt;!DOCTYPE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VIDEO SYSTEM "Video.dtd"&gt;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результате документ Video.dtd может выглядеть следующим образом: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version="1.0" encoding="UTF-8"?&gt;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&lt;!--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Enter you external DTD here --&gt;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Haracter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Video,Pamyat,Config,Razemi,Interface,Ohlazhdenie,Sovmestimost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)+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Osnovnie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proizvoditel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model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dlina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Video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Video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videopamyat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(256|512|1024)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RAMDAC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HDCP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API CDATA #REQUIRED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Pamyat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&lt;!ATTLIST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Pamyat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tip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(ddr2|ddr3|ddr5)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shina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(128|256|448)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Config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chip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chastota_chipa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kol-vo_processorov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Razemi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porti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 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Interface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upravlenie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da|net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#FIXED "net"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ohlazhdenie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activ|passiv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#REQUIRED&gt;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&lt;!ELEMENT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Sovmestimost</w:t>
      </w:r>
      <w:proofErr w:type="spell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(#PCDATA)&gt;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&lt;!ATTLIST</w:t>
      </w:r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Sovmestimost</w:t>
      </w:r>
      <w:proofErr w:type="spellEnd"/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pitanie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</w:t>
      </w:r>
    </w:p>
    <w:p w:rsidR="00675636" w:rsidRPr="00675636" w:rsidRDefault="00675636" w:rsidP="006756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os</w:t>
      </w:r>
      <w:proofErr w:type="spellEnd"/>
      <w:proofErr w:type="gramEnd"/>
      <w:r w:rsidRPr="0067563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CDATA #REQUIRED&gt;</w:t>
      </w:r>
    </w:p>
    <w:p w:rsidR="00675636" w:rsidRPr="00675636" w:rsidRDefault="00675636" w:rsidP="00675636">
      <w:pPr>
        <w:rPr>
          <w:rFonts w:ascii="Tahoma" w:hAnsi="Tahoma" w:cs="Tahoma"/>
          <w:color w:val="494949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sectPr w:rsidR="00675636" w:rsidRPr="00675636" w:rsidSect="00675636">
      <w:pgSz w:w="11906" w:h="16838"/>
      <w:pgMar w:top="426" w:right="424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439A"/>
    <w:multiLevelType w:val="multilevel"/>
    <w:tmpl w:val="67A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F5981"/>
    <w:multiLevelType w:val="multilevel"/>
    <w:tmpl w:val="F322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5679F"/>
    <w:multiLevelType w:val="multilevel"/>
    <w:tmpl w:val="395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63E15"/>
    <w:multiLevelType w:val="multilevel"/>
    <w:tmpl w:val="B53E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6339C"/>
    <w:multiLevelType w:val="multilevel"/>
    <w:tmpl w:val="44A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7A0CC1"/>
    <w:multiLevelType w:val="multilevel"/>
    <w:tmpl w:val="06D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771BE"/>
    <w:multiLevelType w:val="multilevel"/>
    <w:tmpl w:val="B984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E61C50"/>
    <w:multiLevelType w:val="multilevel"/>
    <w:tmpl w:val="BE24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420D6B"/>
    <w:multiLevelType w:val="multilevel"/>
    <w:tmpl w:val="EF08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6A346F"/>
    <w:multiLevelType w:val="multilevel"/>
    <w:tmpl w:val="9C9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972EA9"/>
    <w:multiLevelType w:val="multilevel"/>
    <w:tmpl w:val="9D84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F1"/>
    <w:rsid w:val="00012C94"/>
    <w:rsid w:val="004647F1"/>
    <w:rsid w:val="00675636"/>
    <w:rsid w:val="00845AD2"/>
    <w:rsid w:val="00956D77"/>
    <w:rsid w:val="00AF2E04"/>
    <w:rsid w:val="00B71D08"/>
    <w:rsid w:val="00E200C9"/>
    <w:rsid w:val="00F1304E"/>
    <w:rsid w:val="00F9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E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AF2E04"/>
  </w:style>
  <w:style w:type="character" w:customStyle="1" w:styleId="text">
    <w:name w:val="text"/>
    <w:basedOn w:val="a0"/>
    <w:rsid w:val="00AF2E04"/>
  </w:style>
  <w:style w:type="character" w:customStyle="1" w:styleId="40">
    <w:name w:val="Заголовок 4 Знак"/>
    <w:basedOn w:val="a0"/>
    <w:link w:val="4"/>
    <w:uiPriority w:val="9"/>
    <w:semiHidden/>
    <w:rsid w:val="00F9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F9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A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F93A84"/>
  </w:style>
  <w:style w:type="character" w:customStyle="1" w:styleId="texample">
    <w:name w:val="texample"/>
    <w:basedOn w:val="a0"/>
    <w:rsid w:val="00F93A84"/>
  </w:style>
  <w:style w:type="character" w:customStyle="1" w:styleId="30">
    <w:name w:val="Заголовок 3 Знак"/>
    <w:basedOn w:val="a0"/>
    <w:link w:val="3"/>
    <w:uiPriority w:val="9"/>
    <w:semiHidden/>
    <w:rsid w:val="00F9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67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6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2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E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AF2E04"/>
  </w:style>
  <w:style w:type="character" w:customStyle="1" w:styleId="text">
    <w:name w:val="text"/>
    <w:basedOn w:val="a0"/>
    <w:rsid w:val="00AF2E04"/>
  </w:style>
  <w:style w:type="character" w:customStyle="1" w:styleId="40">
    <w:name w:val="Заголовок 4 Знак"/>
    <w:basedOn w:val="a0"/>
    <w:link w:val="4"/>
    <w:uiPriority w:val="9"/>
    <w:semiHidden/>
    <w:rsid w:val="00F9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F9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93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A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F93A84"/>
  </w:style>
  <w:style w:type="character" w:customStyle="1" w:styleId="texample">
    <w:name w:val="texample"/>
    <w:basedOn w:val="a0"/>
    <w:rsid w:val="00F93A84"/>
  </w:style>
  <w:style w:type="character" w:customStyle="1" w:styleId="30">
    <w:name w:val="Заголовок 3 Знак"/>
    <w:basedOn w:val="a0"/>
    <w:link w:val="3"/>
    <w:uiPriority w:val="9"/>
    <w:semiHidden/>
    <w:rsid w:val="00F9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67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56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8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4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6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5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9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1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2018-10-21T17:52:00Z</dcterms:created>
  <dcterms:modified xsi:type="dcterms:W3CDTF">2018-10-24T20:37:00Z</dcterms:modified>
</cp:coreProperties>
</file>