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t xml:space="preserve">Glowtag FD-04 — Power-Ups</w:t>
      </w:r>
    </w:p>
    <w:p>
      <w:pPr>
        <w:spacing w:after="120" w:before="60"/>
      </w:pPr>
      <w:r>
        <w:t xml:space="preserve">Owns the item set, the crates, distribution, and the power-up UI.</w:t>
      </w:r>
    </w:p>
    <w:p>
      <w:pPr>
        <w:pStyle w:val="Heading1"/>
        <w:spacing w:after="120" w:before="280"/>
      </w:pPr>
      <w:r>
        <w:t xml:space="preserve">The design rule</w:t>
      </w:r>
    </w:p>
    <w:p>
      <w:pPr>
        <w:spacing w:after="120" w:before="60"/>
      </w:pPr>
      <w:r>
        <w:rPr>
          <w:b/>
          <w:bCs/>
        </w:rPr>
        <w:t xml:space="preserve">No power-up is aimed at a specific player.</w:t>
      </w:r>
      <w:r>
        <w:t xml:space="preserve"> Everything is self-affecting or environmental, and all catch-up pressure lives in </w:t>
      </w:r>
      <w:r>
        <w:rPr>
          <w:i/>
          <w:iCs/>
        </w:rPr>
        <w:t xml:space="preserve">what the crate rolls</w:t>
      </w:r>
      <w:r>
        <w:t xml:space="preserve">, which the recipient experiences as luck and the leader never experiences as an attack.</w:t>
      </w:r>
    </w:p>
    <w:p>
      <w:pPr>
        <w:spacing w:after="120" w:before="60"/>
      </w:pPr>
      <w:r>
        <w:t xml:space="preserve">This is why there is no targeted slow or EMP. An effect that takes agency from a chosen player is always attributed to the player who used it, and in a ninety-second round with six players everyone knows exactly who did it to them. Frustration here is not about the size of an effect — it is about whether it was aimed.</w:t>
      </w:r>
    </w:p>
    <w:p>
      <w:pPr>
        <w:spacing w:after="120" w:before="60"/>
      </w:pPr>
      <w:r>
        <w:rPr>
          <w:b/>
          <w:bCs/>
        </w:rPr>
        <w:t xml:space="preserve">Two hard constraints.</w:t>
      </w:r>
      <w:r>
        <w:t xml:space="preserve"> Nothing may stop, disable or steer another player's robot — the foundation's final clamp guarantees steering authority is never zero, and no Glowtag modifier may work against that. And nothing is named, modelled or presented as a weapon; everything is a tool, a system or an upgrade.</w:t>
      </w:r>
    </w:p>
    <w:p>
      <w:pPr>
        <w:spacing w:after="120" w:before="60"/>
      </w:pPr>
      <w:r>
        <w:rPr>
          <w:b/>
          <w:bCs/>
        </w:rPr>
        <w:t xml:space="preserve">One honest revision.</w:t>
      </w:r>
      <w:r>
        <w:t xml:space="preserve"> An earlier draft of this rule said "self-affecting only". With Oil Slick and Repulse Pulse in the set, that is no longer true and pretending otherwise would misdescribe the design. The surviving rule is the one that was always doing the work: </w:t>
      </w:r>
      <w:r>
        <w:rPr>
          <w:b/>
          <w:bCs/>
        </w:rPr>
        <w:t xml:space="preserve">not aimed, and never removes control.</w:t>
      </w:r>
      <w:r>
        <w:t xml:space="preserve"> Both items pass it — oil is a surface anyone can see and drive around, and a repulse is a shove that affects everyone nearby equally behind a visible charge-up.</w:t>
      </w:r>
    </w:p>
    <w:p>
      <w:pPr>
        <w:pStyle w:val="Heading1"/>
        <w:spacing w:after="120" w:before="280"/>
      </w:pPr>
      <w:r>
        <w:t xml:space="preserve">Crates</w:t>
      </w:r>
    </w:p>
    <w:p>
      <w:pPr>
        <w:spacing w:after="120" w:before="60"/>
      </w:pPr>
      <w:r>
        <w:t xml:space="preserve">Power-ups come from a </w:t>
      </w:r>
      <w:r>
        <w:rPr>
          <w:b/>
          <w:bCs/>
        </w:rPr>
        <w:t xml:space="preserve">generic item crate</w:t>
      </w:r>
      <w:r>
        <w:t xml:space="preserve">. The player does not know what is inside until they break it; the roll is revealed on pickup.</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2463"/>
        <w:gridCol w:w="6897"/>
      </w:tblGrid>
      <w:tr>
        <w:trPr>
          <w:tblHeader/>
        </w:trPr>
        <w:tc>
          <w:tcPr>
            <w:tcW w:type="dxa" w:w="2463"/>
            <w:shd w:fill="F2F5F8" w:color="auto" w:val="clear"/>
            <w:tcMar>
              <w:top w:type="dxa" w:w="60"/>
              <w:left w:type="dxa" w:w="90"/>
              <w:bottom w:type="dxa" w:w="60"/>
              <w:right w:type="dxa" w:w="90"/>
            </w:tcMar>
          </w:tcPr>
          <w:p>
            <w:pPr>
              <w:spacing w:after="20" w:before="20"/>
            </w:pPr>
            <w:r>
              <w:rPr>
                <w:b/>
                <w:bCs/>
                <w:sz w:val="19"/>
                <w:szCs w:val="19"/>
              </w:rPr>
              <w:t xml:space="preserve">Rule</w:t>
            </w:r>
          </w:p>
        </w:tc>
        <w:tc>
          <w:tcPr>
            <w:tcW w:type="dxa" w:w="6897"/>
            <w:shd w:fill="F2F5F8" w:color="auto" w:val="clear"/>
            <w:tcMar>
              <w:top w:type="dxa" w:w="60"/>
              <w:left w:type="dxa" w:w="90"/>
              <w:bottom w:type="dxa" w:w="60"/>
              <w:right w:type="dxa" w:w="90"/>
            </w:tcMar>
          </w:tcPr>
          <w:p>
            <w:pPr>
              <w:spacing w:after="20" w:before="20"/>
            </w:pPr>
            <w:r>
              <w:rPr>
                <w:b/>
                <w:bCs/>
                <w:sz w:val="19"/>
                <w:szCs w:val="19"/>
              </w:rPr>
              <w:t xml:space="preserve">Detail</w:t>
            </w:r>
          </w:p>
        </w:tc>
      </w:tr>
      <w:tr>
        <w:tc>
          <w:tcPr>
            <w:tcW w:type="dxa" w:w="2463"/>
            <w:tcMar>
              <w:top w:type="dxa" w:w="60"/>
              <w:left w:type="dxa" w:w="90"/>
              <w:bottom w:type="dxa" w:w="60"/>
              <w:right w:type="dxa" w:w="90"/>
            </w:tcMar>
          </w:tcPr>
          <w:p>
            <w:pPr>
              <w:spacing w:after="20" w:before="20"/>
            </w:pPr>
            <w:r>
              <w:rPr>
                <w:sz w:val="19"/>
                <w:szCs w:val="19"/>
              </w:rPr>
              <w:t xml:space="preserve">Appearance</w:t>
            </w:r>
          </w:p>
        </w:tc>
        <w:tc>
          <w:tcPr>
            <w:tcW w:type="dxa" w:w="6897"/>
            <w:tcMar>
              <w:top w:type="dxa" w:w="60"/>
              <w:left w:type="dxa" w:w="90"/>
              <w:bottom w:type="dxa" w:w="60"/>
              <w:right w:type="dxa" w:w="90"/>
            </w:tcMar>
          </w:tcPr>
          <w:p>
            <w:pPr>
              <w:spacing w:after="20" w:before="20"/>
            </w:pPr>
            <w:r>
              <w:rPr>
                <w:sz w:val="19"/>
                <w:szCs w:val="19"/>
              </w:rPr>
              <w:t xml:space="preserve">One crate model for every item. No per-item pad art, which is one asset instead of five for the 3D generalist</w:t>
            </w:r>
          </w:p>
        </w:tc>
      </w:tr>
      <w:tr>
        <w:tc>
          <w:tcPr>
            <w:tcW w:type="dxa" w:w="2463"/>
            <w:tcMar>
              <w:top w:type="dxa" w:w="60"/>
              <w:left w:type="dxa" w:w="90"/>
              <w:bottom w:type="dxa" w:w="60"/>
              <w:right w:type="dxa" w:w="90"/>
            </w:tcMar>
          </w:tcPr>
          <w:p>
            <w:pPr>
              <w:spacing w:after="20" w:before="20"/>
            </w:pPr>
            <w:r>
              <w:rPr>
                <w:sz w:val="19"/>
                <w:szCs w:val="19"/>
              </w:rPr>
              <w:t xml:space="preserve">Reveal</w:t>
            </w:r>
          </w:p>
        </w:tc>
        <w:tc>
          <w:tcPr>
            <w:tcW w:type="dxa" w:w="6897"/>
            <w:tcMar>
              <w:top w:type="dxa" w:w="60"/>
              <w:left w:type="dxa" w:w="90"/>
              <w:bottom w:type="dxa" w:w="60"/>
              <w:right w:type="dxa" w:w="90"/>
            </w:tcMar>
          </w:tcPr>
          <w:p>
            <w:pPr>
              <w:spacing w:after="20" w:before="20"/>
            </w:pPr>
            <w:r>
              <w:rPr>
                <w:sz w:val="19"/>
                <w:szCs w:val="19"/>
              </w:rPr>
              <w:t xml:space="preserve">On pickup, a brief roll-and-settle of about half a second in the slot, then the item is shown</w:t>
            </w:r>
          </w:p>
        </w:tc>
      </w:tr>
      <w:tr>
        <w:tc>
          <w:tcPr>
            <w:tcW w:type="dxa" w:w="2463"/>
            <w:tcMar>
              <w:top w:type="dxa" w:w="60"/>
              <w:left w:type="dxa" w:w="90"/>
              <w:bottom w:type="dxa" w:w="60"/>
              <w:right w:type="dxa" w:w="90"/>
            </w:tcMar>
          </w:tcPr>
          <w:p>
            <w:pPr>
              <w:spacing w:after="20" w:before="20"/>
            </w:pPr>
            <w:r>
              <w:rPr>
                <w:sz w:val="19"/>
                <w:szCs w:val="19"/>
              </w:rPr>
              <w:t xml:space="preserve">Consequence for weighting</w:t>
            </w:r>
          </w:p>
        </w:tc>
        <w:tc>
          <w:tcPr>
            <w:tcW w:type="dxa" w:w="6897"/>
            <w:tcMar>
              <w:top w:type="dxa" w:w="60"/>
              <w:left w:type="dxa" w:w="90"/>
              <w:bottom w:type="dxa" w:w="60"/>
              <w:right w:type="dxa" w:w="90"/>
            </w:tcMar>
          </w:tcPr>
          <w:p>
            <w:pPr>
              <w:spacing w:after="20" w:before="20"/>
            </w:pPr>
            <w:r>
              <w:rPr>
                <w:b/>
                <w:bCs/>
                <w:sz w:val="19"/>
                <w:szCs w:val="19"/>
              </w:rPr>
              <w:t xml:space="preserve">The roll is hidden by construction.</w:t>
            </w:r>
            <w:r>
              <w:rPr>
                <w:sz w:val="19"/>
                <w:szCs w:val="19"/>
              </w:rPr>
              <w:t xml:space="preserve"> The distribution bias below is invisible without any effort to hide it, because the player never had an expectation to violate</w:t>
            </w:r>
          </w:p>
        </w:tc>
      </w:tr>
      <w:tr>
        <w:tc>
          <w:tcPr>
            <w:tcW w:type="dxa" w:w="2463"/>
            <w:tcMar>
              <w:top w:type="dxa" w:w="60"/>
              <w:left w:type="dxa" w:w="90"/>
              <w:bottom w:type="dxa" w:w="60"/>
              <w:right w:type="dxa" w:w="90"/>
            </w:tcMar>
          </w:tcPr>
          <w:p>
            <w:pPr>
              <w:spacing w:after="20" w:before="20"/>
            </w:pPr>
            <w:r>
              <w:rPr>
                <w:sz w:val="19"/>
                <w:szCs w:val="19"/>
              </w:rPr>
              <w:t xml:space="preserve">Respawn</w:t>
            </w:r>
          </w:p>
        </w:tc>
        <w:tc>
          <w:tcPr>
            <w:tcW w:type="dxa" w:w="6897"/>
            <w:tcMar>
              <w:top w:type="dxa" w:w="60"/>
              <w:left w:type="dxa" w:w="90"/>
              <w:bottom w:type="dxa" w:w="60"/>
              <w:right w:type="dxa" w:w="90"/>
            </w:tcMar>
          </w:tcPr>
          <w:p>
            <w:pPr>
              <w:spacing w:after="20" w:before="20"/>
            </w:pPr>
            <w:r>
              <w:rPr>
                <w:sz w:val="19"/>
                <w:szCs w:val="19"/>
              </w:rPr>
              <w:t xml:space="preserve">Per-crate timer after collection</w:t>
            </w:r>
          </w:p>
        </w:tc>
      </w:tr>
      <w:tr>
        <w:tc>
          <w:tcPr>
            <w:tcW w:type="dxa" w:w="2463"/>
            <w:tcMar>
              <w:top w:type="dxa" w:w="60"/>
              <w:left w:type="dxa" w:w="90"/>
              <w:bottom w:type="dxa" w:w="60"/>
              <w:right w:type="dxa" w:w="90"/>
            </w:tcMar>
          </w:tcPr>
          <w:p>
            <w:pPr>
              <w:spacing w:after="20" w:before="20"/>
            </w:pPr>
            <w:r>
              <w:rPr>
                <w:sz w:val="19"/>
                <w:szCs w:val="19"/>
              </w:rPr>
              <w:t xml:space="preserve">Arm delay</w:t>
            </w:r>
          </w:p>
        </w:tc>
        <w:tc>
          <w:tcPr>
            <w:tcW w:type="dxa" w:w="6897"/>
            <w:tcMar>
              <w:top w:type="dxa" w:w="60"/>
              <w:left w:type="dxa" w:w="90"/>
              <w:bottom w:type="dxa" w:w="60"/>
              <w:right w:type="dxa" w:w="90"/>
            </w:tcMar>
          </w:tcPr>
          <w:p>
            <w:pPr>
              <w:spacing w:after="20" w:before="20"/>
            </w:pPr>
            <w:r>
              <w:rPr>
                <w:sz w:val="19"/>
                <w:szCs w:val="19"/>
              </w:rPr>
              <w:t xml:space="preserve">Inert for </w:t>
            </w:r>
            <w:r>
              <w:rPr>
                <w:rFonts w:ascii="Consolas" w:cs="Consolas" w:eastAsia="Consolas" w:hAnsi="Consolas"/>
                <w:sz w:val="17"/>
                <w:szCs w:val="17"/>
              </w:rPr>
              <w:t xml:space="preserve">crate_arm_delay</w:t>
            </w:r>
            <w:r>
              <w:rPr>
                <w:sz w:val="19"/>
                <w:szCs w:val="19"/>
              </w:rPr>
              <w:t xml:space="preserve"> after spawning, so one cannot materialise under a moving robot</w:t>
            </w:r>
          </w:p>
        </w:tc>
      </w:tr>
      <w:tr>
        <w:tc>
          <w:tcPr>
            <w:tcW w:type="dxa" w:w="2463"/>
            <w:tcMar>
              <w:top w:type="dxa" w:w="60"/>
              <w:left w:type="dxa" w:w="90"/>
              <w:bottom w:type="dxa" w:w="60"/>
              <w:right w:type="dxa" w:w="90"/>
            </w:tcMar>
          </w:tcPr>
          <w:p>
            <w:pPr>
              <w:spacing w:after="20" w:before="20"/>
            </w:pPr>
            <w:r>
              <w:rPr>
                <w:sz w:val="19"/>
                <w:szCs w:val="19"/>
              </w:rPr>
              <w:t xml:space="preserve">Authority</w:t>
            </w:r>
          </w:p>
        </w:tc>
        <w:tc>
          <w:tcPr>
            <w:tcW w:type="dxa" w:w="6897"/>
            <w:tcMar>
              <w:top w:type="dxa" w:w="60"/>
              <w:left w:type="dxa" w:w="90"/>
              <w:bottom w:type="dxa" w:w="60"/>
              <w:right w:type="dxa" w:w="90"/>
            </w:tcMar>
          </w:tcPr>
          <w:p>
            <w:pPr>
              <w:spacing w:after="20" w:before="20"/>
            </w:pPr>
            <w:r>
              <w:rPr>
                <w:sz w:val="19"/>
                <w:szCs w:val="19"/>
              </w:rPr>
              <w:t xml:space="preserve">Not props. Props are cosmetic and non-authoritative in the foundation; crates are gameplay objects and resolve on the authority</w:t>
            </w:r>
          </w:p>
        </w:tc>
      </w:tr>
    </w:tbl>
    <w:p>
      <w:pPr>
        <w:spacing w:after="160"/>
      </w:pPr>
    </w:p>
    <w:p>
      <w:pPr>
        <w:pStyle w:val="Heading1"/>
        <w:spacing w:after="120" w:before="280"/>
      </w:pPr>
      <w:r>
        <w:t xml:space="preserve">The set</w:t>
      </w:r>
    </w:p>
    <w:p>
      <w:pPr>
        <w:spacing w:after="120" w:before="60"/>
      </w:pPr>
      <w:r>
        <w:t xml:space="preserve">Five items.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936"/>
        <w:gridCol w:w="3854"/>
        <w:gridCol w:w="715"/>
        <w:gridCol w:w="3855"/>
      </w:tblGrid>
      <w:tr>
        <w:trPr>
          <w:tblHeader/>
        </w:trPr>
        <w:tc>
          <w:tcPr>
            <w:tcW w:type="dxa" w:w="936"/>
            <w:shd w:fill="F2F5F8" w:color="auto" w:val="clear"/>
            <w:tcMar>
              <w:top w:type="dxa" w:w="60"/>
              <w:left w:type="dxa" w:w="90"/>
              <w:bottom w:type="dxa" w:w="60"/>
              <w:right w:type="dxa" w:w="90"/>
            </w:tcMar>
          </w:tcPr>
          <w:p>
            <w:pPr>
              <w:spacing w:after="20" w:before="20"/>
            </w:pPr>
            <w:r>
              <w:rPr>
                <w:b/>
                <w:bCs/>
                <w:sz w:val="19"/>
                <w:szCs w:val="19"/>
              </w:rPr>
              <w:t xml:space="preserve">Item</w:t>
            </w:r>
          </w:p>
        </w:tc>
        <w:tc>
          <w:tcPr>
            <w:tcW w:type="dxa" w:w="3854"/>
            <w:shd w:fill="F2F5F8" w:color="auto" w:val="clear"/>
            <w:tcMar>
              <w:top w:type="dxa" w:w="60"/>
              <w:left w:type="dxa" w:w="90"/>
              <w:bottom w:type="dxa" w:w="60"/>
              <w:right w:type="dxa" w:w="90"/>
            </w:tcMar>
          </w:tcPr>
          <w:p>
            <w:pPr>
              <w:spacing w:after="20" w:before="20"/>
            </w:pPr>
            <w:r>
              <w:rPr>
                <w:b/>
                <w:bCs/>
                <w:sz w:val="19"/>
                <w:szCs w:val="19"/>
              </w:rPr>
              <w:t xml:space="preserve">Effect</w:t>
            </w:r>
          </w:p>
        </w:tc>
        <w:tc>
          <w:tcPr>
            <w:tcW w:type="dxa" w:w="715"/>
            <w:shd w:fill="F2F5F8" w:color="auto" w:val="clear"/>
            <w:tcMar>
              <w:top w:type="dxa" w:w="60"/>
              <w:left w:type="dxa" w:w="90"/>
              <w:bottom w:type="dxa" w:w="60"/>
              <w:right w:type="dxa" w:w="90"/>
            </w:tcMar>
          </w:tcPr>
          <w:p>
            <w:pPr>
              <w:spacing w:after="20" w:before="20"/>
            </w:pPr>
            <w:r>
              <w:rPr>
                <w:b/>
                <w:bCs/>
                <w:sz w:val="19"/>
                <w:szCs w:val="19"/>
              </w:rPr>
              <w:t xml:space="preserve">Role</w:t>
            </w:r>
          </w:p>
        </w:tc>
        <w:tc>
          <w:tcPr>
            <w:tcW w:type="dxa" w:w="3855"/>
            <w:shd w:fill="F2F5F8" w:color="auto" w:val="clear"/>
            <w:tcMar>
              <w:top w:type="dxa" w:w="60"/>
              <w:left w:type="dxa" w:w="90"/>
              <w:bottom w:type="dxa" w:w="60"/>
              <w:right w:type="dxa" w:w="90"/>
            </w:tcMar>
          </w:tcPr>
          <w:p>
            <w:pPr>
              <w:spacing w:after="20" w:before="20"/>
            </w:pPr>
            <w:r>
              <w:rPr>
                <w:b/>
                <w:bCs/>
                <w:sz w:val="19"/>
                <w:szCs w:val="19"/>
              </w:rPr>
              <w:t xml:space="preserve">Notes</w:t>
            </w:r>
          </w:p>
        </w:tc>
      </w:tr>
      <w:tr>
        <w:tc>
          <w:tcPr>
            <w:tcW w:type="dxa" w:w="936"/>
            <w:tcMar>
              <w:top w:type="dxa" w:w="60"/>
              <w:left w:type="dxa" w:w="90"/>
              <w:bottom w:type="dxa" w:w="60"/>
              <w:right w:type="dxa" w:w="90"/>
            </w:tcMar>
          </w:tcPr>
          <w:p>
            <w:pPr>
              <w:spacing w:after="20" w:before="20"/>
            </w:pPr>
            <w:r>
              <w:rPr>
                <w:b/>
                <w:bCs/>
                <w:sz w:val="19"/>
                <w:szCs w:val="19"/>
              </w:rPr>
              <w:t xml:space="preserve">Overdrive</w:t>
            </w:r>
          </w:p>
        </w:tc>
        <w:tc>
          <w:tcPr>
            <w:tcW w:type="dxa" w:w="3854"/>
            <w:tcMar>
              <w:top w:type="dxa" w:w="60"/>
              <w:left w:type="dxa" w:w="90"/>
              <w:bottom w:type="dxa" w:w="60"/>
              <w:right w:type="dxa" w:w="90"/>
            </w:tcMar>
          </w:tcPr>
          <w:p>
            <w:pPr>
              <w:spacing w:after="20" w:before="20"/>
            </w:pPr>
            <w:r>
              <w:rPr>
                <w:sz w:val="19"/>
                <w:szCs w:val="19"/>
              </w:rPr>
              <w:t xml:space="preserve">Fires a boost immediately for </w:t>
            </w:r>
            <w:r>
              <w:rPr>
                <w:rFonts w:ascii="Consolas" w:cs="Consolas" w:eastAsia="Consolas" w:hAnsi="Consolas"/>
                <w:sz w:val="17"/>
                <w:szCs w:val="17"/>
              </w:rPr>
              <w:t xml:space="preserve">overdrive_ticks</w:t>
            </w:r>
            <w:r>
              <w:rPr>
                <w:sz w:val="19"/>
                <w:szCs w:val="19"/>
              </w:rPr>
              <w:t xml:space="preserve">, on demand. Separate from the drift-charged boost — no drift, no window, no press timing</w:t>
            </w:r>
          </w:p>
        </w:tc>
        <w:tc>
          <w:tcPr>
            <w:tcW w:type="dxa" w:w="715"/>
            <w:tcMar>
              <w:top w:type="dxa" w:w="60"/>
              <w:left w:type="dxa" w:w="90"/>
              <w:bottom w:type="dxa" w:w="60"/>
              <w:right w:type="dxa" w:w="90"/>
            </w:tcMar>
          </w:tcPr>
          <w:p>
            <w:pPr>
              <w:spacing w:after="20" w:before="20"/>
            </w:pPr>
            <w:r>
              <w:rPr>
                <w:sz w:val="19"/>
                <w:szCs w:val="19"/>
              </w:rPr>
              <w:t xml:space="preserve">Universal</w:t>
            </w:r>
          </w:p>
        </w:tc>
        <w:tc>
          <w:tcPr>
            <w:tcW w:type="dxa" w:w="3855"/>
            <w:tcMar>
              <w:top w:type="dxa" w:w="60"/>
              <w:left w:type="dxa" w:w="90"/>
              <w:bottom w:type="dxa" w:w="60"/>
              <w:right w:type="dxa" w:w="90"/>
            </w:tcMar>
          </w:tcPr>
          <w:p>
            <w:pPr>
              <w:spacing w:after="20" w:before="20"/>
            </w:pPr>
            <w:r>
              <w:rPr>
                <w:sz w:val="19"/>
                <w:szCs w:val="19"/>
              </w:rPr>
              <w:t xml:space="preserve">Uses the foundation's boost, so it also carries </w:t>
            </w:r>
            <w:r>
              <w:rPr>
                <w:rFonts w:ascii="Consolas" w:cs="Consolas" w:eastAsia="Consolas" w:hAnsi="Consolas"/>
                <w:sz w:val="17"/>
                <w:szCs w:val="17"/>
              </w:rPr>
              <w:t xml:space="preserve">boost_bump_multiplier</w:t>
            </w:r>
            <w:r>
              <w:rPr>
                <w:sz w:val="19"/>
                <w:szCs w:val="19"/>
              </w:rPr>
              <w:t xml:space="preserve"> — Overdrive is a steal tool, not just a chase tool. Precedent exists: boost pads </w:t>
            </w:r>
            <w:r>
              <w:rPr>
                <w:i/>
                <w:iCs/>
                <w:sz w:val="19"/>
                <w:szCs w:val="19"/>
              </w:rPr>
              <w:t xml:space="preserve">"grant a fixed boost on contact, no window, no press"</w:t>
            </w:r>
          </w:p>
        </w:tc>
      </w:tr>
      <w:tr>
        <w:tc>
          <w:tcPr>
            <w:tcW w:type="dxa" w:w="936"/>
            <w:tcMar>
              <w:top w:type="dxa" w:w="60"/>
              <w:left w:type="dxa" w:w="90"/>
              <w:bottom w:type="dxa" w:w="60"/>
              <w:right w:type="dxa" w:w="90"/>
            </w:tcMar>
          </w:tcPr>
          <w:p>
            <w:pPr>
              <w:spacing w:after="20" w:before="20"/>
            </w:pPr>
            <w:r>
              <w:rPr>
                <w:b/>
                <w:bCs/>
                <w:sz w:val="19"/>
                <w:szCs w:val="19"/>
              </w:rPr>
              <w:t xml:space="preserve">Grapple Field</w:t>
            </w:r>
          </w:p>
        </w:tc>
        <w:tc>
          <w:tcPr>
            <w:tcW w:type="dxa" w:w="3854"/>
            <w:tcMar>
              <w:top w:type="dxa" w:w="60"/>
              <w:left w:type="dxa" w:w="90"/>
              <w:bottom w:type="dxa" w:w="60"/>
              <w:right w:type="dxa" w:w="90"/>
            </w:tcMar>
          </w:tcPr>
          <w:p>
            <w:pPr>
              <w:spacing w:after="20" w:before="20"/>
            </w:pPr>
            <w:r>
              <w:rPr>
                <w:sz w:val="19"/>
                <w:szCs w:val="19"/>
              </w:rPr>
              <w:t xml:space="preserve">For </w:t>
            </w:r>
            <w:r>
              <w:rPr>
                <w:rFonts w:ascii="Consolas" w:cs="Consolas" w:eastAsia="Consolas" w:hAnsi="Consolas"/>
                <w:sz w:val="17"/>
                <w:szCs w:val="17"/>
              </w:rPr>
              <w:t xml:space="preserve">grapple_ticks</w:t>
            </w:r>
            <w:r>
              <w:rPr>
                <w:sz w:val="19"/>
                <w:szCs w:val="19"/>
              </w:rPr>
              <w:t xml:space="preserve">, your steal reach extends slightly past your chassis, so a near-miss still takes the Crown</w:t>
            </w:r>
          </w:p>
        </w:tc>
        <w:tc>
          <w:tcPr>
            <w:tcW w:type="dxa" w:w="715"/>
            <w:tcMar>
              <w:top w:type="dxa" w:w="60"/>
              <w:left w:type="dxa" w:w="90"/>
              <w:bottom w:type="dxa" w:w="60"/>
              <w:right w:type="dxa" w:w="90"/>
            </w:tcMar>
          </w:tcPr>
          <w:p>
            <w:pPr>
              <w:spacing w:after="20" w:before="20"/>
            </w:pPr>
            <w:r>
              <w:rPr>
                <w:sz w:val="19"/>
                <w:szCs w:val="19"/>
              </w:rPr>
              <w:t xml:space="preserve">Chaser only</w:t>
            </w:r>
          </w:p>
        </w:tc>
        <w:tc>
          <w:tcPr>
            <w:tcW w:type="dxa" w:w="3855"/>
            <w:tcMar>
              <w:top w:type="dxa" w:w="60"/>
              <w:left w:type="dxa" w:w="90"/>
              <w:bottom w:type="dxa" w:w="60"/>
              <w:right w:type="dxa" w:w="90"/>
            </w:tcMar>
          </w:tcPr>
          <w:p>
            <w:pPr>
              <w:spacing w:after="20" w:before="20"/>
            </w:pPr>
            <w:r>
              <w:rPr>
                <w:sz w:val="19"/>
                <w:szCs w:val="19"/>
              </w:rPr>
              <w:t xml:space="preserve">Structurally self-balancing — does nothing if you already hold the Crown, so it only ever helps someone chasing. The best-behaved item in the set</w:t>
            </w:r>
          </w:p>
        </w:tc>
      </w:tr>
      <w:tr>
        <w:tc>
          <w:tcPr>
            <w:tcW w:type="dxa" w:w="936"/>
            <w:tcMar>
              <w:top w:type="dxa" w:w="60"/>
              <w:left w:type="dxa" w:w="90"/>
              <w:bottom w:type="dxa" w:w="60"/>
              <w:right w:type="dxa" w:w="90"/>
            </w:tcMar>
          </w:tcPr>
          <w:p>
            <w:pPr>
              <w:spacing w:after="20" w:before="20"/>
            </w:pPr>
            <w:r>
              <w:rPr>
                <w:b/>
                <w:bCs/>
                <w:sz w:val="19"/>
                <w:szCs w:val="19"/>
              </w:rPr>
              <w:t xml:space="preserve">Damper Field</w:t>
            </w:r>
          </w:p>
        </w:tc>
        <w:tc>
          <w:tcPr>
            <w:tcW w:type="dxa" w:w="3854"/>
            <w:tcMar>
              <w:top w:type="dxa" w:w="60"/>
              <w:left w:type="dxa" w:w="90"/>
              <w:bottom w:type="dxa" w:w="60"/>
              <w:right w:type="dxa" w:w="90"/>
            </w:tcMar>
          </w:tcPr>
          <w:p>
            <w:pPr>
              <w:spacing w:after="20" w:before="20"/>
            </w:pPr>
            <w:r>
              <w:rPr>
                <w:sz w:val="19"/>
                <w:szCs w:val="19"/>
              </w:rPr>
              <w:t xml:space="preserve">For </w:t>
            </w:r>
            <w:r>
              <w:rPr>
                <w:rFonts w:ascii="Consolas" w:cs="Consolas" w:eastAsia="Consolas" w:hAnsi="Consolas"/>
                <w:sz w:val="17"/>
                <w:szCs w:val="17"/>
              </w:rPr>
              <w:t xml:space="preserve">damper_ticks</w:t>
            </w:r>
            <w:r>
              <w:rPr>
                <w:sz w:val="19"/>
                <w:szCs w:val="19"/>
              </w:rPr>
              <w:t xml:space="preserve">, contacts push you normally but cannot take the Crown</w:t>
            </w:r>
          </w:p>
        </w:tc>
        <w:tc>
          <w:tcPr>
            <w:tcW w:type="dxa" w:w="715"/>
            <w:tcMar>
              <w:top w:type="dxa" w:w="60"/>
              <w:left w:type="dxa" w:w="90"/>
              <w:bottom w:type="dxa" w:w="60"/>
              <w:right w:type="dxa" w:w="90"/>
            </w:tcMar>
          </w:tcPr>
          <w:p>
            <w:pPr>
              <w:spacing w:after="20" w:before="20"/>
            </w:pPr>
            <w:r>
              <w:rPr>
                <w:sz w:val="19"/>
                <w:szCs w:val="19"/>
              </w:rPr>
              <w:t xml:space="preserve">Holder only</w:t>
            </w:r>
          </w:p>
        </w:tc>
        <w:tc>
          <w:tcPr>
            <w:tcW w:type="dxa" w:w="3855"/>
            <w:tcMar>
              <w:top w:type="dxa" w:w="60"/>
              <w:left w:type="dxa" w:w="90"/>
              <w:bottom w:type="dxa" w:w="60"/>
              <w:right w:type="dxa" w:w="90"/>
            </w:tcMar>
          </w:tcPr>
          <w:p>
            <w:pPr>
              <w:spacing w:after="20" w:before="20"/>
            </w:pPr>
            <w:r>
              <w:rPr>
                <w:sz w:val="19"/>
                <w:szCs w:val="19"/>
              </w:rPr>
              <w:t xml:space="preserve">Gives possession a defensible window, so a good holder is not simply swarmed. </w:t>
            </w:r>
            <w:r>
              <w:rPr>
                <w:b/>
                <w:bCs/>
                <w:sz w:val="19"/>
                <w:szCs w:val="19"/>
              </w:rPr>
              <w:t xml:space="preserve">Must show a visible ring to opponents</w:t>
            </w:r>
            <w:r>
              <w:rPr>
                <w:sz w:val="19"/>
                <w:szCs w:val="19"/>
              </w:rPr>
              <w:t xml:space="preserve"> — a defensive effect a chaser cannot see reads as cheating, and they will waste three hits learning it</w:t>
            </w:r>
          </w:p>
        </w:tc>
      </w:tr>
      <w:tr>
        <w:tc>
          <w:tcPr>
            <w:tcW w:type="dxa" w:w="936"/>
            <w:tcMar>
              <w:top w:type="dxa" w:w="60"/>
              <w:left w:type="dxa" w:w="90"/>
              <w:bottom w:type="dxa" w:w="60"/>
              <w:right w:type="dxa" w:w="90"/>
            </w:tcMar>
          </w:tcPr>
          <w:p>
            <w:pPr>
              <w:spacing w:after="20" w:before="20"/>
            </w:pPr>
            <w:r>
              <w:rPr>
                <w:b/>
                <w:bCs/>
                <w:sz w:val="19"/>
                <w:szCs w:val="19"/>
              </w:rPr>
              <w:t xml:space="preserve">Oil Slick</w:t>
            </w:r>
          </w:p>
        </w:tc>
        <w:tc>
          <w:tcPr>
            <w:tcW w:type="dxa" w:w="3854"/>
            <w:tcMar>
              <w:top w:type="dxa" w:w="60"/>
              <w:left w:type="dxa" w:w="90"/>
              <w:bottom w:type="dxa" w:w="60"/>
              <w:right w:type="dxa" w:w="90"/>
            </w:tcMar>
          </w:tcPr>
          <w:p>
            <w:pPr>
              <w:spacing w:after="20" w:before="20"/>
            </w:pPr>
            <w:r>
              <w:rPr>
                <w:sz w:val="19"/>
                <w:szCs w:val="19"/>
              </w:rPr>
              <w:t xml:space="preserve">Drops an Oil surface patch behind you</w:t>
            </w:r>
          </w:p>
        </w:tc>
        <w:tc>
          <w:tcPr>
            <w:tcW w:type="dxa" w:w="715"/>
            <w:tcMar>
              <w:top w:type="dxa" w:w="60"/>
              <w:left w:type="dxa" w:w="90"/>
              <w:bottom w:type="dxa" w:w="60"/>
              <w:right w:type="dxa" w:w="90"/>
            </w:tcMar>
          </w:tcPr>
          <w:p>
            <w:pPr>
              <w:spacing w:after="20" w:before="20"/>
            </w:pPr>
            <w:r>
              <w:rPr>
                <w:sz w:val="19"/>
                <w:szCs w:val="19"/>
              </w:rPr>
              <w:t xml:space="preserve">Environmental</w:t>
            </w:r>
          </w:p>
        </w:tc>
        <w:tc>
          <w:tcPr>
            <w:tcW w:type="dxa" w:w="3855"/>
            <w:tcMar>
              <w:top w:type="dxa" w:w="60"/>
              <w:left w:type="dxa" w:w="90"/>
              <w:bottom w:type="dxa" w:w="60"/>
              <w:right w:type="dxa" w:w="90"/>
            </w:tcMar>
          </w:tcPr>
          <w:p>
            <w:pPr>
              <w:spacing w:after="20" w:before="20"/>
            </w:pPr>
            <w:r>
              <w:rPr>
                <w:sz w:val="19"/>
                <w:szCs w:val="19"/>
              </w:rPr>
              <w:t xml:space="preserve">Costs almost nothing: the Oil surface already exists in Handling Profiles, tuned and annotated </w:t>
            </w:r>
            <w:r>
              <w:rPr>
                <w:i/>
                <w:iCs/>
                <w:sz w:val="19"/>
                <w:szCs w:val="19"/>
              </w:rPr>
              <w:t xml:space="preserve">"intended for a dropped power-up"</w:t>
            </w:r>
            <w:r>
              <w:rPr>
                <w:sz w:val="19"/>
                <w:szCs w:val="19"/>
              </w:rPr>
              <w:t xml:space="preserve">. Ice costs control, sand costs speed, and oil is deliberately the sharper, briefer version of ice</w:t>
            </w:r>
          </w:p>
        </w:tc>
      </w:tr>
      <w:tr>
        <w:tc>
          <w:tcPr>
            <w:tcW w:type="dxa" w:w="936"/>
            <w:tcMar>
              <w:top w:type="dxa" w:w="60"/>
              <w:left w:type="dxa" w:w="90"/>
              <w:bottom w:type="dxa" w:w="60"/>
              <w:right w:type="dxa" w:w="90"/>
            </w:tcMar>
          </w:tcPr>
          <w:p>
            <w:pPr>
              <w:spacing w:after="20" w:before="20"/>
            </w:pPr>
            <w:r>
              <w:rPr>
                <w:b/>
                <w:bCs/>
                <w:sz w:val="19"/>
                <w:szCs w:val="19"/>
              </w:rPr>
              <w:t xml:space="preserve">Repulse Pulse</w:t>
            </w:r>
          </w:p>
        </w:tc>
        <w:tc>
          <w:tcPr>
            <w:tcW w:type="dxa" w:w="3854"/>
            <w:tcMar>
              <w:top w:type="dxa" w:w="60"/>
              <w:left w:type="dxa" w:w="90"/>
              <w:bottom w:type="dxa" w:w="60"/>
              <w:right w:type="dxa" w:w="90"/>
            </w:tcMar>
          </w:tcPr>
          <w:p>
            <w:pPr>
              <w:spacing w:after="20" w:before="20"/>
            </w:pPr>
            <w:r>
              <w:rPr>
                <w:sz w:val="19"/>
                <w:szCs w:val="19"/>
              </w:rPr>
              <w:t xml:space="preserve">Short-range omnidirectional shove with a visible charge-up</w:t>
            </w:r>
          </w:p>
        </w:tc>
        <w:tc>
          <w:tcPr>
            <w:tcW w:type="dxa" w:w="715"/>
            <w:tcMar>
              <w:top w:type="dxa" w:w="60"/>
              <w:left w:type="dxa" w:w="90"/>
              <w:bottom w:type="dxa" w:w="60"/>
              <w:right w:type="dxa" w:w="90"/>
            </w:tcMar>
          </w:tcPr>
          <w:p>
            <w:pPr>
              <w:spacing w:after="20" w:before="20"/>
            </w:pPr>
            <w:r>
              <w:rPr>
                <w:sz w:val="19"/>
                <w:szCs w:val="19"/>
              </w:rPr>
              <w:t xml:space="preserve">Environmental</w:t>
            </w:r>
          </w:p>
        </w:tc>
        <w:tc>
          <w:tcPr>
            <w:tcW w:type="dxa" w:w="3855"/>
            <w:tcMar>
              <w:top w:type="dxa" w:w="60"/>
              <w:left w:type="dxa" w:w="90"/>
              <w:bottom w:type="dxa" w:w="60"/>
              <w:right w:type="dxa" w:w="90"/>
            </w:tcMar>
          </w:tcPr>
          <w:p>
            <w:pPr>
              <w:spacing w:after="20" w:before="20"/>
            </w:pPr>
            <w:r>
              <w:rPr>
                <w:b/>
                <w:bCs/>
                <w:sz w:val="19"/>
                <w:szCs w:val="19"/>
              </w:rPr>
              <w:t xml:space="preserve">Deliberately rare.</w:t>
            </w:r>
            <w:r>
              <w:rPr>
                <w:sz w:val="19"/>
                <w:szCs w:val="19"/>
              </w:rPr>
              <w:t xml:space="preserve"> Affects everyone nearby equally rather than being aimed, and telegraphs itself so opponents can react. Same fantasy as an EMP, none of the frustration</w:t>
            </w:r>
          </w:p>
        </w:tc>
      </w:tr>
    </w:tbl>
    <w:p>
      <w:pPr>
        <w:spacing w:after="160"/>
      </w:pPr>
    </w:p>
    <w:p>
      <w:pPr>
        <w:pStyle w:val="Heading2"/>
        <w:spacing w:after="120" w:before="280"/>
      </w:pPr>
      <w:r>
        <w:t xml:space="preserve">On Overdrive and the boost economy</w:t>
      </w:r>
    </w:p>
    <w:p>
      <w:pPr>
        <w:spacing w:after="120" w:before="60"/>
      </w:pPr>
      <w:r>
        <w:t xml:space="preserve">Overdrive fires a boost directly rather than granting reserve to convert. That keeps it usable at a moment of the player's choosing, which is the whole point of holding one item.</w:t>
      </w:r>
    </w:p>
    <w:p>
      <w:pPr>
        <w:spacing w:after="120" w:before="60"/>
      </w:pPr>
      <w:r>
        <w:t xml:space="preserve">Where it meets a drift-earned boost, the foundation's existing rule applies unchanged: two boosts on the same tick </w:t>
      </w:r>
      <w:r>
        <w:rPr>
          <w:i/>
          <w:iCs/>
        </w:rPr>
        <w:t xml:space="preserve">"resolve as one chain link taking the higher of the two multipliers, not two links and not additive."</w:t>
      </w:r>
      <w:r>
        <w:t xml:space="preserve"> So Overdrive can extend a chain but cannot be stacked onto one for double value.</w:t>
      </w:r>
    </w:p>
    <w:p>
      <w:pPr>
        <w:spacing w:after="120" w:before="60"/>
      </w:pPr>
      <w:r>
        <w:t xml:space="preserve">Provisional strength is </w:t>
      </w:r>
      <w:r>
        <w:rPr>
          <w:b/>
          <w:bCs/>
        </w:rPr>
        <w:t xml:space="preserve">stage 2 equivalent</w:t>
      </w:r>
      <w:r>
        <w:t xml:space="preserve"> — solid, but never better than a well-executed chain, so skill still tops out above the pickup.</w:t>
      </w:r>
    </w:p>
    <w:p>
      <w:pPr>
        <w:pStyle w:val="Heading1"/>
        <w:spacing w:after="120" w:before="280"/>
      </w:pPr>
      <w:r>
        <w:t xml:space="preserve">Phase-two pool</w:t>
      </w:r>
    </w:p>
    <w:p>
      <w:pPr>
        <w:spacing w:after="120" w:before="60"/>
      </w:pPr>
      <w:r>
        <w:t xml:space="preserve">Not shipping. Listed so any can be promoted after playtests.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212"/>
        <w:gridCol w:w="3434"/>
        <w:gridCol w:w="4714"/>
      </w:tblGrid>
      <w:tr>
        <w:trPr>
          <w:tblHeader/>
        </w:trPr>
        <w:tc>
          <w:tcPr>
            <w:tcW w:type="dxa" w:w="1212"/>
            <w:shd w:fill="F2F5F8" w:color="auto" w:val="clear"/>
            <w:tcMar>
              <w:top w:type="dxa" w:w="60"/>
              <w:left w:type="dxa" w:w="90"/>
              <w:bottom w:type="dxa" w:w="60"/>
              <w:right w:type="dxa" w:w="90"/>
            </w:tcMar>
          </w:tcPr>
          <w:p>
            <w:pPr>
              <w:spacing w:after="20" w:before="20"/>
            </w:pPr>
            <w:r>
              <w:rPr>
                <w:b/>
                <w:bCs/>
                <w:sz w:val="19"/>
                <w:szCs w:val="19"/>
              </w:rPr>
              <w:t xml:space="preserve">Item</w:t>
            </w:r>
          </w:p>
        </w:tc>
        <w:tc>
          <w:tcPr>
            <w:tcW w:type="dxa" w:w="3434"/>
            <w:shd w:fill="F2F5F8" w:color="auto" w:val="clear"/>
            <w:tcMar>
              <w:top w:type="dxa" w:w="60"/>
              <w:left w:type="dxa" w:w="90"/>
              <w:bottom w:type="dxa" w:w="60"/>
              <w:right w:type="dxa" w:w="90"/>
            </w:tcMar>
          </w:tcPr>
          <w:p>
            <w:pPr>
              <w:spacing w:after="20" w:before="20"/>
            </w:pPr>
            <w:r>
              <w:rPr>
                <w:b/>
                <w:bCs/>
                <w:sz w:val="19"/>
                <w:szCs w:val="19"/>
              </w:rPr>
              <w:t xml:space="preserve">Effect</w:t>
            </w:r>
          </w:p>
        </w:tc>
        <w:tc>
          <w:tcPr>
            <w:tcW w:type="dxa" w:w="4714"/>
            <w:shd w:fill="F2F5F8" w:color="auto" w:val="clear"/>
            <w:tcMar>
              <w:top w:type="dxa" w:w="60"/>
              <w:left w:type="dxa" w:w="90"/>
              <w:bottom w:type="dxa" w:w="60"/>
              <w:right w:type="dxa" w:w="90"/>
            </w:tcMar>
          </w:tcPr>
          <w:p>
            <w:pPr>
              <w:spacing w:after="20" w:before="20"/>
            </w:pPr>
            <w:r>
              <w:rPr>
                <w:b/>
                <w:bCs/>
                <w:sz w:val="19"/>
                <w:szCs w:val="19"/>
              </w:rPr>
              <w:t xml:space="preserve">Note</w:t>
            </w:r>
          </w:p>
        </w:tc>
      </w:tr>
      <w:tr>
        <w:tc>
          <w:tcPr>
            <w:tcW w:type="dxa" w:w="1212"/>
            <w:tcMar>
              <w:top w:type="dxa" w:w="60"/>
              <w:left w:type="dxa" w:w="90"/>
              <w:bottom w:type="dxa" w:w="60"/>
              <w:right w:type="dxa" w:w="90"/>
            </w:tcMar>
          </w:tcPr>
          <w:p>
            <w:pPr>
              <w:spacing w:after="20" w:before="20"/>
            </w:pPr>
            <w:r>
              <w:rPr>
                <w:b/>
                <w:bCs/>
                <w:sz w:val="19"/>
                <w:szCs w:val="19"/>
              </w:rPr>
              <w:t xml:space="preserve">Traction Boost</w:t>
            </w:r>
          </w:p>
        </w:tc>
        <w:tc>
          <w:tcPr>
            <w:tcW w:type="dxa" w:w="3434"/>
            <w:tcMar>
              <w:top w:type="dxa" w:w="60"/>
              <w:left w:type="dxa" w:w="90"/>
              <w:bottom w:type="dxa" w:w="60"/>
              <w:right w:type="dxa" w:w="90"/>
            </w:tcMar>
          </w:tcPr>
          <w:p>
            <w:pPr>
              <w:spacing w:after="20" w:before="20"/>
            </w:pPr>
            <w:r>
              <w:rPr>
                <w:sz w:val="19"/>
                <w:szCs w:val="19"/>
              </w:rPr>
              <w:t xml:space="preserve">Better grip and tighter turning briefly</w:t>
            </w:r>
          </w:p>
        </w:tc>
        <w:tc>
          <w:tcPr>
            <w:tcW w:type="dxa" w:w="4714"/>
            <w:tcMar>
              <w:top w:type="dxa" w:w="60"/>
              <w:left w:type="dxa" w:w="90"/>
              <w:bottom w:type="dxa" w:w="60"/>
              <w:right w:type="dxa" w:w="90"/>
            </w:tcMar>
          </w:tcPr>
          <w:p>
            <w:pPr>
              <w:spacing w:after="20" w:before="20"/>
            </w:pPr>
            <w:r>
              <w:rPr>
                <w:sz w:val="19"/>
                <w:szCs w:val="19"/>
              </w:rPr>
              <w:t xml:space="preserve">Now trivially cheap — a transient modifier on </w:t>
            </w:r>
            <w:r>
              <w:rPr>
                <w:rFonts w:ascii="Consolas" w:cs="Consolas" w:eastAsia="Consolas" w:hAnsi="Consolas"/>
                <w:sz w:val="17"/>
                <w:szCs w:val="17"/>
              </w:rPr>
              <w:t xml:space="preserve">lateral_grip</w:t>
            </w:r>
            <w:r>
              <w:rPr>
                <w:sz w:val="19"/>
                <w:szCs w:val="19"/>
              </w:rPr>
              <w:t xml:space="preserve"> and </w:t>
            </w:r>
            <w:r>
              <w:rPr>
                <w:rFonts w:ascii="Consolas" w:cs="Consolas" w:eastAsia="Consolas" w:hAnsi="Consolas"/>
                <w:sz w:val="17"/>
                <w:szCs w:val="17"/>
              </w:rPr>
              <w:t xml:space="preserve">steer_response</w:t>
            </w:r>
            <w:r>
              <w:rPr>
                <w:sz w:val="19"/>
                <w:szCs w:val="19"/>
              </w:rPr>
              <w:t xml:space="preserve">. The purest "help a weaker player" item, since cornering is what skill actually buys</w:t>
            </w:r>
          </w:p>
        </w:tc>
      </w:tr>
      <w:tr>
        <w:tc>
          <w:tcPr>
            <w:tcW w:type="dxa" w:w="1212"/>
            <w:tcMar>
              <w:top w:type="dxa" w:w="60"/>
              <w:left w:type="dxa" w:w="90"/>
              <w:bottom w:type="dxa" w:w="60"/>
              <w:right w:type="dxa" w:w="90"/>
            </w:tcMar>
          </w:tcPr>
          <w:p>
            <w:pPr>
              <w:spacing w:after="20" w:before="20"/>
            </w:pPr>
            <w:r>
              <w:rPr>
                <w:b/>
                <w:bCs/>
                <w:sz w:val="19"/>
                <w:szCs w:val="19"/>
              </w:rPr>
              <w:t xml:space="preserve">Route Scan</w:t>
            </w:r>
          </w:p>
        </w:tc>
        <w:tc>
          <w:tcPr>
            <w:tcW w:type="dxa" w:w="3434"/>
            <w:tcMar>
              <w:top w:type="dxa" w:w="60"/>
              <w:left w:type="dxa" w:w="90"/>
              <w:bottom w:type="dxa" w:w="60"/>
              <w:right w:type="dxa" w:w="90"/>
            </w:tcMar>
          </w:tcPr>
          <w:p>
            <w:pPr>
              <w:spacing w:after="20" w:before="20"/>
            </w:pPr>
            <w:r>
              <w:rPr>
                <w:sz w:val="19"/>
                <w:szCs w:val="19"/>
              </w:rPr>
              <w:t xml:space="preserve">Briefly highlights the intercept line to the holder</w:t>
            </w:r>
          </w:p>
        </w:tc>
        <w:tc>
          <w:tcPr>
            <w:tcW w:type="dxa" w:w="4714"/>
            <w:tcMar>
              <w:top w:type="dxa" w:w="60"/>
              <w:left w:type="dxa" w:w="90"/>
              <w:bottom w:type="dxa" w:w="60"/>
              <w:right w:type="dxa" w:w="90"/>
            </w:tcMar>
          </w:tcPr>
          <w:p>
            <w:pPr>
              <w:spacing w:after="20" w:before="20"/>
            </w:pPr>
            <w:r>
              <w:rPr>
                <w:sz w:val="19"/>
                <w:szCs w:val="19"/>
              </w:rPr>
              <w:t xml:space="preserve">Information rather than mechanics. Helps weaker players by teaching them where to go, which suits a platform whose reason for existing is teaching</w:t>
            </w:r>
          </w:p>
        </w:tc>
      </w:tr>
      <w:tr>
        <w:tc>
          <w:tcPr>
            <w:tcW w:type="dxa" w:w="1212"/>
            <w:tcMar>
              <w:top w:type="dxa" w:w="60"/>
              <w:left w:type="dxa" w:w="90"/>
              <w:bottom w:type="dxa" w:w="60"/>
              <w:right w:type="dxa" w:w="90"/>
            </w:tcMar>
          </w:tcPr>
          <w:p>
            <w:pPr>
              <w:spacing w:after="20" w:before="20"/>
            </w:pPr>
            <w:r>
              <w:rPr>
                <w:b/>
                <w:bCs/>
                <w:sz w:val="19"/>
                <w:szCs w:val="19"/>
              </w:rPr>
              <w:t xml:space="preserve">Data Surge</w:t>
            </w:r>
          </w:p>
        </w:tc>
        <w:tc>
          <w:tcPr>
            <w:tcW w:type="dxa" w:w="3434"/>
            <w:tcMar>
              <w:top w:type="dxa" w:w="60"/>
              <w:left w:type="dxa" w:w="90"/>
              <w:bottom w:type="dxa" w:w="60"/>
              <w:right w:type="dxa" w:w="90"/>
            </w:tcMar>
          </w:tcPr>
          <w:p>
            <w:pPr>
              <w:spacing w:after="20" w:before="20"/>
            </w:pPr>
            <w:r>
              <w:rPr>
                <w:sz w:val="19"/>
                <w:szCs w:val="19"/>
              </w:rPr>
              <w:t xml:space="preserve">Doubles score rate while holding, briefly</w:t>
            </w:r>
          </w:p>
        </w:tc>
        <w:tc>
          <w:tcPr>
            <w:tcW w:type="dxa" w:w="4714"/>
            <w:tcMar>
              <w:top w:type="dxa" w:w="60"/>
              <w:left w:type="dxa" w:w="90"/>
              <w:bottom w:type="dxa" w:w="60"/>
              <w:right w:type="dxa" w:w="90"/>
            </w:tcMar>
          </w:tcPr>
          <w:p>
            <w:pPr>
              <w:spacing w:after="20" w:before="20"/>
            </w:pPr>
            <w:r>
              <w:rPr>
                <w:sz w:val="19"/>
                <w:szCs w:val="19"/>
              </w:rPr>
              <w:t xml:space="preserve">Powerful and snowball-prone. Only viable once the distribution weighting is confirmed working</w:t>
            </w:r>
          </w:p>
        </w:tc>
      </w:tr>
    </w:tbl>
    <w:p>
      <w:pPr>
        <w:spacing w:after="160"/>
      </w:pPr>
    </w:p>
    <w:p>
      <w:pPr>
        <w:pStyle w:val="Heading1"/>
        <w:spacing w:after="120" w:before="280"/>
      </w:pPr>
      <w:r>
        <w:t xml:space="preserve">Distribution — where catch-up actually lives</w:t>
      </w:r>
    </w:p>
    <w:p>
      <w:pPr>
        <w:spacing w:after="120" w:before="60"/>
      </w:pPr>
      <w:r>
        <w:t xml:space="preserve">With the endgame multiplier cut in FD-01, </w:t>
      </w:r>
      <w:r>
        <w:rPr>
          <w:b/>
          <w:bCs/>
        </w:rPr>
        <w:t xml:space="preserve">this is the mode's only catch-up system.</w:t>
      </w:r>
    </w:p>
    <w:p>
      <w:pPr>
        <w:spacing w:after="200" w:before="160" w:line="240" w:lineRule="auto"/>
        <w:jc w:val="center"/>
      </w:pPr>
      <w:r>
        <w:drawing>
          <wp:inline distT="0" distB="0" distL="0" distR="0">
            <wp:extent cx="27527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52725" cy="6858000"/>
                    </a:xfrm>
                    <a:prstGeom prst="rect">
                      <a:avLst/>
                    </a:prstGeom>
                  </pic:spPr>
                </pic:pic>
              </a:graphicData>
            </a:graphic>
          </wp:inline>
        </w:drawing>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170"/>
        <w:gridCol w:w="4095"/>
        <w:gridCol w:w="4095"/>
      </w:tblGrid>
      <w:tr>
        <w:trPr>
          <w:tblHeader/>
        </w:trPr>
        <w:tc>
          <w:tcPr>
            <w:tcW w:type="dxa" w:w="1170"/>
            <w:shd w:fill="F2F5F8" w:color="auto" w:val="clear"/>
            <w:tcMar>
              <w:top w:type="dxa" w:w="60"/>
              <w:left w:type="dxa" w:w="90"/>
              <w:bottom w:type="dxa" w:w="60"/>
              <w:right w:type="dxa" w:w="90"/>
            </w:tcMar>
          </w:tcPr>
          <w:p>
            <w:pPr>
              <w:spacing w:after="20" w:before="20"/>
            </w:pPr>
            <w:r>
              <w:rPr>
                <w:b/>
                <w:bCs/>
                <w:sz w:val="19"/>
                <w:szCs w:val="19"/>
              </w:rPr>
              <w:t xml:space="preserve">Rule</w:t>
            </w:r>
          </w:p>
        </w:tc>
        <w:tc>
          <w:tcPr>
            <w:tcW w:type="dxa" w:w="4095"/>
            <w:shd w:fill="F2F5F8" w:color="auto" w:val="clear"/>
            <w:tcMar>
              <w:top w:type="dxa" w:w="60"/>
              <w:left w:type="dxa" w:w="90"/>
              <w:bottom w:type="dxa" w:w="60"/>
              <w:right w:type="dxa" w:w="90"/>
            </w:tcMar>
          </w:tcPr>
          <w:p>
            <w:pPr>
              <w:spacing w:after="20" w:before="20"/>
            </w:pPr>
            <w:r>
              <w:rPr>
                <w:b/>
                <w:bCs/>
                <w:sz w:val="19"/>
                <w:szCs w:val="19"/>
              </w:rPr>
              <w:t xml:space="preserve">Value</w:t>
            </w:r>
          </w:p>
        </w:tc>
        <w:tc>
          <w:tcPr>
            <w:tcW w:type="dxa" w:w="4095"/>
            <w:shd w:fill="F2F5F8" w:color="auto" w:val="clear"/>
            <w:tcMar>
              <w:top w:type="dxa" w:w="60"/>
              <w:left w:type="dxa" w:w="90"/>
              <w:bottom w:type="dxa" w:w="60"/>
              <w:right w:type="dxa" w:w="90"/>
            </w:tcMar>
          </w:tcPr>
          <w:p>
            <w:pPr>
              <w:spacing w:after="20" w:before="20"/>
            </w:pPr>
            <w:r>
              <w:rPr>
                <w:b/>
                <w:bCs/>
                <w:sz w:val="19"/>
                <w:szCs w:val="19"/>
              </w:rPr>
              <w:t xml:space="preserve">Why</w:t>
            </w:r>
          </w:p>
        </w:tc>
      </w:tr>
      <w:tr>
        <w:tc>
          <w:tcPr>
            <w:tcW w:type="dxa" w:w="1170"/>
            <w:tcMar>
              <w:top w:type="dxa" w:w="60"/>
              <w:left w:type="dxa" w:w="90"/>
              <w:bottom w:type="dxa" w:w="60"/>
              <w:right w:type="dxa" w:w="90"/>
            </w:tcMar>
          </w:tcPr>
          <w:p>
            <w:pPr>
              <w:spacing w:after="20" w:before="20"/>
            </w:pPr>
            <w:r>
              <w:rPr>
                <w:sz w:val="19"/>
                <w:szCs w:val="19"/>
              </w:rPr>
              <w:t xml:space="preserve">Carry limit</w:t>
            </w:r>
          </w:p>
        </w:tc>
        <w:tc>
          <w:tcPr>
            <w:tcW w:type="dxa" w:w="4095"/>
            <w:tcMar>
              <w:top w:type="dxa" w:w="60"/>
              <w:left w:type="dxa" w:w="90"/>
              <w:bottom w:type="dxa" w:w="60"/>
              <w:right w:type="dxa" w:w="90"/>
            </w:tcMar>
          </w:tcPr>
          <w:p>
            <w:pPr>
              <w:spacing w:after="20" w:before="20"/>
            </w:pPr>
            <w:r>
              <w:rPr>
                <w:sz w:val="19"/>
                <w:szCs w:val="19"/>
              </w:rPr>
              <w:t xml:space="preserve">Exactly one, no stockpiling</w:t>
            </w:r>
          </w:p>
        </w:tc>
        <w:tc>
          <w:tcPr>
            <w:tcW w:type="dxa" w:w="4095"/>
            <w:tcMar>
              <w:top w:type="dxa" w:w="60"/>
              <w:left w:type="dxa" w:w="90"/>
              <w:bottom w:type="dxa" w:w="60"/>
              <w:right w:type="dxa" w:w="90"/>
            </w:tcMar>
          </w:tcPr>
          <w:p>
            <w:pPr>
              <w:spacing w:after="20" w:before="20"/>
            </w:pPr>
            <w:r>
              <w:rPr>
                <w:sz w:val="19"/>
                <w:szCs w:val="19"/>
              </w:rPr>
              <w:t xml:space="preserve">Stockpiling creates a save-it-for-the-end meta and turns the last stretch into a burst of simultaneous effects nobody can parse</w:t>
            </w:r>
          </w:p>
        </w:tc>
      </w:tr>
      <w:tr>
        <w:tc>
          <w:tcPr>
            <w:tcW w:type="dxa" w:w="1170"/>
            <w:tcMar>
              <w:top w:type="dxa" w:w="60"/>
              <w:left w:type="dxa" w:w="90"/>
              <w:bottom w:type="dxa" w:w="60"/>
              <w:right w:type="dxa" w:w="90"/>
            </w:tcMar>
          </w:tcPr>
          <w:p>
            <w:pPr>
              <w:spacing w:after="20" w:before="20"/>
            </w:pPr>
            <w:r>
              <w:rPr>
                <w:sz w:val="19"/>
                <w:szCs w:val="19"/>
              </w:rPr>
              <w:t xml:space="preserve">Activation</w:t>
            </w:r>
          </w:p>
        </w:tc>
        <w:tc>
          <w:tcPr>
            <w:tcW w:type="dxa" w:w="4095"/>
            <w:tcMar>
              <w:top w:type="dxa" w:w="60"/>
              <w:left w:type="dxa" w:w="90"/>
              <w:bottom w:type="dxa" w:w="60"/>
              <w:right w:type="dxa" w:w="90"/>
            </w:tcMar>
          </w:tcPr>
          <w:p>
            <w:pPr>
              <w:spacing w:after="20" w:before="20"/>
            </w:pPr>
            <w:r>
              <w:rPr>
                <w:sz w:val="19"/>
                <w:szCs w:val="19"/>
              </w:rPr>
              <w:t xml:space="preserve">Manual, on a dedicated input</w:t>
            </w:r>
          </w:p>
        </w:tc>
        <w:tc>
          <w:tcPr>
            <w:tcW w:type="dxa" w:w="4095"/>
            <w:tcMar>
              <w:top w:type="dxa" w:w="60"/>
              <w:left w:type="dxa" w:w="90"/>
              <w:bottom w:type="dxa" w:w="60"/>
              <w:right w:type="dxa" w:w="90"/>
            </w:tcMar>
          </w:tcPr>
          <w:p>
            <w:pPr>
              <w:spacing w:after="20" w:before="20"/>
            </w:pPr>
            <w:r>
              <w:rPr>
                <w:sz w:val="19"/>
                <w:szCs w:val="19"/>
              </w:rPr>
              <w:t xml:space="preserve">Auto-activation removes the only decision the system offers</w:t>
            </w:r>
          </w:p>
        </w:tc>
      </w:tr>
      <w:tr>
        <w:tc>
          <w:tcPr>
            <w:tcW w:type="dxa" w:w="1170"/>
            <w:tcMar>
              <w:top w:type="dxa" w:w="60"/>
              <w:left w:type="dxa" w:w="90"/>
              <w:bottom w:type="dxa" w:w="60"/>
              <w:right w:type="dxa" w:w="90"/>
            </w:tcMar>
          </w:tcPr>
          <w:p>
            <w:pPr>
              <w:spacing w:after="20" w:before="20"/>
            </w:pPr>
            <w:r>
              <w:rPr>
                <w:sz w:val="19"/>
                <w:szCs w:val="19"/>
              </w:rPr>
              <w:t xml:space="preserve">Roll bias</w:t>
            </w:r>
          </w:p>
        </w:tc>
        <w:tc>
          <w:tcPr>
            <w:tcW w:type="dxa" w:w="4095"/>
            <w:tcMar>
              <w:top w:type="dxa" w:w="60"/>
              <w:left w:type="dxa" w:w="90"/>
              <w:bottom w:type="dxa" w:w="60"/>
              <w:right w:type="dxa" w:w="90"/>
            </w:tcMar>
          </w:tcPr>
          <w:p>
            <w:pPr>
              <w:spacing w:after="20" w:before="20"/>
            </w:pPr>
            <w:r>
              <w:rPr>
                <w:sz w:val="19"/>
                <w:szCs w:val="19"/>
              </w:rPr>
              <w:t xml:space="preserve">Trailing players roll from shifted weights</w:t>
            </w:r>
          </w:p>
        </w:tc>
        <w:tc>
          <w:tcPr>
            <w:tcW w:type="dxa" w:w="4095"/>
            <w:tcMar>
              <w:top w:type="dxa" w:w="60"/>
              <w:left w:type="dxa" w:w="90"/>
              <w:bottom w:type="dxa" w:w="60"/>
              <w:right w:type="dxa" w:w="90"/>
            </w:tcMar>
          </w:tcPr>
          <w:p>
            <w:pPr>
              <w:spacing w:after="20" w:before="20"/>
            </w:pPr>
            <w:r>
              <w:rPr>
                <w:b/>
                <w:bCs/>
                <w:sz w:val="19"/>
                <w:szCs w:val="19"/>
              </w:rPr>
              <w:t xml:space="preserve">Never announced, never shown.</w:t>
            </w:r>
            <w:r>
              <w:rPr>
                <w:sz w:val="19"/>
                <w:szCs w:val="19"/>
              </w:rPr>
              <w:t xml:space="preserve"> The crate makes this free — the player had no expectation of what they would get</w:t>
            </w:r>
          </w:p>
        </w:tc>
      </w:tr>
      <w:tr>
        <w:tc>
          <w:tcPr>
            <w:tcW w:type="dxa" w:w="1170"/>
            <w:tcMar>
              <w:top w:type="dxa" w:w="60"/>
              <w:left w:type="dxa" w:w="90"/>
              <w:bottom w:type="dxa" w:w="60"/>
              <w:right w:type="dxa" w:w="90"/>
            </w:tcMar>
          </w:tcPr>
          <w:p>
            <w:pPr>
              <w:spacing w:after="20" w:before="20"/>
            </w:pPr>
            <w:r>
              <w:rPr>
                <w:sz w:val="19"/>
                <w:szCs w:val="19"/>
              </w:rPr>
              <w:t xml:space="preserve">Repulse Pulse weight</w:t>
            </w:r>
          </w:p>
        </w:tc>
        <w:tc>
          <w:tcPr>
            <w:tcW w:type="dxa" w:w="4095"/>
            <w:tcMar>
              <w:top w:type="dxa" w:w="60"/>
              <w:left w:type="dxa" w:w="90"/>
              <w:bottom w:type="dxa" w:w="60"/>
              <w:right w:type="dxa" w:w="90"/>
            </w:tcMar>
          </w:tcPr>
          <w:p>
            <w:pPr>
              <w:spacing w:after="20" w:before="20"/>
            </w:pPr>
            <w:r>
              <w:rPr>
                <w:sz w:val="19"/>
                <w:szCs w:val="19"/>
              </w:rPr>
              <w:t xml:space="preserve">Low for everyone, and not raised by the trailing bias</w:t>
            </w:r>
          </w:p>
        </w:tc>
        <w:tc>
          <w:tcPr>
            <w:tcW w:type="dxa" w:w="4095"/>
            <w:tcMar>
              <w:top w:type="dxa" w:w="60"/>
              <w:left w:type="dxa" w:w="90"/>
              <w:bottom w:type="dxa" w:w="60"/>
              <w:right w:type="dxa" w:w="90"/>
            </w:tcMar>
          </w:tcPr>
          <w:p>
            <w:pPr>
              <w:spacing w:after="20" w:before="20"/>
            </w:pPr>
            <w:r>
              <w:rPr>
                <w:sz w:val="19"/>
                <w:szCs w:val="19"/>
              </w:rPr>
              <w:t xml:space="preserve">It is the most disruptive item in the set. Rare keeps it a moment rather than a nuisance</w:t>
            </w:r>
          </w:p>
        </w:tc>
      </w:tr>
      <w:tr>
        <w:tc>
          <w:tcPr>
            <w:tcW w:type="dxa" w:w="1170"/>
            <w:tcMar>
              <w:top w:type="dxa" w:w="60"/>
              <w:left w:type="dxa" w:w="90"/>
              <w:bottom w:type="dxa" w:w="60"/>
              <w:right w:type="dxa" w:w="90"/>
            </w:tcMar>
          </w:tcPr>
          <w:p>
            <w:pPr>
              <w:spacing w:after="20" w:before="20"/>
            </w:pPr>
            <w:r>
              <w:rPr>
                <w:sz w:val="19"/>
                <w:szCs w:val="19"/>
              </w:rPr>
              <w:t xml:space="preserve">Holder pool</w:t>
            </w:r>
          </w:p>
        </w:tc>
        <w:tc>
          <w:tcPr>
            <w:tcW w:type="dxa" w:w="4095"/>
            <w:tcMar>
              <w:top w:type="dxa" w:w="60"/>
              <w:left w:type="dxa" w:w="90"/>
              <w:bottom w:type="dxa" w:w="60"/>
              <w:right w:type="dxa" w:w="90"/>
            </w:tcMar>
          </w:tcPr>
          <w:p>
            <w:pPr>
              <w:spacing w:after="20" w:before="20"/>
            </w:pPr>
            <w:r>
              <w:rPr>
                <w:sz w:val="19"/>
                <w:szCs w:val="19"/>
              </w:rPr>
              <w:t xml:space="preserve">The holder cannot roll Grapple Field</w:t>
            </w:r>
          </w:p>
        </w:tc>
        <w:tc>
          <w:tcPr>
            <w:tcW w:type="dxa" w:w="4095"/>
            <w:tcMar>
              <w:top w:type="dxa" w:w="60"/>
              <w:left w:type="dxa" w:w="90"/>
              <w:bottom w:type="dxa" w:w="60"/>
              <w:right w:type="dxa" w:w="90"/>
            </w:tcMar>
          </w:tcPr>
          <w:p>
            <w:pPr>
              <w:spacing w:after="20" w:before="20"/>
            </w:pPr>
            <w:r>
              <w:rPr>
                <w:sz w:val="19"/>
                <w:szCs w:val="19"/>
              </w:rPr>
              <w:t xml:space="preserve">It would do nothing. Stated so a roll never produces a dead pickup</w:t>
            </w:r>
          </w:p>
        </w:tc>
      </w:tr>
      <w:tr>
        <w:tc>
          <w:tcPr>
            <w:tcW w:type="dxa" w:w="1170"/>
            <w:tcMar>
              <w:top w:type="dxa" w:w="60"/>
              <w:left w:type="dxa" w:w="90"/>
              <w:bottom w:type="dxa" w:w="60"/>
              <w:right w:type="dxa" w:w="90"/>
            </w:tcMar>
          </w:tcPr>
          <w:p>
            <w:pPr>
              <w:spacing w:after="20" w:before="20"/>
            </w:pPr>
            <w:r>
              <w:rPr>
                <w:sz w:val="19"/>
                <w:szCs w:val="19"/>
              </w:rPr>
              <w:t xml:space="preserve">Crate arm delay</w:t>
            </w:r>
          </w:p>
        </w:tc>
        <w:tc>
          <w:tcPr>
            <w:tcW w:type="dxa" w:w="4095"/>
            <w:tcMar>
              <w:top w:type="dxa" w:w="60"/>
              <w:left w:type="dxa" w:w="90"/>
              <w:bottom w:type="dxa" w:w="60"/>
              <w:right w:type="dxa" w:w="90"/>
            </w:tcMar>
          </w:tcPr>
          <w:p>
            <w:pPr>
              <w:spacing w:after="20" w:before="20"/>
            </w:pPr>
            <w:r>
              <w:rPr>
                <w:rFonts w:ascii="Consolas" w:cs="Consolas" w:eastAsia="Consolas" w:hAnsi="Consolas"/>
                <w:sz w:val="17"/>
                <w:szCs w:val="17"/>
              </w:rPr>
              <w:t xml:space="preserve">crate_arm_delay</w:t>
            </w:r>
            <w:r>
              <w:rPr>
                <w:sz w:val="19"/>
                <w:szCs w:val="19"/>
              </w:rPr>
              <w:t xml:space="preserve"> after spawn</w:t>
            </w:r>
          </w:p>
        </w:tc>
        <w:tc>
          <w:tcPr>
            <w:tcW w:type="dxa" w:w="4095"/>
            <w:tcMar>
              <w:top w:type="dxa" w:w="60"/>
              <w:left w:type="dxa" w:w="90"/>
              <w:bottom w:type="dxa" w:w="60"/>
              <w:right w:type="dxa" w:w="90"/>
            </w:tcMar>
          </w:tcPr>
          <w:p>
            <w:pPr>
              <w:spacing w:after="20" w:before="20"/>
            </w:pPr>
            <w:r>
              <w:rPr>
                <w:sz w:val="19"/>
                <w:szCs w:val="19"/>
              </w:rPr>
              <w:t xml:space="preserve">Stops a free instant pickup</w:t>
            </w:r>
          </w:p>
        </w:tc>
      </w:tr>
      <w:tr>
        <w:tc>
          <w:tcPr>
            <w:tcW w:type="dxa" w:w="1170"/>
            <w:tcMar>
              <w:top w:type="dxa" w:w="60"/>
              <w:left w:type="dxa" w:w="90"/>
              <w:bottom w:type="dxa" w:w="60"/>
              <w:right w:type="dxa" w:w="90"/>
            </w:tcMar>
          </w:tcPr>
          <w:p>
            <w:pPr>
              <w:spacing w:after="20" w:before="20"/>
            </w:pPr>
            <w:r>
              <w:rPr>
                <w:sz w:val="19"/>
                <w:szCs w:val="19"/>
              </w:rPr>
              <w:t xml:space="preserve">Simultaneous pickup</w:t>
            </w:r>
          </w:p>
        </w:tc>
        <w:tc>
          <w:tcPr>
            <w:tcW w:type="dxa" w:w="4095"/>
            <w:tcMar>
              <w:top w:type="dxa" w:w="60"/>
              <w:left w:type="dxa" w:w="90"/>
              <w:bottom w:type="dxa" w:w="60"/>
              <w:right w:type="dxa" w:w="90"/>
            </w:tcMar>
          </w:tcPr>
          <w:p>
            <w:pPr>
              <w:spacing w:after="20" w:before="20"/>
            </w:pPr>
            <w:r>
              <w:rPr>
                <w:sz w:val="19"/>
                <w:szCs w:val="19"/>
              </w:rPr>
              <w:t xml:space="preserve">First touch on the authority tick wins; the loser gets nothing and the crate enters its respawn timer</w:t>
            </w:r>
          </w:p>
        </w:tc>
        <w:tc>
          <w:tcPr>
            <w:tcW w:type="dxa" w:w="4095"/>
            <w:tcMar>
              <w:top w:type="dxa" w:w="60"/>
              <w:left w:type="dxa" w:w="90"/>
              <w:bottom w:type="dxa" w:w="60"/>
              <w:right w:type="dxa" w:w="90"/>
            </w:tcMar>
          </w:tcPr>
          <w:p>
            <w:pPr>
              <w:spacing w:after="20" w:before="20"/>
            </w:pPr>
            <w:r>
              <w:rPr>
                <w:sz w:val="19"/>
                <w:szCs w:val="19"/>
              </w:rPr>
              <w:t xml:space="preserve">Consistent with the foundation's contact tie-breaking</w:t>
            </w:r>
          </w:p>
        </w:tc>
      </w:tr>
      <w:tr>
        <w:tc>
          <w:tcPr>
            <w:tcW w:type="dxa" w:w="1170"/>
            <w:tcMar>
              <w:top w:type="dxa" w:w="60"/>
              <w:left w:type="dxa" w:w="90"/>
              <w:bottom w:type="dxa" w:w="60"/>
              <w:right w:type="dxa" w:w="90"/>
            </w:tcMar>
          </w:tcPr>
          <w:p>
            <w:pPr>
              <w:spacing w:after="20" w:before="20"/>
            </w:pPr>
            <w:r>
              <w:rPr>
                <w:sz w:val="19"/>
                <w:szCs w:val="19"/>
              </w:rPr>
              <w:t xml:space="preserve">Determinism</w:t>
            </w:r>
          </w:p>
        </w:tc>
        <w:tc>
          <w:tcPr>
            <w:tcW w:type="dxa" w:w="4095"/>
            <w:tcMar>
              <w:top w:type="dxa" w:w="60"/>
              <w:left w:type="dxa" w:w="90"/>
              <w:bottom w:type="dxa" w:w="60"/>
              <w:right w:type="dxa" w:w="90"/>
            </w:tcMar>
          </w:tcPr>
          <w:p>
            <w:pPr>
              <w:spacing w:after="20" w:before="20"/>
            </w:pPr>
            <w:r>
              <w:rPr>
                <w:sz w:val="19"/>
                <w:szCs w:val="19"/>
              </w:rPr>
              <w:t xml:space="preserve">Rolls are authority-side and replicated. </w:t>
            </w:r>
            <w:r>
              <w:rPr>
                <w:b/>
                <w:bCs/>
                <w:sz w:val="19"/>
                <w:szCs w:val="19"/>
              </w:rPr>
              <w:t xml:space="preserve">No unseeded randomness</w:t>
            </w:r>
            <w:r>
              <w:rPr>
                <w:sz w:val="19"/>
                <w:szCs w:val="19"/>
              </w:rPr>
              <w:t xml:space="preserve"> — a deterministic function of tick and </w:t>
            </w:r>
            <w:r>
              <w:rPr>
                <w:rFonts w:ascii="Consolas" w:cs="Consolas" w:eastAsia="Consolas" w:hAnsi="Consolas"/>
                <w:sz w:val="17"/>
                <w:szCs w:val="17"/>
              </w:rPr>
              <w:t xml:space="preserve">ParticipantRef</w:t>
            </w:r>
            <w:r>
              <w:rPr>
                <w:sz w:val="19"/>
                <w:szCs w:val="19"/>
              </w:rPr>
              <w:t xml:space="preserve">, per the foundation and FD-07</w:t>
            </w:r>
          </w:p>
        </w:tc>
        <w:tc>
          <w:tcPr>
            <w:tcW w:type="dxa" w:w="4095"/>
            <w:tcMar>
              <w:top w:type="dxa" w:w="60"/>
              <w:left w:type="dxa" w:w="90"/>
              <w:bottom w:type="dxa" w:w="60"/>
              <w:right w:type="dxa" w:w="90"/>
            </w:tcMar>
          </w:tcPr>
          <w:p>
            <w:pPr>
              <w:spacing w:after="20" w:before="20"/>
            </w:pPr>
            <w:r>
              <w:rPr>
                <w:sz w:val="19"/>
                <w:szCs w:val="19"/>
              </w:rPr>
              <w:t xml:space="preserve">Required, not optional</w:t>
            </w:r>
          </w:p>
        </w:tc>
      </w:tr>
    </w:tbl>
    <w:p>
      <w:pPr>
        <w:spacing w:after="160"/>
      </w:pPr>
    </w:p>
    <w:p>
      <w:pPr>
        <w:pStyle w:val="Heading1"/>
        <w:spacing w:after="120" w:before="280"/>
      </w:pPr>
      <w:r>
        <w:t xml:space="preserve">The sixth input</w:t>
      </w:r>
    </w:p>
    <w:p>
      <w:pPr>
        <w:spacing w:after="120" w:before="60"/>
      </w:pPr>
      <w:r>
        <w:t xml:space="preserve">Manual activation needs a control the foundation does not have. Input &amp; Camera v0.3 states there are five inputs and that </w:t>
      </w:r>
      <w:r>
        <w:rPr>
          <w:i/>
          <w:iCs/>
        </w:rPr>
        <w:t xml:space="preserve">"a sixth input is a foundation-level change, not a per-game one."</w:t>
      </w:r>
    </w:p>
    <w:p>
      <w:pPr>
        <w:spacing w:after="120" w:before="60"/>
      </w:pPr>
      <w:r>
        <w:rPr>
          <w:b/>
          <w:bCs/>
        </w:rPr>
        <w:t xml:space="preserve">Design's position: add it.</w:t>
      </w:r>
      <w:r>
        <w:t xml:space="preserve"> The foundation exists to make future games faster to build, not to fix the input vocabulary permanently, and a power-up button is a normal thing for a mini-game to want. Concretely this means one more bit in </w:t>
      </w:r>
      <w:r>
        <w:rPr>
          <w:rFonts w:ascii="Consolas" w:cs="Consolas" w:eastAsia="Consolas" w:hAnsi="Consolas"/>
          <w:sz w:val="19"/>
          <w:szCs w:val="19"/>
        </w:rPr>
        <w:t xml:space="preserve">NetworkInput</w:t>
      </w:r>
      <w:r>
        <w:t xml:space="preserve">'s button bitfield and one binding per control scheme.</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2773"/>
        <w:gridCol w:w="6587"/>
      </w:tblGrid>
      <w:tr>
        <w:trPr>
          <w:tblHeader/>
        </w:trPr>
        <w:tc>
          <w:tcPr>
            <w:tcW w:type="dxa" w:w="2773"/>
            <w:shd w:fill="F2F5F8" w:color="auto" w:val="clear"/>
            <w:tcMar>
              <w:top w:type="dxa" w:w="60"/>
              <w:left w:type="dxa" w:w="90"/>
              <w:bottom w:type="dxa" w:w="60"/>
              <w:right w:type="dxa" w:w="90"/>
            </w:tcMar>
          </w:tcPr>
          <w:p>
            <w:pPr>
              <w:spacing w:after="20" w:before="20"/>
            </w:pPr>
            <w:r>
              <w:rPr>
                <w:b/>
                <w:bCs/>
                <w:sz w:val="19"/>
                <w:szCs w:val="19"/>
              </w:rPr>
              <w:t xml:space="preserve">Scheme</w:t>
            </w:r>
          </w:p>
        </w:tc>
        <w:tc>
          <w:tcPr>
            <w:tcW w:type="dxa" w:w="6587"/>
            <w:shd w:fill="F2F5F8" w:color="auto" w:val="clear"/>
            <w:tcMar>
              <w:top w:type="dxa" w:w="60"/>
              <w:left w:type="dxa" w:w="90"/>
              <w:bottom w:type="dxa" w:w="60"/>
              <w:right w:type="dxa" w:w="90"/>
            </w:tcMar>
          </w:tcPr>
          <w:p>
            <w:pPr>
              <w:spacing w:after="20" w:before="20"/>
            </w:pPr>
            <w:r>
              <w:rPr>
                <w:b/>
                <w:bCs/>
                <w:sz w:val="19"/>
                <w:szCs w:val="19"/>
              </w:rPr>
              <w:t xml:space="preserve">Provisional binding</w:t>
            </w:r>
          </w:p>
        </w:tc>
      </w:tr>
      <w:tr>
        <w:tc>
          <w:tcPr>
            <w:tcW w:type="dxa" w:w="2773"/>
            <w:tcMar>
              <w:top w:type="dxa" w:w="60"/>
              <w:left w:type="dxa" w:w="90"/>
              <w:bottom w:type="dxa" w:w="60"/>
              <w:right w:type="dxa" w:w="90"/>
            </w:tcMar>
          </w:tcPr>
          <w:p>
            <w:pPr>
              <w:spacing w:after="20" w:before="20"/>
            </w:pPr>
            <w:r>
              <w:rPr>
                <w:sz w:val="19"/>
                <w:szCs w:val="19"/>
              </w:rPr>
              <w:t xml:space="preserve">Keyboard</w:t>
            </w:r>
          </w:p>
        </w:tc>
        <w:tc>
          <w:tcPr>
            <w:tcW w:type="dxa" w:w="6587"/>
            <w:tcMar>
              <w:top w:type="dxa" w:w="60"/>
              <w:left w:type="dxa" w:w="90"/>
              <w:bottom w:type="dxa" w:w="60"/>
              <w:right w:type="dxa" w:w="90"/>
            </w:tcMar>
          </w:tcPr>
          <w:p>
            <w:pPr>
              <w:spacing w:after="20" w:before="20"/>
            </w:pPr>
            <w:r>
              <w:rPr>
                <w:sz w:val="19"/>
                <w:szCs w:val="19"/>
              </w:rPr>
              <w:t xml:space="preserve">Left Ctrl or E</w:t>
            </w:r>
          </w:p>
        </w:tc>
      </w:tr>
      <w:tr>
        <w:tc>
          <w:tcPr>
            <w:tcW w:type="dxa" w:w="2773"/>
            <w:tcMar>
              <w:top w:type="dxa" w:w="60"/>
              <w:left w:type="dxa" w:w="90"/>
              <w:bottom w:type="dxa" w:w="60"/>
              <w:right w:type="dxa" w:w="90"/>
            </w:tcMar>
          </w:tcPr>
          <w:p>
            <w:pPr>
              <w:spacing w:after="20" w:before="20"/>
            </w:pPr>
            <w:r>
              <w:rPr>
                <w:sz w:val="19"/>
                <w:szCs w:val="19"/>
              </w:rPr>
              <w:t xml:space="preserve">Gamepad</w:t>
            </w:r>
          </w:p>
        </w:tc>
        <w:tc>
          <w:tcPr>
            <w:tcW w:type="dxa" w:w="6587"/>
            <w:tcMar>
              <w:top w:type="dxa" w:w="60"/>
              <w:left w:type="dxa" w:w="90"/>
              <w:bottom w:type="dxa" w:w="60"/>
              <w:right w:type="dxa" w:w="90"/>
            </w:tcMar>
          </w:tcPr>
          <w:p>
            <w:pPr>
              <w:spacing w:after="20" w:before="20"/>
            </w:pPr>
            <w:r>
              <w:rPr>
                <w:sz w:val="19"/>
                <w:szCs w:val="19"/>
              </w:rPr>
              <w:t xml:space="preserve">Left shoulder</w:t>
            </w:r>
          </w:p>
        </w:tc>
      </w:tr>
    </w:tbl>
    <w:p>
      <w:pPr>
        <w:spacing w:after="160"/>
      </w:pPr>
    </w:p>
    <w:p>
      <w:pPr>
        <w:spacing w:after="120" w:before="60"/>
      </w:pPr>
      <w:r>
        <w:t xml:space="preserve">Needs the foundation team's sign-off, since it touches the replicated input struct.</w:t>
      </w:r>
    </w:p>
    <w:p>
      <w:pPr>
        <w:pStyle w:val="Heading1"/>
        <w:spacing w:after="120" w:before="280"/>
      </w:pPr>
      <w:r>
        <w:t xml:space="preserve">UI</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855"/>
        <w:gridCol w:w="1602"/>
        <w:gridCol w:w="5903"/>
      </w:tblGrid>
      <w:tr>
        <w:trPr>
          <w:tblHeader/>
        </w:trPr>
        <w:tc>
          <w:tcPr>
            <w:tcW w:type="dxa" w:w="1855"/>
            <w:shd w:fill="F2F5F8" w:color="auto" w:val="clear"/>
            <w:tcMar>
              <w:top w:type="dxa" w:w="60"/>
              <w:left w:type="dxa" w:w="90"/>
              <w:bottom w:type="dxa" w:w="60"/>
              <w:right w:type="dxa" w:w="90"/>
            </w:tcMar>
          </w:tcPr>
          <w:p>
            <w:pPr>
              <w:spacing w:after="20" w:before="20"/>
            </w:pPr>
            <w:r>
              <w:rPr>
                <w:b/>
                <w:bCs/>
                <w:sz w:val="19"/>
                <w:szCs w:val="19"/>
              </w:rPr>
              <w:t xml:space="preserve">Element</w:t>
            </w:r>
          </w:p>
        </w:tc>
        <w:tc>
          <w:tcPr>
            <w:tcW w:type="dxa" w:w="1602"/>
            <w:shd w:fill="F2F5F8" w:color="auto" w:val="clear"/>
            <w:tcMar>
              <w:top w:type="dxa" w:w="60"/>
              <w:left w:type="dxa" w:w="90"/>
              <w:bottom w:type="dxa" w:w="60"/>
              <w:right w:type="dxa" w:w="90"/>
            </w:tcMar>
          </w:tcPr>
          <w:p>
            <w:pPr>
              <w:spacing w:after="20" w:before="20"/>
            </w:pPr>
            <w:r>
              <w:rPr>
                <w:b/>
                <w:bCs/>
                <w:sz w:val="19"/>
                <w:szCs w:val="19"/>
              </w:rPr>
              <w:t xml:space="preserve">Anchor</w:t>
            </w:r>
          </w:p>
        </w:tc>
        <w:tc>
          <w:tcPr>
            <w:tcW w:type="dxa" w:w="5903"/>
            <w:shd w:fill="F2F5F8" w:color="auto" w:val="clear"/>
            <w:tcMar>
              <w:top w:type="dxa" w:w="60"/>
              <w:left w:type="dxa" w:w="90"/>
              <w:bottom w:type="dxa" w:w="60"/>
              <w:right w:type="dxa" w:w="90"/>
            </w:tcMar>
          </w:tcPr>
          <w:p>
            <w:pPr>
              <w:spacing w:after="20" w:before="20"/>
            </w:pPr>
            <w:r>
              <w:rPr>
                <w:b/>
                <w:bCs/>
                <w:sz w:val="19"/>
                <w:szCs w:val="19"/>
              </w:rPr>
              <w:t xml:space="preserve">Behaviour</w:t>
            </w:r>
          </w:p>
        </w:tc>
      </w:tr>
      <w:tr>
        <w:tc>
          <w:tcPr>
            <w:tcW w:type="dxa" w:w="1855"/>
            <w:tcMar>
              <w:top w:type="dxa" w:w="60"/>
              <w:left w:type="dxa" w:w="90"/>
              <w:bottom w:type="dxa" w:w="60"/>
              <w:right w:type="dxa" w:w="90"/>
            </w:tcMar>
          </w:tcPr>
          <w:p>
            <w:pPr>
              <w:spacing w:after="20" w:before="20"/>
            </w:pPr>
            <w:r>
              <w:rPr>
                <w:b/>
                <w:bCs/>
                <w:sz w:val="19"/>
                <w:szCs w:val="19"/>
              </w:rPr>
              <w:t xml:space="preserve">Power-up slot</w:t>
            </w:r>
          </w:p>
        </w:tc>
        <w:tc>
          <w:tcPr>
            <w:tcW w:type="dxa" w:w="1602"/>
            <w:tcMar>
              <w:top w:type="dxa" w:w="60"/>
              <w:left w:type="dxa" w:w="90"/>
              <w:bottom w:type="dxa" w:w="60"/>
              <w:right w:type="dxa" w:w="90"/>
            </w:tcMar>
          </w:tcPr>
          <w:p>
            <w:pPr>
              <w:spacing w:after="20" w:before="20"/>
            </w:pPr>
            <w:r>
              <w:rPr>
                <w:sz w:val="19"/>
                <w:szCs w:val="19"/>
              </w:rPr>
              <w:t xml:space="preserve">Bottom centre</w:t>
            </w:r>
          </w:p>
        </w:tc>
        <w:tc>
          <w:tcPr>
            <w:tcW w:type="dxa" w:w="5903"/>
            <w:tcMar>
              <w:top w:type="dxa" w:w="60"/>
              <w:left w:type="dxa" w:w="90"/>
              <w:bottom w:type="dxa" w:w="60"/>
              <w:right w:type="dxa" w:w="90"/>
            </w:tcMar>
          </w:tcPr>
          <w:p>
            <w:pPr>
              <w:spacing w:after="20" w:before="20"/>
            </w:pPr>
            <w:r>
              <w:rPr>
                <w:sz w:val="19"/>
                <w:szCs w:val="19"/>
              </w:rPr>
              <w:t xml:space="preserve">Icon and key prompt. </w:t>
            </w:r>
            <w:r>
              <w:rPr>
                <w:b/>
                <w:bCs/>
                <w:sz w:val="19"/>
                <w:szCs w:val="19"/>
              </w:rPr>
              <w:t xml:space="preserve">The empty slot stays visible</w:t>
            </w:r>
            <w:r>
              <w:rPr>
                <w:sz w:val="19"/>
                <w:szCs w:val="19"/>
              </w:rPr>
              <w:t xml:space="preserve">, so players learn the slot exists before they ever fill one. Bottom centre because it sits in the driving sightline</w:t>
            </w:r>
          </w:p>
        </w:tc>
      </w:tr>
      <w:tr>
        <w:tc>
          <w:tcPr>
            <w:tcW w:type="dxa" w:w="1855"/>
            <w:tcMar>
              <w:top w:type="dxa" w:w="60"/>
              <w:left w:type="dxa" w:w="90"/>
              <w:bottom w:type="dxa" w:w="60"/>
              <w:right w:type="dxa" w:w="90"/>
            </w:tcMar>
          </w:tcPr>
          <w:p>
            <w:pPr>
              <w:spacing w:after="20" w:before="20"/>
            </w:pPr>
            <w:r>
              <w:rPr>
                <w:b/>
                <w:bCs/>
                <w:sz w:val="19"/>
                <w:szCs w:val="19"/>
              </w:rPr>
              <w:t xml:space="preserve">Reveal</w:t>
            </w:r>
          </w:p>
        </w:tc>
        <w:tc>
          <w:tcPr>
            <w:tcW w:type="dxa" w:w="1602"/>
            <w:tcMar>
              <w:top w:type="dxa" w:w="60"/>
              <w:left w:type="dxa" w:w="90"/>
              <w:bottom w:type="dxa" w:w="60"/>
              <w:right w:type="dxa" w:w="90"/>
            </w:tcMar>
          </w:tcPr>
          <w:p>
            <w:pPr>
              <w:spacing w:after="20" w:before="20"/>
            </w:pPr>
            <w:r>
              <w:rPr>
                <w:sz w:val="19"/>
                <w:szCs w:val="19"/>
              </w:rPr>
              <w:t xml:space="preserve">Slot</w:t>
            </w:r>
          </w:p>
        </w:tc>
        <w:tc>
          <w:tcPr>
            <w:tcW w:type="dxa" w:w="5903"/>
            <w:tcMar>
              <w:top w:type="dxa" w:w="60"/>
              <w:left w:type="dxa" w:w="90"/>
              <w:bottom w:type="dxa" w:w="60"/>
              <w:right w:type="dxa" w:w="90"/>
            </w:tcMar>
          </w:tcPr>
          <w:p>
            <w:pPr>
              <w:spacing w:after="20" w:before="20"/>
            </w:pPr>
            <w:r>
              <w:rPr>
                <w:sz w:val="19"/>
                <w:szCs w:val="19"/>
              </w:rPr>
              <w:t xml:space="preserve">Roll-and-settle on pickup, ~0.5 s. This is the moment that makes a crate feel like a prize</w:t>
            </w:r>
          </w:p>
        </w:tc>
      </w:tr>
      <w:tr>
        <w:tc>
          <w:tcPr>
            <w:tcW w:type="dxa" w:w="1855"/>
            <w:tcMar>
              <w:top w:type="dxa" w:w="60"/>
              <w:left w:type="dxa" w:w="90"/>
              <w:bottom w:type="dxa" w:w="60"/>
              <w:right w:type="dxa" w:w="90"/>
            </w:tcMar>
          </w:tcPr>
          <w:p>
            <w:pPr>
              <w:spacing w:after="20" w:before="20"/>
            </w:pPr>
            <w:r>
              <w:rPr>
                <w:b/>
                <w:bCs/>
                <w:sz w:val="19"/>
                <w:szCs w:val="19"/>
              </w:rPr>
              <w:t xml:space="preserve">Active effect</w:t>
            </w:r>
          </w:p>
        </w:tc>
        <w:tc>
          <w:tcPr>
            <w:tcW w:type="dxa" w:w="1602"/>
            <w:tcMar>
              <w:top w:type="dxa" w:w="60"/>
              <w:left w:type="dxa" w:w="90"/>
              <w:bottom w:type="dxa" w:w="60"/>
              <w:right w:type="dxa" w:w="90"/>
            </w:tcMar>
          </w:tcPr>
          <w:p>
            <w:pPr>
              <w:spacing w:after="20" w:before="20"/>
            </w:pPr>
            <w:r>
              <w:rPr>
                <w:sz w:val="19"/>
                <w:szCs w:val="19"/>
              </w:rPr>
              <w:t xml:space="preserve">Slot</w:t>
            </w:r>
          </w:p>
        </w:tc>
        <w:tc>
          <w:tcPr>
            <w:tcW w:type="dxa" w:w="5903"/>
            <w:tcMar>
              <w:top w:type="dxa" w:w="60"/>
              <w:left w:type="dxa" w:w="90"/>
              <w:bottom w:type="dxa" w:w="60"/>
              <w:right w:type="dxa" w:w="90"/>
            </w:tcMar>
          </w:tcPr>
          <w:p>
            <w:pPr>
              <w:spacing w:after="20" w:before="20"/>
            </w:pPr>
            <w:r>
              <w:rPr>
                <w:sz w:val="19"/>
                <w:szCs w:val="19"/>
              </w:rPr>
              <w:t xml:space="preserve">Radial timer counting the effect down. Visually distinct from a held, unused item</w:t>
            </w:r>
          </w:p>
        </w:tc>
      </w:tr>
      <w:tr>
        <w:tc>
          <w:tcPr>
            <w:tcW w:type="dxa" w:w="1855"/>
            <w:tcMar>
              <w:top w:type="dxa" w:w="60"/>
              <w:left w:type="dxa" w:w="90"/>
              <w:bottom w:type="dxa" w:w="60"/>
              <w:right w:type="dxa" w:w="90"/>
            </w:tcMar>
          </w:tcPr>
          <w:p>
            <w:pPr>
              <w:spacing w:after="20" w:before="20"/>
            </w:pPr>
            <w:r>
              <w:rPr>
                <w:b/>
                <w:bCs/>
                <w:sz w:val="19"/>
                <w:szCs w:val="19"/>
              </w:rPr>
              <w:t xml:space="preserve">Crate world marker</w:t>
            </w:r>
          </w:p>
        </w:tc>
        <w:tc>
          <w:tcPr>
            <w:tcW w:type="dxa" w:w="1602"/>
            <w:tcMar>
              <w:top w:type="dxa" w:w="60"/>
              <w:left w:type="dxa" w:w="90"/>
              <w:bottom w:type="dxa" w:w="60"/>
              <w:right w:type="dxa" w:w="90"/>
            </w:tcMar>
          </w:tcPr>
          <w:p>
            <w:pPr>
              <w:spacing w:after="20" w:before="20"/>
            </w:pPr>
            <w:r>
              <w:rPr>
                <w:sz w:val="19"/>
                <w:szCs w:val="19"/>
              </w:rPr>
              <w:t xml:space="preserve">World</w:t>
            </w:r>
          </w:p>
        </w:tc>
        <w:tc>
          <w:tcPr>
            <w:tcW w:type="dxa" w:w="5903"/>
            <w:tcMar>
              <w:top w:type="dxa" w:w="60"/>
              <w:left w:type="dxa" w:w="90"/>
              <w:bottom w:type="dxa" w:w="60"/>
              <w:right w:type="dxa" w:w="90"/>
            </w:tcMar>
          </w:tcPr>
          <w:p>
            <w:pPr>
              <w:spacing w:after="20" w:before="20"/>
            </w:pPr>
            <w:r>
              <w:rPr>
                <w:sz w:val="19"/>
                <w:szCs w:val="19"/>
              </w:rPr>
              <w:t xml:space="preserve">Visible at range. Clearly inert during </w:t>
            </w:r>
            <w:r>
              <w:rPr>
                <w:rFonts w:ascii="Consolas" w:cs="Consolas" w:eastAsia="Consolas" w:hAnsi="Consolas"/>
                <w:sz w:val="17"/>
                <w:szCs w:val="17"/>
              </w:rPr>
              <w:t xml:space="preserve">crate_arm_delay</w:t>
            </w:r>
          </w:p>
        </w:tc>
      </w:tr>
      <w:tr>
        <w:tc>
          <w:tcPr>
            <w:tcW w:type="dxa" w:w="1855"/>
            <w:tcMar>
              <w:top w:type="dxa" w:w="60"/>
              <w:left w:type="dxa" w:w="90"/>
              <w:bottom w:type="dxa" w:w="60"/>
              <w:right w:type="dxa" w:w="90"/>
            </w:tcMar>
          </w:tcPr>
          <w:p>
            <w:pPr>
              <w:spacing w:after="20" w:before="20"/>
            </w:pPr>
            <w:r>
              <w:rPr>
                <w:b/>
                <w:bCs/>
                <w:sz w:val="19"/>
                <w:szCs w:val="19"/>
              </w:rPr>
              <w:t xml:space="preserve">Damper Field ring</w:t>
            </w:r>
          </w:p>
        </w:tc>
        <w:tc>
          <w:tcPr>
            <w:tcW w:type="dxa" w:w="1602"/>
            <w:tcMar>
              <w:top w:type="dxa" w:w="60"/>
              <w:left w:type="dxa" w:w="90"/>
              <w:bottom w:type="dxa" w:w="60"/>
              <w:right w:type="dxa" w:w="90"/>
            </w:tcMar>
          </w:tcPr>
          <w:p>
            <w:pPr>
              <w:spacing w:after="20" w:before="20"/>
            </w:pPr>
            <w:r>
              <w:rPr>
                <w:sz w:val="19"/>
                <w:szCs w:val="19"/>
              </w:rPr>
              <w:t xml:space="preserve">World, on the robot</w:t>
            </w:r>
          </w:p>
        </w:tc>
        <w:tc>
          <w:tcPr>
            <w:tcW w:type="dxa" w:w="5903"/>
            <w:tcMar>
              <w:top w:type="dxa" w:w="60"/>
              <w:left w:type="dxa" w:w="90"/>
              <w:bottom w:type="dxa" w:w="60"/>
              <w:right w:type="dxa" w:w="90"/>
            </w:tcMar>
          </w:tcPr>
          <w:p>
            <w:pPr>
              <w:spacing w:after="20" w:before="20"/>
            </w:pPr>
            <w:r>
              <w:rPr>
                <w:b/>
                <w:bCs/>
                <w:sz w:val="19"/>
                <w:szCs w:val="19"/>
              </w:rPr>
              <w:t xml:space="preserve">Replicated to all clients.</w:t>
            </w:r>
            <w:r>
              <w:rPr>
                <w:sz w:val="19"/>
                <w:szCs w:val="19"/>
              </w:rPr>
              <w:t xml:space="preserve"> Non-negotiable, per the Damper Field row above</w:t>
            </w:r>
          </w:p>
        </w:tc>
      </w:tr>
      <w:tr>
        <w:tc>
          <w:tcPr>
            <w:tcW w:type="dxa" w:w="1855"/>
            <w:tcMar>
              <w:top w:type="dxa" w:w="60"/>
              <w:left w:type="dxa" w:w="90"/>
              <w:bottom w:type="dxa" w:w="60"/>
              <w:right w:type="dxa" w:w="90"/>
            </w:tcMar>
          </w:tcPr>
          <w:p>
            <w:pPr>
              <w:spacing w:after="20" w:before="20"/>
            </w:pPr>
            <w:r>
              <w:rPr>
                <w:b/>
                <w:bCs/>
                <w:sz w:val="19"/>
                <w:szCs w:val="19"/>
              </w:rPr>
              <w:t xml:space="preserve">Repulse charge-up</w:t>
            </w:r>
          </w:p>
        </w:tc>
        <w:tc>
          <w:tcPr>
            <w:tcW w:type="dxa" w:w="1602"/>
            <w:tcMar>
              <w:top w:type="dxa" w:w="60"/>
              <w:left w:type="dxa" w:w="90"/>
              <w:bottom w:type="dxa" w:w="60"/>
              <w:right w:type="dxa" w:w="90"/>
            </w:tcMar>
          </w:tcPr>
          <w:p>
            <w:pPr>
              <w:spacing w:after="20" w:before="20"/>
            </w:pPr>
            <w:r>
              <w:rPr>
                <w:sz w:val="19"/>
                <w:szCs w:val="19"/>
              </w:rPr>
              <w:t xml:space="preserve">World, on the robot</w:t>
            </w:r>
          </w:p>
        </w:tc>
        <w:tc>
          <w:tcPr>
            <w:tcW w:type="dxa" w:w="5903"/>
            <w:tcMar>
              <w:top w:type="dxa" w:w="60"/>
              <w:left w:type="dxa" w:w="90"/>
              <w:bottom w:type="dxa" w:w="60"/>
              <w:right w:type="dxa" w:w="90"/>
            </w:tcMar>
          </w:tcPr>
          <w:p>
            <w:pPr>
              <w:spacing w:after="20" w:before="20"/>
            </w:pPr>
            <w:r>
              <w:rPr>
                <w:sz w:val="19"/>
                <w:szCs w:val="19"/>
              </w:rPr>
              <w:t xml:space="preserve">Visible to everyone before the pulse fires. The telegraph is what makes it fair</w:t>
            </w:r>
          </w:p>
        </w:tc>
      </w:tr>
      <w:tr>
        <w:tc>
          <w:tcPr>
            <w:tcW w:type="dxa" w:w="1855"/>
            <w:tcMar>
              <w:top w:type="dxa" w:w="60"/>
              <w:left w:type="dxa" w:w="90"/>
              <w:bottom w:type="dxa" w:w="60"/>
              <w:right w:type="dxa" w:w="90"/>
            </w:tcMar>
          </w:tcPr>
          <w:p>
            <w:pPr>
              <w:spacing w:after="20" w:before="20"/>
            </w:pPr>
            <w:r>
              <w:rPr>
                <w:b/>
                <w:bCs/>
                <w:sz w:val="19"/>
                <w:szCs w:val="19"/>
              </w:rPr>
              <w:t xml:space="preserve">Event feed</w:t>
            </w:r>
          </w:p>
        </w:tc>
        <w:tc>
          <w:tcPr>
            <w:tcW w:type="dxa" w:w="1602"/>
            <w:tcMar>
              <w:top w:type="dxa" w:w="60"/>
              <w:left w:type="dxa" w:w="90"/>
              <w:bottom w:type="dxa" w:w="60"/>
              <w:right w:type="dxa" w:w="90"/>
            </w:tcMar>
          </w:tcPr>
          <w:p>
            <w:pPr>
              <w:spacing w:after="20" w:before="20"/>
            </w:pPr>
            <w:r>
              <w:rPr>
                <w:sz w:val="19"/>
                <w:szCs w:val="19"/>
              </w:rPr>
              <w:t xml:space="preserve">Bottom left</w:t>
            </w:r>
          </w:p>
        </w:tc>
        <w:tc>
          <w:tcPr>
            <w:tcW w:type="dxa" w:w="5903"/>
            <w:tcMar>
              <w:top w:type="dxa" w:w="60"/>
              <w:left w:type="dxa" w:w="90"/>
              <w:bottom w:type="dxa" w:w="60"/>
              <w:right w:type="dxa" w:w="90"/>
            </w:tcMar>
          </w:tcPr>
          <w:p>
            <w:pPr>
              <w:spacing w:after="20" w:before="20"/>
            </w:pPr>
            <w:r>
              <w:rPr>
                <w:sz w:val="19"/>
                <w:szCs w:val="19"/>
              </w:rPr>
              <w:t xml:space="preserve">Two to three auto-fading lines: steals, pickups, activations. Cheap, and worth a lot at 5-6 players where much happens off-camera</w:t>
            </w:r>
          </w:p>
        </w:tc>
      </w:tr>
    </w:tbl>
    <w:p>
      <w:pPr>
        <w:spacing w:after="160"/>
      </w:pPr>
    </w:p>
    <w:p>
      <w:pPr>
        <w:spacing w:after="120" w:before="60"/>
      </w:pPr>
      <w:r>
        <w:rPr>
          <w:b/>
          <w:bCs/>
        </w:rPr>
        <w:t xml:space="preserve">No inventory UI.</w:t>
      </w:r>
      <w:r>
        <w:t xml:space="preserve"> There is one slot by design.</w:t>
      </w:r>
    </w:p>
    <w:p>
      <w:pPr>
        <w:pStyle w:val="Heading1"/>
        <w:spacing w:after="120" w:before="280"/>
      </w:pPr>
      <w:r>
        <w:t xml:space="preserve">Audio</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1271"/>
        <w:gridCol w:w="8089"/>
      </w:tblGrid>
      <w:tr>
        <w:trPr>
          <w:tblHeader/>
        </w:trPr>
        <w:tc>
          <w:tcPr>
            <w:tcW w:type="dxa" w:w="1271"/>
            <w:shd w:fill="F2F5F8" w:color="auto" w:val="clear"/>
            <w:tcMar>
              <w:top w:type="dxa" w:w="60"/>
              <w:left w:type="dxa" w:w="90"/>
              <w:bottom w:type="dxa" w:w="60"/>
              <w:right w:type="dxa" w:w="90"/>
            </w:tcMar>
          </w:tcPr>
          <w:p>
            <w:pPr>
              <w:spacing w:after="20" w:before="20"/>
            </w:pPr>
            <w:r>
              <w:rPr>
                <w:b/>
                <w:bCs/>
                <w:sz w:val="19"/>
                <w:szCs w:val="19"/>
              </w:rPr>
              <w:t xml:space="preserve">Cue</w:t>
            </w:r>
          </w:p>
        </w:tc>
        <w:tc>
          <w:tcPr>
            <w:tcW w:type="dxa" w:w="8089"/>
            <w:shd w:fill="F2F5F8" w:color="auto" w:val="clear"/>
            <w:tcMar>
              <w:top w:type="dxa" w:w="60"/>
              <w:left w:type="dxa" w:w="90"/>
              <w:bottom w:type="dxa" w:w="60"/>
              <w:right w:type="dxa" w:w="90"/>
            </w:tcMar>
          </w:tcPr>
          <w:p>
            <w:pPr>
              <w:spacing w:after="20" w:before="20"/>
            </w:pPr>
            <w:r>
              <w:rPr>
                <w:b/>
                <w:bCs/>
                <w:sz w:val="19"/>
                <w:szCs w:val="19"/>
              </w:rPr>
              <w:t xml:space="preserve">Trigger</w:t>
            </w:r>
          </w:p>
        </w:tc>
      </w:tr>
      <w:tr>
        <w:tc>
          <w:tcPr>
            <w:tcW w:type="dxa" w:w="1271"/>
            <w:tcMar>
              <w:top w:type="dxa" w:w="60"/>
              <w:left w:type="dxa" w:w="90"/>
              <w:bottom w:type="dxa" w:w="60"/>
              <w:right w:type="dxa" w:w="90"/>
            </w:tcMar>
          </w:tcPr>
          <w:p>
            <w:pPr>
              <w:spacing w:after="20" w:before="20"/>
            </w:pPr>
            <w:r>
              <w:rPr>
                <w:sz w:val="19"/>
                <w:szCs w:val="19"/>
              </w:rPr>
              <w:t xml:space="preserve">Crate break</w:t>
            </w:r>
          </w:p>
        </w:tc>
        <w:tc>
          <w:tcPr>
            <w:tcW w:type="dxa" w:w="8089"/>
            <w:tcMar>
              <w:top w:type="dxa" w:w="60"/>
              <w:left w:type="dxa" w:w="90"/>
              <w:bottom w:type="dxa" w:w="60"/>
              <w:right w:type="dxa" w:w="90"/>
            </w:tcMar>
          </w:tcPr>
          <w:p>
            <w:pPr>
              <w:spacing w:after="20" w:before="20"/>
            </w:pPr>
            <w:r>
              <w:rPr>
                <w:sz w:val="19"/>
                <w:szCs w:val="19"/>
              </w:rPr>
              <w:t xml:space="preserve">Pickup</w:t>
            </w:r>
          </w:p>
        </w:tc>
      </w:tr>
      <w:tr>
        <w:tc>
          <w:tcPr>
            <w:tcW w:type="dxa" w:w="1271"/>
            <w:tcMar>
              <w:top w:type="dxa" w:w="60"/>
              <w:left w:type="dxa" w:w="90"/>
              <w:bottom w:type="dxa" w:w="60"/>
              <w:right w:type="dxa" w:w="90"/>
            </w:tcMar>
          </w:tcPr>
          <w:p>
            <w:pPr>
              <w:spacing w:after="20" w:before="20"/>
            </w:pPr>
            <w:r>
              <w:rPr>
                <w:sz w:val="19"/>
                <w:szCs w:val="19"/>
              </w:rPr>
              <w:t xml:space="preserve">Reveal</w:t>
            </w:r>
          </w:p>
        </w:tc>
        <w:tc>
          <w:tcPr>
            <w:tcW w:type="dxa" w:w="8089"/>
            <w:tcMar>
              <w:top w:type="dxa" w:w="60"/>
              <w:left w:type="dxa" w:w="90"/>
              <w:bottom w:type="dxa" w:w="60"/>
              <w:right w:type="dxa" w:w="90"/>
            </w:tcMar>
          </w:tcPr>
          <w:p>
            <w:pPr>
              <w:spacing w:after="20" w:before="20"/>
            </w:pPr>
            <w:r>
              <w:rPr>
                <w:sz w:val="19"/>
                <w:szCs w:val="19"/>
              </w:rPr>
              <w:t xml:space="preserve">Roll settles on the item</w:t>
            </w:r>
          </w:p>
        </w:tc>
      </w:tr>
      <w:tr>
        <w:tc>
          <w:tcPr>
            <w:tcW w:type="dxa" w:w="1271"/>
            <w:tcMar>
              <w:top w:type="dxa" w:w="60"/>
              <w:left w:type="dxa" w:w="90"/>
              <w:bottom w:type="dxa" w:w="60"/>
              <w:right w:type="dxa" w:w="90"/>
            </w:tcMar>
          </w:tcPr>
          <w:p>
            <w:pPr>
              <w:spacing w:after="20" w:before="20"/>
            </w:pPr>
            <w:r>
              <w:rPr>
                <w:sz w:val="19"/>
                <w:szCs w:val="19"/>
              </w:rPr>
              <w:t xml:space="preserve">Activation</w:t>
            </w:r>
          </w:p>
        </w:tc>
        <w:tc>
          <w:tcPr>
            <w:tcW w:type="dxa" w:w="8089"/>
            <w:tcMar>
              <w:top w:type="dxa" w:w="60"/>
              <w:left w:type="dxa" w:w="90"/>
              <w:bottom w:type="dxa" w:w="60"/>
              <w:right w:type="dxa" w:w="90"/>
            </w:tcMar>
          </w:tcPr>
          <w:p>
            <w:pPr>
              <w:spacing w:after="20" w:before="20"/>
            </w:pPr>
            <w:r>
              <w:rPr>
                <w:sz w:val="19"/>
                <w:szCs w:val="19"/>
              </w:rPr>
              <w:t xml:space="preserve">Per item, distinct</w:t>
            </w:r>
          </w:p>
        </w:tc>
      </w:tr>
      <w:tr>
        <w:tc>
          <w:tcPr>
            <w:tcW w:type="dxa" w:w="1271"/>
            <w:tcMar>
              <w:top w:type="dxa" w:w="60"/>
              <w:left w:type="dxa" w:w="90"/>
              <w:bottom w:type="dxa" w:w="60"/>
              <w:right w:type="dxa" w:w="90"/>
            </w:tcMar>
          </w:tcPr>
          <w:p>
            <w:pPr>
              <w:spacing w:after="20" w:before="20"/>
            </w:pPr>
            <w:r>
              <w:rPr>
                <w:sz w:val="19"/>
                <w:szCs w:val="19"/>
              </w:rPr>
              <w:t xml:space="preserve">Expiry</w:t>
            </w:r>
          </w:p>
        </w:tc>
        <w:tc>
          <w:tcPr>
            <w:tcW w:type="dxa" w:w="8089"/>
            <w:tcMar>
              <w:top w:type="dxa" w:w="60"/>
              <w:left w:type="dxa" w:w="90"/>
              <w:bottom w:type="dxa" w:w="60"/>
              <w:right w:type="dxa" w:w="90"/>
            </w:tcMar>
          </w:tcPr>
          <w:p>
            <w:pPr>
              <w:spacing w:after="20" w:before="20"/>
            </w:pPr>
            <w:r>
              <w:rPr>
                <w:sz w:val="19"/>
                <w:szCs w:val="19"/>
              </w:rPr>
              <w:t xml:space="preserve">Effect ends — a player must know when Damper Field drops without watching the HUD</w:t>
            </w:r>
          </w:p>
        </w:tc>
      </w:tr>
    </w:tbl>
    <w:p>
      <w:pPr>
        <w:spacing w:after="160"/>
      </w:pPr>
    </w:p>
    <w:p>
      <w:pPr>
        <w:pStyle w:val="Heading1"/>
        <w:spacing w:after="120" w:before="280"/>
      </w:pPr>
      <w:r>
        <w:t xml:space="preserve">Tuning</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3024"/>
        <w:gridCol w:w="4608"/>
        <w:gridCol w:w="1728"/>
      </w:tblGrid>
      <w:tr>
        <w:trPr>
          <w:tblHeader/>
        </w:trPr>
        <w:tc>
          <w:tcPr>
            <w:tcW w:type="dxa" w:w="3024"/>
            <w:shd w:fill="F2F5F8" w:color="auto" w:val="clear"/>
            <w:tcMar>
              <w:top w:type="dxa" w:w="60"/>
              <w:left w:type="dxa" w:w="90"/>
              <w:bottom w:type="dxa" w:w="60"/>
              <w:right w:type="dxa" w:w="90"/>
            </w:tcMar>
          </w:tcPr>
          <w:p>
            <w:pPr>
              <w:spacing w:after="20" w:before="20"/>
            </w:pPr>
            <w:r>
              <w:rPr>
                <w:b/>
                <w:bCs/>
                <w:sz w:val="19"/>
                <w:szCs w:val="19"/>
              </w:rPr>
              <w:t xml:space="preserve">Parameter</w:t>
            </w:r>
          </w:p>
        </w:tc>
        <w:tc>
          <w:tcPr>
            <w:tcW w:type="dxa" w:w="4608"/>
            <w:shd w:fill="F2F5F8" w:color="auto" w:val="clear"/>
            <w:tcMar>
              <w:top w:type="dxa" w:w="60"/>
              <w:left w:type="dxa" w:w="90"/>
              <w:bottom w:type="dxa" w:w="60"/>
              <w:right w:type="dxa" w:w="90"/>
            </w:tcMar>
          </w:tcPr>
          <w:p>
            <w:pPr>
              <w:spacing w:after="20" w:before="20"/>
            </w:pPr>
            <w:r>
              <w:rPr>
                <w:b/>
                <w:bCs/>
                <w:sz w:val="19"/>
                <w:szCs w:val="19"/>
              </w:rPr>
              <w:t xml:space="preserve">Provisional</w:t>
            </w:r>
          </w:p>
        </w:tc>
        <w:tc>
          <w:tcPr>
            <w:tcW w:type="dxa" w:w="1728"/>
            <w:shd w:fill="F2F5F8" w:color="auto" w:val="clear"/>
            <w:tcMar>
              <w:top w:type="dxa" w:w="60"/>
              <w:left w:type="dxa" w:w="90"/>
              <w:bottom w:type="dxa" w:w="60"/>
              <w:right w:type="dxa" w:w="90"/>
            </w:tcMar>
          </w:tcPr>
          <w:p>
            <w:pPr>
              <w:spacing w:after="20" w:before="20"/>
            </w:pPr>
            <w:r>
              <w:rPr>
                <w:b/>
                <w:bCs/>
                <w:sz w:val="19"/>
                <w:szCs w:val="19"/>
              </w:rPr>
              <w:t xml:space="preserve">Range</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crate_count</w:t>
            </w:r>
          </w:p>
        </w:tc>
        <w:tc>
          <w:tcPr>
            <w:tcW w:type="dxa" w:w="4608"/>
            <w:tcMar>
              <w:top w:type="dxa" w:w="60"/>
              <w:left w:type="dxa" w:w="90"/>
              <w:bottom w:type="dxa" w:w="60"/>
              <w:right w:type="dxa" w:w="90"/>
            </w:tcMar>
          </w:tcPr>
          <w:p>
            <w:pPr>
              <w:spacing w:after="20" w:before="20"/>
            </w:pPr>
            <w:r>
              <w:rPr>
                <w:sz w:val="19"/>
                <w:szCs w:val="19"/>
              </w:rPr>
              <w:t xml:space="preserve">5</w:t>
            </w:r>
          </w:p>
        </w:tc>
        <w:tc>
          <w:tcPr>
            <w:tcW w:type="dxa" w:w="1728"/>
            <w:tcMar>
              <w:top w:type="dxa" w:w="60"/>
              <w:left w:type="dxa" w:w="90"/>
              <w:bottom w:type="dxa" w:w="60"/>
              <w:right w:type="dxa" w:w="90"/>
            </w:tcMar>
          </w:tcPr>
          <w:p>
            <w:pPr>
              <w:spacing w:after="20" w:before="20"/>
            </w:pPr>
            <w:r>
              <w:rPr>
                <w:sz w:val="19"/>
                <w:szCs w:val="19"/>
              </w:rPr>
              <w:t xml:space="preserve">3 to 8</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crate_respawn</w:t>
            </w:r>
          </w:p>
        </w:tc>
        <w:tc>
          <w:tcPr>
            <w:tcW w:type="dxa" w:w="4608"/>
            <w:tcMar>
              <w:top w:type="dxa" w:w="60"/>
              <w:left w:type="dxa" w:w="90"/>
              <w:bottom w:type="dxa" w:w="60"/>
              <w:right w:type="dxa" w:w="90"/>
            </w:tcMar>
          </w:tcPr>
          <w:p>
            <w:pPr>
              <w:spacing w:after="20" w:before="20"/>
            </w:pPr>
            <w:r>
              <w:rPr>
                <w:sz w:val="19"/>
                <w:szCs w:val="19"/>
              </w:rPr>
              <w:t xml:space="preserve">12 s</w:t>
            </w:r>
          </w:p>
        </w:tc>
        <w:tc>
          <w:tcPr>
            <w:tcW w:type="dxa" w:w="1728"/>
            <w:tcMar>
              <w:top w:type="dxa" w:w="60"/>
              <w:left w:type="dxa" w:w="90"/>
              <w:bottom w:type="dxa" w:w="60"/>
              <w:right w:type="dxa" w:w="90"/>
            </w:tcMar>
          </w:tcPr>
          <w:p>
            <w:pPr>
              <w:spacing w:after="20" w:before="20"/>
            </w:pPr>
            <w:r>
              <w:rPr>
                <w:sz w:val="19"/>
                <w:szCs w:val="19"/>
              </w:rPr>
              <w:t xml:space="preserve">8 to 20</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crate_arm_delay</w:t>
            </w:r>
          </w:p>
        </w:tc>
        <w:tc>
          <w:tcPr>
            <w:tcW w:type="dxa" w:w="4608"/>
            <w:tcMar>
              <w:top w:type="dxa" w:w="60"/>
              <w:left w:type="dxa" w:w="90"/>
              <w:bottom w:type="dxa" w:w="60"/>
              <w:right w:type="dxa" w:w="90"/>
            </w:tcMar>
          </w:tcPr>
          <w:p>
            <w:pPr>
              <w:spacing w:after="20" w:before="20"/>
            </w:pPr>
            <w:r>
              <w:rPr>
                <w:sz w:val="19"/>
                <w:szCs w:val="19"/>
              </w:rPr>
              <w:t xml:space="preserve">1 s</w:t>
            </w:r>
          </w:p>
        </w:tc>
        <w:tc>
          <w:tcPr>
            <w:tcW w:type="dxa" w:w="1728"/>
            <w:tcMar>
              <w:top w:type="dxa" w:w="60"/>
              <w:left w:type="dxa" w:w="90"/>
              <w:bottom w:type="dxa" w:w="60"/>
              <w:right w:type="dxa" w:w="90"/>
            </w:tcMar>
          </w:tcPr>
          <w:p>
            <w:pPr>
              <w:spacing w:after="20" w:before="20"/>
            </w:pPr>
            <w:r>
              <w:rPr>
                <w:sz w:val="19"/>
                <w:szCs w:val="19"/>
              </w:rPr>
              <w:t xml:space="preserve">0.5 to 2</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overdrive_ticks</w:t>
            </w:r>
          </w:p>
        </w:tc>
        <w:tc>
          <w:tcPr>
            <w:tcW w:type="dxa" w:w="4608"/>
            <w:tcMar>
              <w:top w:type="dxa" w:w="60"/>
              <w:left w:type="dxa" w:w="90"/>
              <w:bottom w:type="dxa" w:w="60"/>
              <w:right w:type="dxa" w:w="90"/>
            </w:tcMar>
          </w:tcPr>
          <w:p>
            <w:pPr>
              <w:spacing w:after="20" w:before="20"/>
            </w:pPr>
            <w:r>
              <w:rPr>
                <w:sz w:val="19"/>
                <w:szCs w:val="19"/>
              </w:rPr>
              <w:t xml:space="preserve">Stage 2 </w:t>
            </w:r>
            <w:r>
              <w:rPr>
                <w:rFonts w:ascii="Consolas" w:cs="Consolas" w:eastAsia="Consolas" w:hAnsi="Consolas"/>
                <w:sz w:val="17"/>
                <w:szCs w:val="17"/>
              </w:rPr>
              <w:t xml:space="preserve">boost_ticks</w:t>
            </w:r>
            <w:r>
              <w:rPr>
                <w:sz w:val="19"/>
                <w:szCs w:val="19"/>
              </w:rPr>
              <w:t xml:space="preserve"> equivalent</w:t>
            </w:r>
          </w:p>
        </w:tc>
        <w:tc>
          <w:tcPr>
            <w:tcW w:type="dxa" w:w="1728"/>
            <w:tcMar>
              <w:top w:type="dxa" w:w="60"/>
              <w:left w:type="dxa" w:w="90"/>
              <w:bottom w:type="dxa" w:w="60"/>
              <w:right w:type="dxa" w:w="90"/>
            </w:tcMar>
          </w:tcPr>
          <w:p>
            <w:pPr>
              <w:spacing w:after="20" w:before="20"/>
            </w:pPr>
            <w:r>
              <w:rPr>
                <w:sz w:val="19"/>
                <w:szCs w:val="19"/>
              </w:rPr>
              <w:t xml:space="preserve">—</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overdrive_strength</w:t>
            </w:r>
          </w:p>
        </w:tc>
        <w:tc>
          <w:tcPr>
            <w:tcW w:type="dxa" w:w="4608"/>
            <w:tcMar>
              <w:top w:type="dxa" w:w="60"/>
              <w:left w:type="dxa" w:w="90"/>
              <w:bottom w:type="dxa" w:w="60"/>
              <w:right w:type="dxa" w:w="90"/>
            </w:tcMar>
          </w:tcPr>
          <w:p>
            <w:pPr>
              <w:spacing w:after="20" w:before="20"/>
            </w:pPr>
            <w:r>
              <w:rPr>
                <w:sz w:val="19"/>
                <w:szCs w:val="19"/>
              </w:rPr>
              <w:t xml:space="preserve">Stage 2 </w:t>
            </w:r>
            <w:r>
              <w:rPr>
                <w:rFonts w:ascii="Consolas" w:cs="Consolas" w:eastAsia="Consolas" w:hAnsi="Consolas"/>
                <w:sz w:val="17"/>
                <w:szCs w:val="17"/>
              </w:rPr>
              <w:t xml:space="preserve">boost_multiplier</w:t>
            </w:r>
          </w:p>
        </w:tc>
        <w:tc>
          <w:tcPr>
            <w:tcW w:type="dxa" w:w="1728"/>
            <w:tcMar>
              <w:top w:type="dxa" w:w="60"/>
              <w:left w:type="dxa" w:w="90"/>
              <w:bottom w:type="dxa" w:w="60"/>
              <w:right w:type="dxa" w:w="90"/>
            </w:tcMar>
          </w:tcPr>
          <w:p>
            <w:pPr>
              <w:spacing w:after="20" w:before="20"/>
            </w:pPr>
            <w:r>
              <w:rPr>
                <w:sz w:val="19"/>
                <w:szCs w:val="19"/>
              </w:rPr>
              <w:t xml:space="preserve">Stage 1 to 3</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grapple_ticks</w:t>
            </w:r>
          </w:p>
        </w:tc>
        <w:tc>
          <w:tcPr>
            <w:tcW w:type="dxa" w:w="4608"/>
            <w:tcMar>
              <w:top w:type="dxa" w:w="60"/>
              <w:left w:type="dxa" w:w="90"/>
              <w:bottom w:type="dxa" w:w="60"/>
              <w:right w:type="dxa" w:w="90"/>
            </w:tcMar>
          </w:tcPr>
          <w:p>
            <w:pPr>
              <w:spacing w:after="20" w:before="20"/>
            </w:pPr>
            <w:r>
              <w:rPr>
                <w:sz w:val="19"/>
                <w:szCs w:val="19"/>
              </w:rPr>
              <w:t xml:space="preserve">6 s</w:t>
            </w:r>
          </w:p>
        </w:tc>
        <w:tc>
          <w:tcPr>
            <w:tcW w:type="dxa" w:w="1728"/>
            <w:tcMar>
              <w:top w:type="dxa" w:w="60"/>
              <w:left w:type="dxa" w:w="90"/>
              <w:bottom w:type="dxa" w:w="60"/>
              <w:right w:type="dxa" w:w="90"/>
            </w:tcMar>
          </w:tcPr>
          <w:p>
            <w:pPr>
              <w:spacing w:after="20" w:before="20"/>
            </w:pPr>
            <w:r>
              <w:rPr>
                <w:sz w:val="19"/>
                <w:szCs w:val="19"/>
              </w:rPr>
              <w:t xml:space="preserve">4 to 8</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grapple_reach_bonus</w:t>
            </w:r>
          </w:p>
        </w:tc>
        <w:tc>
          <w:tcPr>
            <w:tcW w:type="dxa" w:w="4608"/>
            <w:tcMar>
              <w:top w:type="dxa" w:w="60"/>
              <w:left w:type="dxa" w:w="90"/>
              <w:bottom w:type="dxa" w:w="60"/>
              <w:right w:type="dxa" w:w="90"/>
            </w:tcMar>
          </w:tcPr>
          <w:p>
            <w:pPr>
              <w:spacing w:after="20" w:before="20"/>
            </w:pPr>
            <w:r>
              <w:rPr>
                <w:sz w:val="19"/>
                <w:szCs w:val="19"/>
              </w:rPr>
              <w:t xml:space="preserve">Small — a near-miss, not an aura</w:t>
            </w:r>
          </w:p>
        </w:tc>
        <w:tc>
          <w:tcPr>
            <w:tcW w:type="dxa" w:w="1728"/>
            <w:tcMar>
              <w:top w:type="dxa" w:w="60"/>
              <w:left w:type="dxa" w:w="90"/>
              <w:bottom w:type="dxa" w:w="60"/>
              <w:right w:type="dxa" w:w="90"/>
            </w:tcMar>
          </w:tcPr>
          <w:p>
            <w:pPr>
              <w:spacing w:after="20" w:before="20"/>
            </w:pPr>
            <w:r>
              <w:rPr>
                <w:sz w:val="19"/>
                <w:szCs w:val="19"/>
              </w:rPr>
              <w:t xml:space="preserve">—</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damper_ticks</w:t>
            </w:r>
          </w:p>
        </w:tc>
        <w:tc>
          <w:tcPr>
            <w:tcW w:type="dxa" w:w="4608"/>
            <w:tcMar>
              <w:top w:type="dxa" w:w="60"/>
              <w:left w:type="dxa" w:w="90"/>
              <w:bottom w:type="dxa" w:w="60"/>
              <w:right w:type="dxa" w:w="90"/>
            </w:tcMar>
          </w:tcPr>
          <w:p>
            <w:pPr>
              <w:spacing w:after="20" w:before="20"/>
            </w:pPr>
            <w:r>
              <w:rPr>
                <w:sz w:val="19"/>
                <w:szCs w:val="19"/>
              </w:rPr>
              <w:t xml:space="preserve">5 s</w:t>
            </w:r>
          </w:p>
        </w:tc>
        <w:tc>
          <w:tcPr>
            <w:tcW w:type="dxa" w:w="1728"/>
            <w:tcMar>
              <w:top w:type="dxa" w:w="60"/>
              <w:left w:type="dxa" w:w="90"/>
              <w:bottom w:type="dxa" w:w="60"/>
              <w:right w:type="dxa" w:w="90"/>
            </w:tcMar>
          </w:tcPr>
          <w:p>
            <w:pPr>
              <w:spacing w:after="20" w:before="20"/>
            </w:pPr>
            <w:r>
              <w:rPr>
                <w:sz w:val="19"/>
                <w:szCs w:val="19"/>
              </w:rPr>
              <w:t xml:space="preserve">3 to 7</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oil_patch_lifetime</w:t>
            </w:r>
          </w:p>
        </w:tc>
        <w:tc>
          <w:tcPr>
            <w:tcW w:type="dxa" w:w="4608"/>
            <w:tcMar>
              <w:top w:type="dxa" w:w="60"/>
              <w:left w:type="dxa" w:w="90"/>
              <w:bottom w:type="dxa" w:w="60"/>
              <w:right w:type="dxa" w:w="90"/>
            </w:tcMar>
          </w:tcPr>
          <w:p>
            <w:pPr>
              <w:spacing w:after="20" w:before="20"/>
            </w:pPr>
            <w:r>
              <w:rPr>
                <w:sz w:val="19"/>
                <w:szCs w:val="19"/>
              </w:rPr>
              <w:t xml:space="preserve">8 s</w:t>
            </w:r>
          </w:p>
        </w:tc>
        <w:tc>
          <w:tcPr>
            <w:tcW w:type="dxa" w:w="1728"/>
            <w:tcMar>
              <w:top w:type="dxa" w:w="60"/>
              <w:left w:type="dxa" w:w="90"/>
              <w:bottom w:type="dxa" w:w="60"/>
              <w:right w:type="dxa" w:w="90"/>
            </w:tcMar>
          </w:tcPr>
          <w:p>
            <w:pPr>
              <w:spacing w:after="20" w:before="20"/>
            </w:pPr>
            <w:r>
              <w:rPr>
                <w:sz w:val="19"/>
                <w:szCs w:val="19"/>
              </w:rPr>
              <w:t xml:space="preserve">5 to 15</w:t>
            </w:r>
          </w:p>
        </w:tc>
      </w:tr>
      <w:tr>
        <w:tc>
          <w:tcPr>
            <w:tcW w:type="dxa" w:w="3024"/>
            <w:tcMar>
              <w:top w:type="dxa" w:w="60"/>
              <w:left w:type="dxa" w:w="90"/>
              <w:bottom w:type="dxa" w:w="60"/>
              <w:right w:type="dxa" w:w="90"/>
            </w:tcMar>
          </w:tcPr>
          <w:p>
            <w:pPr>
              <w:spacing w:after="20" w:before="20"/>
            </w:pPr>
            <w:r>
              <w:rPr>
                <w:rFonts w:ascii="Consolas" w:cs="Consolas" w:eastAsia="Consolas" w:hAnsi="Consolas"/>
                <w:sz w:val="17"/>
                <w:szCs w:val="17"/>
              </w:rPr>
              <w:t xml:space="preserve">repulse_weight</w:t>
            </w:r>
          </w:p>
        </w:tc>
        <w:tc>
          <w:tcPr>
            <w:tcW w:type="dxa" w:w="4608"/>
            <w:tcMar>
              <w:top w:type="dxa" w:w="60"/>
              <w:left w:type="dxa" w:w="90"/>
              <w:bottom w:type="dxa" w:w="60"/>
              <w:right w:type="dxa" w:w="90"/>
            </w:tcMar>
          </w:tcPr>
          <w:p>
            <w:pPr>
              <w:spacing w:after="20" w:before="20"/>
            </w:pPr>
            <w:r>
              <w:rPr>
                <w:sz w:val="19"/>
                <w:szCs w:val="19"/>
              </w:rPr>
              <w:t xml:space="preserve">Low, exact value unset</w:t>
            </w:r>
          </w:p>
        </w:tc>
        <w:tc>
          <w:tcPr>
            <w:tcW w:type="dxa" w:w="1728"/>
            <w:tcMar>
              <w:top w:type="dxa" w:w="60"/>
              <w:left w:type="dxa" w:w="90"/>
              <w:bottom w:type="dxa" w:w="60"/>
              <w:right w:type="dxa" w:w="90"/>
            </w:tcMar>
          </w:tcPr>
          <w:p>
            <w:pPr>
              <w:spacing w:after="20" w:before="20"/>
            </w:pPr>
            <w:r>
              <w:rPr>
                <w:sz w:val="19"/>
                <w:szCs w:val="19"/>
              </w:rPr>
              <w:t xml:space="preserve">—</w:t>
            </w:r>
          </w:p>
        </w:tc>
      </w:tr>
    </w:tbl>
    <w:p>
      <w:pPr>
        <w:spacing w:after="160"/>
      </w:pPr>
    </w:p>
    <w:p>
      <w:pPr>
        <w:spacing w:after="120" w:before="60"/>
      </w:pPr>
      <w:r>
        <w:rPr>
          <w:rFonts w:ascii="Consolas" w:cs="Consolas" w:eastAsia="Consolas" w:hAnsi="Consolas"/>
          <w:sz w:val="19"/>
          <w:szCs w:val="19"/>
        </w:rPr>
        <w:t xml:space="preserve">damper_ticks</w:t>
      </w:r>
      <w:r>
        <w:t xml:space="preserve"> feels longest to the </w:t>
      </w:r>
      <w:r>
        <w:rPr>
          <w:i/>
          <w:iCs/>
        </w:rPr>
        <w:t xml:space="preserve">opponents</w:t>
      </w:r>
      <w:r>
        <w:t xml:space="preserve">, not to the user. Keep it short.</w:t>
      </w:r>
    </w:p>
    <w:p>
      <w:pPr>
        <w:pStyle w:val="Heading1"/>
        <w:spacing w:after="120" w:before="280"/>
      </w:pPr>
      <w:r>
        <w:t xml:space="preserve">Edge cases</w:t>
      </w:r>
    </w:p>
    <w:tbl>
      <w:tblPr>
        <w:tblW w:type="dxa" w:w="9360"/>
        <w:tblBorders>
          <w:top w:val="single" w:color="9AAEC1" w:sz="4"/>
          <w:left w:val="single" w:color="9AAEC1" w:sz="4"/>
          <w:bottom w:val="single" w:color="9AAEC1" w:sz="4"/>
          <w:right w:val="single" w:color="9AAEC1" w:sz="4"/>
          <w:insideH w:val="single" w:color="9AAEC1" w:sz="2"/>
          <w:insideV w:val="single" w:color="9AAEC1" w:sz="2"/>
        </w:tblBorders>
      </w:tblPr>
      <w:tblGrid>
        <w:gridCol w:w="3662"/>
        <w:gridCol w:w="5698"/>
      </w:tblGrid>
      <w:tr>
        <w:trPr>
          <w:tblHeader/>
        </w:trPr>
        <w:tc>
          <w:tcPr>
            <w:tcW w:type="dxa" w:w="3662"/>
            <w:shd w:fill="F2F5F8" w:color="auto" w:val="clear"/>
            <w:tcMar>
              <w:top w:type="dxa" w:w="60"/>
              <w:left w:type="dxa" w:w="90"/>
              <w:bottom w:type="dxa" w:w="60"/>
              <w:right w:type="dxa" w:w="90"/>
            </w:tcMar>
          </w:tcPr>
          <w:p>
            <w:pPr>
              <w:spacing w:after="20" w:before="20"/>
            </w:pPr>
            <w:r>
              <w:rPr>
                <w:b/>
                <w:bCs/>
                <w:sz w:val="19"/>
                <w:szCs w:val="19"/>
              </w:rPr>
              <w:t xml:space="preserve">Case</w:t>
            </w:r>
          </w:p>
        </w:tc>
        <w:tc>
          <w:tcPr>
            <w:tcW w:type="dxa" w:w="5698"/>
            <w:shd w:fill="F2F5F8" w:color="auto" w:val="clear"/>
            <w:tcMar>
              <w:top w:type="dxa" w:w="60"/>
              <w:left w:type="dxa" w:w="90"/>
              <w:bottom w:type="dxa" w:w="60"/>
              <w:right w:type="dxa" w:w="90"/>
            </w:tcMar>
          </w:tcPr>
          <w:p>
            <w:pPr>
              <w:spacing w:after="20" w:before="20"/>
            </w:pPr>
            <w:r>
              <w:rPr>
                <w:b/>
                <w:bCs/>
                <w:sz w:val="19"/>
                <w:szCs w:val="19"/>
              </w:rPr>
              <w:t xml:space="preserve">Handling</w:t>
            </w:r>
          </w:p>
        </w:tc>
      </w:tr>
      <w:tr>
        <w:tc>
          <w:tcPr>
            <w:tcW w:type="dxa" w:w="3662"/>
            <w:tcMar>
              <w:top w:type="dxa" w:w="60"/>
              <w:left w:type="dxa" w:w="90"/>
              <w:bottom w:type="dxa" w:w="60"/>
              <w:right w:type="dxa" w:w="90"/>
            </w:tcMar>
          </w:tcPr>
          <w:p>
            <w:pPr>
              <w:spacing w:after="20" w:before="20"/>
            </w:pPr>
            <w:r>
              <w:rPr>
                <w:sz w:val="19"/>
                <w:szCs w:val="19"/>
              </w:rPr>
              <w:t xml:space="preserve">Pickup while the slot is full</w:t>
            </w:r>
          </w:p>
        </w:tc>
        <w:tc>
          <w:tcPr>
            <w:tcW w:type="dxa" w:w="5698"/>
            <w:tcMar>
              <w:top w:type="dxa" w:w="60"/>
              <w:left w:type="dxa" w:w="90"/>
              <w:bottom w:type="dxa" w:w="60"/>
              <w:right w:type="dxa" w:w="90"/>
            </w:tcMar>
          </w:tcPr>
          <w:p>
            <w:pPr>
              <w:spacing w:after="20" w:before="20"/>
            </w:pPr>
            <w:r>
              <w:rPr>
                <w:sz w:val="19"/>
                <w:szCs w:val="19"/>
              </w:rPr>
              <w:t xml:space="preserve">No pickup, crate stays active. </w:t>
            </w:r>
            <w:r>
              <w:rPr>
                <w:b/>
                <w:bCs/>
                <w:sz w:val="19"/>
                <w:szCs w:val="19"/>
              </w:rPr>
              <w:t xml:space="preserve">No auto-swap</w:t>
            </w:r>
            <w:r>
              <w:rPr>
                <w:sz w:val="19"/>
                <w:szCs w:val="19"/>
              </w:rPr>
              <w:t xml:space="preserve"> — losing a saved item to an accidental drive-over is exactly the unearned loss this mode avoids</w:t>
            </w:r>
          </w:p>
        </w:tc>
      </w:tr>
      <w:tr>
        <w:tc>
          <w:tcPr>
            <w:tcW w:type="dxa" w:w="3662"/>
            <w:tcMar>
              <w:top w:type="dxa" w:w="60"/>
              <w:left w:type="dxa" w:w="90"/>
              <w:bottom w:type="dxa" w:w="60"/>
              <w:right w:type="dxa" w:w="90"/>
            </w:tcMar>
          </w:tcPr>
          <w:p>
            <w:pPr>
              <w:spacing w:after="20" w:before="20"/>
            </w:pPr>
            <w:r>
              <w:rPr>
                <w:sz w:val="19"/>
                <w:szCs w:val="19"/>
              </w:rPr>
              <w:t xml:space="preserve">Crate spawns under a moving robot</w:t>
            </w:r>
          </w:p>
        </w:tc>
        <w:tc>
          <w:tcPr>
            <w:tcW w:type="dxa" w:w="5698"/>
            <w:tcMar>
              <w:top w:type="dxa" w:w="60"/>
              <w:left w:type="dxa" w:w="90"/>
              <w:bottom w:type="dxa" w:w="60"/>
              <w:right w:type="dxa" w:w="90"/>
            </w:tcMar>
          </w:tcPr>
          <w:p>
            <w:pPr>
              <w:spacing w:after="20" w:before="20"/>
            </w:pPr>
            <w:r>
              <w:rPr>
                <w:rFonts w:ascii="Consolas" w:cs="Consolas" w:eastAsia="Consolas" w:hAnsi="Consolas"/>
                <w:sz w:val="17"/>
                <w:szCs w:val="17"/>
              </w:rPr>
              <w:t xml:space="preserve">crate_arm_delay</w:t>
            </w:r>
            <w:r>
              <w:rPr>
                <w:sz w:val="19"/>
                <w:szCs w:val="19"/>
              </w:rPr>
              <w:t xml:space="preserve"> covers it</w:t>
            </w:r>
          </w:p>
        </w:tc>
      </w:tr>
      <w:tr>
        <w:tc>
          <w:tcPr>
            <w:tcW w:type="dxa" w:w="3662"/>
            <w:tcMar>
              <w:top w:type="dxa" w:w="60"/>
              <w:left w:type="dxa" w:w="90"/>
              <w:bottom w:type="dxa" w:w="60"/>
              <w:right w:type="dxa" w:w="90"/>
            </w:tcMar>
          </w:tcPr>
          <w:p>
            <w:pPr>
              <w:spacing w:after="20" w:before="20"/>
            </w:pPr>
            <w:r>
              <w:rPr>
                <w:sz w:val="19"/>
                <w:szCs w:val="19"/>
              </w:rPr>
              <w:t xml:space="preserve">Overdrive fired while a drift boost is active</w:t>
            </w:r>
          </w:p>
        </w:tc>
        <w:tc>
          <w:tcPr>
            <w:tcW w:type="dxa" w:w="5698"/>
            <w:tcMar>
              <w:top w:type="dxa" w:w="60"/>
              <w:left w:type="dxa" w:w="90"/>
              <w:bottom w:type="dxa" w:w="60"/>
              <w:right w:type="dxa" w:w="90"/>
            </w:tcMar>
          </w:tcPr>
          <w:p>
            <w:pPr>
              <w:spacing w:after="20" w:before="20"/>
            </w:pPr>
            <w:r>
              <w:rPr>
                <w:sz w:val="19"/>
                <w:szCs w:val="19"/>
              </w:rPr>
              <w:t xml:space="preserve">One chain link taking the higher multiplier, per the foundation. Never additive</w:t>
            </w:r>
          </w:p>
        </w:tc>
      </w:tr>
      <w:tr>
        <w:tc>
          <w:tcPr>
            <w:tcW w:type="dxa" w:w="3662"/>
            <w:tcMar>
              <w:top w:type="dxa" w:w="60"/>
              <w:left w:type="dxa" w:w="90"/>
              <w:bottom w:type="dxa" w:w="60"/>
              <w:right w:type="dxa" w:w="90"/>
            </w:tcMar>
          </w:tcPr>
          <w:p>
            <w:pPr>
              <w:spacing w:after="20" w:before="20"/>
            </w:pPr>
            <w:r>
              <w:rPr>
                <w:sz w:val="19"/>
                <w:szCs w:val="19"/>
              </w:rPr>
              <w:t xml:space="preserve">Oil dropped under the dropper</w:t>
            </w:r>
          </w:p>
        </w:tc>
        <w:tc>
          <w:tcPr>
            <w:tcW w:type="dxa" w:w="5698"/>
            <w:tcMar>
              <w:top w:type="dxa" w:w="60"/>
              <w:left w:type="dxa" w:w="90"/>
              <w:bottom w:type="dxa" w:w="60"/>
              <w:right w:type="dxa" w:w="90"/>
            </w:tcMar>
          </w:tcPr>
          <w:p>
            <w:pPr>
              <w:spacing w:after="20" w:before="20"/>
            </w:pPr>
            <w:r>
              <w:rPr>
                <w:sz w:val="19"/>
                <w:szCs w:val="19"/>
              </w:rPr>
              <w:t xml:space="preserve">They drive onto their own oil. Legitimate and funny — no exclusion rule</w:t>
            </w:r>
          </w:p>
        </w:tc>
      </w:tr>
      <w:tr>
        <w:tc>
          <w:tcPr>
            <w:tcW w:type="dxa" w:w="3662"/>
            <w:tcMar>
              <w:top w:type="dxa" w:w="60"/>
              <w:left w:type="dxa" w:w="90"/>
              <w:bottom w:type="dxa" w:w="60"/>
              <w:right w:type="dxa" w:w="90"/>
            </w:tcMar>
          </w:tcPr>
          <w:p>
            <w:pPr>
              <w:spacing w:after="20" w:before="20"/>
            </w:pPr>
            <w:r>
              <w:rPr>
                <w:sz w:val="19"/>
                <w:szCs w:val="19"/>
              </w:rPr>
              <w:t xml:space="preserve">Two oil patches overlap</w:t>
            </w:r>
          </w:p>
        </w:tc>
        <w:tc>
          <w:tcPr>
            <w:tcW w:type="dxa" w:w="5698"/>
            <w:tcMar>
              <w:top w:type="dxa" w:w="60"/>
              <w:left w:type="dxa" w:w="90"/>
              <w:bottom w:type="dxa" w:w="60"/>
              <w:right w:type="dxa" w:w="90"/>
            </w:tcMar>
          </w:tcPr>
          <w:p>
            <w:pPr>
              <w:spacing w:after="20" w:before="20"/>
            </w:pPr>
            <w:r>
              <w:rPr>
                <w:sz w:val="19"/>
                <w:szCs w:val="19"/>
              </w:rPr>
              <w:t xml:space="preserve">Surfaces do not stack; the probe majority rule resolves a single tag, per the Drive Model</w:t>
            </w:r>
          </w:p>
        </w:tc>
      </w:tr>
      <w:tr>
        <w:tc>
          <w:tcPr>
            <w:tcW w:type="dxa" w:w="3662"/>
            <w:tcMar>
              <w:top w:type="dxa" w:w="60"/>
              <w:left w:type="dxa" w:w="90"/>
              <w:bottom w:type="dxa" w:w="60"/>
              <w:right w:type="dxa" w:w="90"/>
            </w:tcMar>
          </w:tcPr>
          <w:p>
            <w:pPr>
              <w:spacing w:after="20" w:before="20"/>
            </w:pPr>
            <w:r>
              <w:rPr>
                <w:sz w:val="19"/>
                <w:szCs w:val="19"/>
              </w:rPr>
              <w:t xml:space="preserve">Repulse fired with nobody nearby</w:t>
            </w:r>
          </w:p>
        </w:tc>
        <w:tc>
          <w:tcPr>
            <w:tcW w:type="dxa" w:w="5698"/>
            <w:tcMar>
              <w:top w:type="dxa" w:w="60"/>
              <w:left w:type="dxa" w:w="90"/>
              <w:bottom w:type="dxa" w:w="60"/>
              <w:right w:type="dxa" w:w="90"/>
            </w:tcMar>
          </w:tcPr>
          <w:p>
            <w:pPr>
              <w:spacing w:after="20" w:before="20"/>
            </w:pPr>
            <w:r>
              <w:rPr>
                <w:sz w:val="19"/>
                <w:szCs w:val="19"/>
              </w:rPr>
              <w:t xml:space="preserve">Fires, does nothing, is consumed. No refund — committing the item is the decision</w:t>
            </w:r>
          </w:p>
        </w:tc>
      </w:tr>
      <w:tr>
        <w:tc>
          <w:tcPr>
            <w:tcW w:type="dxa" w:w="3662"/>
            <w:tcMar>
              <w:top w:type="dxa" w:w="60"/>
              <w:left w:type="dxa" w:w="90"/>
              <w:bottom w:type="dxa" w:w="60"/>
              <w:right w:type="dxa" w:w="90"/>
            </w:tcMar>
          </w:tcPr>
          <w:p>
            <w:pPr>
              <w:spacing w:after="20" w:before="20"/>
            </w:pPr>
            <w:r>
              <w:rPr>
                <w:sz w:val="19"/>
                <w:szCs w:val="19"/>
              </w:rPr>
              <w:t xml:space="preserve">Repulse shoves the Crown holder</w:t>
            </w:r>
          </w:p>
        </w:tc>
        <w:tc>
          <w:tcPr>
            <w:tcW w:type="dxa" w:w="5698"/>
            <w:tcMar>
              <w:top w:type="dxa" w:w="60"/>
              <w:left w:type="dxa" w:w="90"/>
              <w:bottom w:type="dxa" w:w="60"/>
              <w:right w:type="dxa" w:w="90"/>
            </w:tcMar>
          </w:tcPr>
          <w:p>
            <w:pPr>
              <w:spacing w:after="20" w:before="20"/>
            </w:pPr>
            <w:r>
              <w:rPr>
                <w:sz w:val="19"/>
                <w:szCs w:val="19"/>
              </w:rPr>
              <w:t xml:space="preserve">Physics only. A shove has no aggressor doing the closing, so it never transfers the Crown</w:t>
            </w:r>
          </w:p>
        </w:tc>
      </w:tr>
      <w:tr>
        <w:tc>
          <w:tcPr>
            <w:tcW w:type="dxa" w:w="3662"/>
            <w:tcMar>
              <w:top w:type="dxa" w:w="60"/>
              <w:left w:type="dxa" w:w="90"/>
              <w:bottom w:type="dxa" w:w="60"/>
              <w:right w:type="dxa" w:w="90"/>
            </w:tcMar>
          </w:tcPr>
          <w:p>
            <w:pPr>
              <w:spacing w:after="20" w:before="20"/>
            </w:pPr>
            <w:r>
              <w:rPr>
                <w:sz w:val="19"/>
                <w:szCs w:val="19"/>
              </w:rPr>
              <w:t xml:space="preserve">An effect is active when the round ends</w:t>
            </w:r>
          </w:p>
        </w:tc>
        <w:tc>
          <w:tcPr>
            <w:tcW w:type="dxa" w:w="5698"/>
            <w:tcMar>
              <w:top w:type="dxa" w:w="60"/>
              <w:left w:type="dxa" w:w="90"/>
              <w:bottom w:type="dxa" w:w="60"/>
              <w:right w:type="dxa" w:w="90"/>
            </w:tcMar>
          </w:tcPr>
          <w:p>
            <w:pPr>
              <w:spacing w:after="20" w:before="20"/>
            </w:pPr>
            <w:r>
              <w:rPr>
                <w:sz w:val="19"/>
                <w:szCs w:val="19"/>
              </w:rPr>
              <w:t xml:space="preserve">Nothing special. Modifier sets are cleared on scene teardown, per Handling Profiles</w:t>
            </w:r>
          </w:p>
        </w:tc>
      </w:tr>
      <w:tr>
        <w:tc>
          <w:tcPr>
            <w:tcW w:type="dxa" w:w="3662"/>
            <w:tcMar>
              <w:top w:type="dxa" w:w="60"/>
              <w:left w:type="dxa" w:w="90"/>
              <w:bottom w:type="dxa" w:w="60"/>
              <w:right w:type="dxa" w:w="90"/>
            </w:tcMar>
          </w:tcPr>
          <w:p>
            <w:pPr>
              <w:spacing w:after="20" w:before="20"/>
            </w:pPr>
            <w:r>
              <w:rPr>
                <w:sz w:val="19"/>
                <w:szCs w:val="19"/>
              </w:rPr>
              <w:t xml:space="preserve">A player is spun out holding an item</w:t>
            </w:r>
          </w:p>
        </w:tc>
        <w:tc>
          <w:tcPr>
            <w:tcW w:type="dxa" w:w="5698"/>
            <w:tcMar>
              <w:top w:type="dxa" w:w="60"/>
              <w:left w:type="dxa" w:w="90"/>
              <w:bottom w:type="dxa" w:w="60"/>
              <w:right w:type="dxa" w:w="90"/>
            </w:tcMar>
          </w:tcPr>
          <w:p>
            <w:pPr>
              <w:spacing w:after="20" w:before="20"/>
            </w:pPr>
            <w:r>
              <w:rPr>
                <w:sz w:val="19"/>
                <w:szCs w:val="19"/>
              </w:rPr>
              <w:t xml:space="preserve">Keeps it. The slot is unaffected by recovery states</w:t>
            </w:r>
          </w:p>
        </w:tc>
      </w:tr>
      <w:tr>
        <w:tc>
          <w:tcPr>
            <w:tcW w:type="dxa" w:w="3662"/>
            <w:tcMar>
              <w:top w:type="dxa" w:w="60"/>
              <w:left w:type="dxa" w:w="90"/>
              <w:bottom w:type="dxa" w:w="60"/>
              <w:right w:type="dxa" w:w="90"/>
            </w:tcMar>
          </w:tcPr>
          <w:p>
            <w:pPr>
              <w:spacing w:after="20" w:before="20"/>
            </w:pPr>
            <w:r>
              <w:rPr>
                <w:sz w:val="19"/>
                <w:szCs w:val="19"/>
              </w:rPr>
              <w:t xml:space="preserve">A bot picks up a crate</w:t>
            </w:r>
          </w:p>
        </w:tc>
        <w:tc>
          <w:tcPr>
            <w:tcW w:type="dxa" w:w="5698"/>
            <w:tcMar>
              <w:top w:type="dxa" w:w="60"/>
              <w:left w:type="dxa" w:w="90"/>
              <w:bottom w:type="dxa" w:w="60"/>
              <w:right w:type="dxa" w:w="90"/>
            </w:tcMar>
          </w:tcPr>
          <w:p>
            <w:pPr>
              <w:spacing w:after="20" w:before="20"/>
            </w:pPr>
            <w:r>
              <w:rPr>
                <w:sz w:val="19"/>
                <w:szCs w:val="19"/>
              </w:rPr>
              <w:t xml:space="preserve">Same pools and same weights as a player. Bots fire whatever they roll, immediately — see FD-07</w:t>
            </w:r>
          </w:p>
        </w:tc>
      </w:tr>
    </w:tbl>
    <w:p>
      <w:pPr>
        <w:spacing w:after="1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1"/>
        <w:szCs w:val="21"/>
      </w:rPr>
    </w:rPrDefault>
    <w:pPrDefault>
      <w:pPr>
        <w:spacing w:line="264" w:lineRule="auto"/>
      </w:pPr>
    </w:pPrDefault>
  </w:docDefaults>
  <w:style w:type="paragraph" w:styleId="Title">
    <w:name w:val="Title"/>
    <w:basedOn w:val="Normal"/>
    <w:next w:val="Normal"/>
    <w:qFormat/>
    <w:rPr>
      <w:rFonts w:ascii="Calibri" w:cs="Calibri" w:eastAsia="Calibri" w:hAnsi="Calibri"/>
      <w:b/>
      <w:bCs/>
      <w:color w:val="16324F"/>
      <w:sz w:val="40"/>
      <w:szCs w:val="40"/>
    </w:rPr>
  </w:style>
  <w:style w:type="paragraph" w:styleId="Heading1">
    <w:name w:val="Heading 1"/>
    <w:basedOn w:val="Normal"/>
    <w:next w:val="Normal"/>
    <w:qFormat/>
    <w:rPr>
      <w:rFonts w:ascii="Calibri" w:cs="Calibri" w:eastAsia="Calibri" w:hAnsi="Calibri"/>
      <w:b/>
      <w:bCs/>
      <w:color w:val="16324F"/>
      <w:sz w:val="30"/>
      <w:szCs w:val="30"/>
    </w:rPr>
  </w:style>
  <w:style w:type="paragraph" w:styleId="Heading2">
    <w:name w:val="Heading 2"/>
    <w:basedOn w:val="Normal"/>
    <w:next w:val="Normal"/>
    <w:qFormat/>
    <w:rPr>
      <w:rFonts w:ascii="Calibri" w:cs="Calibri" w:eastAsia="Calibri" w:hAnsi="Calibri"/>
      <w:b/>
      <w:bCs/>
      <w:color w:val="2E4A66"/>
      <w:sz w:val="24"/>
      <w:szCs w:val="24"/>
    </w:rPr>
  </w:style>
  <w:style w:type="paragraph" w:styleId="Heading3">
    <w:name w:val="Heading 3"/>
    <w:basedOn w:val="Normal"/>
    <w:next w:val="Normal"/>
    <w:qFormat/>
    <w:rPr>
      <w:rFonts w:ascii="Calibri" w:cs="Calibri" w:eastAsia="Calibri" w:hAnsi="Calibri"/>
      <w:b/>
      <w:bCs/>
      <w:color w:val="2E4A66"/>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image" Target="media/c9bdd54fc142c2465f91401ea219d5e9b104fc65.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CA3E04-47B0-41C7-9DE4-B271B4F683C9}"/>
</file>

<file path=customXml/itemProps2.xml><?xml version="1.0" encoding="utf-8"?>
<ds:datastoreItem xmlns:ds="http://schemas.openxmlformats.org/officeDocument/2006/customXml" ds:itemID="{4FF429AB-5CCC-4E2A-ABEF-084453B9AE97}"/>
</file>

<file path=customXml/itemProps3.xml><?xml version="1.0" encoding="utf-8"?>
<ds:datastoreItem xmlns:ds="http://schemas.openxmlformats.org/officeDocument/2006/customXml" ds:itemID="{F7BC4D1B-428D-4F06-A21D-805D051858D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2026-09-02T12:52:40Z</dcterms:created>
  <dcterms:modified xsi:type="dcterms:W3CDTF">2026-09-02T12:52:40Z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