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1929" w:rsidRDefault="00541929" w:rsidP="00C50929">
      <w:pPr>
        <w:pStyle w:val="NormalWeb"/>
      </w:pPr>
    </w:p>
    <w:p w:rsidR="00857333" w:rsidRDefault="0004261B" w:rsidP="0061294B">
      <w:pPr>
        <w:pStyle w:val="Titre"/>
        <w:jc w:val="center"/>
      </w:pPr>
      <w:r>
        <w:t>Compteurs divisionnaires</w:t>
      </w:r>
    </w:p>
    <w:p w:rsidR="00857333" w:rsidRDefault="0004261B" w:rsidP="0061294B">
      <w:pPr>
        <w:pStyle w:val="Titre"/>
        <w:jc w:val="center"/>
      </w:pPr>
      <w:r>
        <w:t>Mode opératoire avec PHASEO</w:t>
      </w:r>
    </w:p>
    <w:p w:rsidR="002D2A66" w:rsidRDefault="002D2A66" w:rsidP="00C50929"/>
    <w:p w:rsidR="00857333" w:rsidRDefault="00857333" w:rsidP="00C50929"/>
    <w:p w:rsidR="00857333" w:rsidRDefault="009112F3" w:rsidP="00C50929">
      <w:r>
        <w:rPr>
          <w:noProof/>
          <w:lang w:eastAsia="fr-FR"/>
        </w:rPr>
        <w:drawing>
          <wp:anchor distT="36576" distB="36576" distL="36576" distR="36576" simplePos="0" relativeHeight="251677696" behindDoc="0" locked="0" layoutInCell="1" allowOverlap="1">
            <wp:simplePos x="0" y="0"/>
            <wp:positionH relativeFrom="column">
              <wp:posOffset>1949450</wp:posOffset>
            </wp:positionH>
            <wp:positionV relativeFrom="paragraph">
              <wp:posOffset>43180</wp:posOffset>
            </wp:positionV>
            <wp:extent cx="2660650" cy="3035300"/>
            <wp:effectExtent l="19050" t="0" r="0" b="0"/>
            <wp:wrapNone/>
            <wp:docPr id="24" name="Image 24" descr="Boite Phaseo 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Boite Phaseo Eau"/>
                    <pic:cNvPicPr>
                      <a:picLocks noChangeAspect="1" noChangeArrowheads="1"/>
                    </pic:cNvPicPr>
                  </pic:nvPicPr>
                  <pic:blipFill>
                    <a:blip r:embed="rId8" cstate="print"/>
                    <a:srcRect/>
                    <a:stretch>
                      <a:fillRect/>
                    </a:stretch>
                  </pic:blipFill>
                  <pic:spPr bwMode="auto">
                    <a:xfrm>
                      <a:off x="0" y="0"/>
                      <a:ext cx="2660650" cy="3035300"/>
                    </a:xfrm>
                    <a:prstGeom prst="rect">
                      <a:avLst/>
                    </a:prstGeom>
                    <a:noFill/>
                    <a:ln w="25400">
                      <a:noFill/>
                      <a:miter lim="800000"/>
                      <a:headEnd/>
                      <a:tailEnd/>
                    </a:ln>
                    <a:effectLst/>
                  </pic:spPr>
                </pic:pic>
              </a:graphicData>
            </a:graphic>
          </wp:anchor>
        </w:drawing>
      </w:r>
    </w:p>
    <w:p w:rsidR="00857333" w:rsidRDefault="00857333" w:rsidP="00C50929"/>
    <w:p w:rsidR="009112F3" w:rsidRDefault="009112F3" w:rsidP="00C50929"/>
    <w:p w:rsidR="009112F3" w:rsidRDefault="009112F3" w:rsidP="00C50929"/>
    <w:p w:rsidR="009112F3" w:rsidRDefault="009112F3" w:rsidP="00C50929"/>
    <w:p w:rsidR="009112F3" w:rsidRDefault="009112F3" w:rsidP="00C50929"/>
    <w:p w:rsidR="009112F3" w:rsidRDefault="009112F3" w:rsidP="00C50929"/>
    <w:p w:rsidR="009112F3" w:rsidRDefault="009112F3" w:rsidP="00C50929"/>
    <w:p w:rsidR="009112F3" w:rsidRDefault="009112F3" w:rsidP="00C50929"/>
    <w:p w:rsidR="009112F3" w:rsidRDefault="009112F3" w:rsidP="00C50929"/>
    <w:p w:rsidR="009112F3" w:rsidRDefault="009112F3" w:rsidP="00C50929"/>
    <w:p w:rsidR="009112F3" w:rsidRDefault="009112F3" w:rsidP="00C50929"/>
    <w:p w:rsidR="009112F3" w:rsidRDefault="009112F3" w:rsidP="00C50929"/>
    <w:p w:rsidR="009112F3" w:rsidRDefault="009112F3" w:rsidP="00C50929"/>
    <w:p w:rsidR="009112F3" w:rsidRDefault="009112F3" w:rsidP="00C50929"/>
    <w:p w:rsidR="009112F3" w:rsidRDefault="009112F3" w:rsidP="00C50929"/>
    <w:p w:rsidR="009112F3" w:rsidRDefault="009112F3" w:rsidP="00C50929"/>
    <w:p w:rsidR="009112F3" w:rsidRDefault="009112F3" w:rsidP="00C50929"/>
    <w:p w:rsidR="009112F3" w:rsidRDefault="009112F3" w:rsidP="00C50929"/>
    <w:p w:rsidR="00857333" w:rsidRDefault="00857333" w:rsidP="00C50929"/>
    <w:p w:rsidR="00541929" w:rsidRDefault="00541929" w:rsidP="00C50929"/>
    <w:tbl>
      <w:tblPr>
        <w:tblStyle w:val="Grilledutableau"/>
        <w:tblW w:w="0" w:type="auto"/>
        <w:tblLook w:val="04A0"/>
      </w:tblPr>
      <w:tblGrid>
        <w:gridCol w:w="1384"/>
        <w:gridCol w:w="1559"/>
        <w:gridCol w:w="1560"/>
        <w:gridCol w:w="4819"/>
      </w:tblGrid>
      <w:tr w:rsidR="009112F3" w:rsidRPr="00830035" w:rsidTr="003753CC">
        <w:tc>
          <w:tcPr>
            <w:tcW w:w="1384" w:type="dxa"/>
          </w:tcPr>
          <w:p w:rsidR="009112F3" w:rsidRPr="00830035" w:rsidRDefault="00A1405A" w:rsidP="003753CC">
            <w:pPr>
              <w:pStyle w:val="NormalWeb"/>
            </w:pPr>
            <w:r>
              <w:br w:type="page"/>
            </w:r>
            <w:r w:rsidR="009112F3" w:rsidRPr="00830035">
              <w:t>Créée par</w:t>
            </w:r>
          </w:p>
        </w:tc>
        <w:tc>
          <w:tcPr>
            <w:tcW w:w="1559" w:type="dxa"/>
          </w:tcPr>
          <w:p w:rsidR="009112F3" w:rsidRPr="00830035" w:rsidRDefault="009112F3" w:rsidP="003753CC">
            <w:pPr>
              <w:pStyle w:val="NormalWeb"/>
            </w:pPr>
            <w:r w:rsidRPr="00830035">
              <w:t>Bertrand MEDINA</w:t>
            </w:r>
          </w:p>
        </w:tc>
        <w:tc>
          <w:tcPr>
            <w:tcW w:w="1560" w:type="dxa"/>
          </w:tcPr>
          <w:p w:rsidR="009112F3" w:rsidRDefault="009112F3" w:rsidP="003753CC">
            <w:pPr>
              <w:pStyle w:val="NormalWeb"/>
            </w:pPr>
            <w:r>
              <w:t>16 mai 2012</w:t>
            </w:r>
          </w:p>
          <w:p w:rsidR="009112F3" w:rsidRPr="00830035" w:rsidRDefault="009112F3" w:rsidP="003753CC">
            <w:pPr>
              <w:pStyle w:val="NormalWeb"/>
            </w:pPr>
          </w:p>
        </w:tc>
        <w:tc>
          <w:tcPr>
            <w:tcW w:w="4819" w:type="dxa"/>
          </w:tcPr>
          <w:p w:rsidR="009112F3" w:rsidRPr="00830035" w:rsidRDefault="009112F3" w:rsidP="003753CC">
            <w:pPr>
              <w:pStyle w:val="NormalWeb"/>
            </w:pPr>
            <w:r>
              <w:t>Création de document</w:t>
            </w:r>
          </w:p>
        </w:tc>
      </w:tr>
      <w:tr w:rsidR="009112F3" w:rsidRPr="00830035" w:rsidTr="003753CC">
        <w:tc>
          <w:tcPr>
            <w:tcW w:w="1384" w:type="dxa"/>
          </w:tcPr>
          <w:p w:rsidR="009112F3" w:rsidRPr="00830035" w:rsidRDefault="009112F3" w:rsidP="003753CC">
            <w:pPr>
              <w:pStyle w:val="NormalWeb"/>
            </w:pPr>
            <w:r>
              <w:t>Modifié par</w:t>
            </w:r>
          </w:p>
        </w:tc>
        <w:tc>
          <w:tcPr>
            <w:tcW w:w="1559" w:type="dxa"/>
          </w:tcPr>
          <w:p w:rsidR="009112F3" w:rsidRPr="00830035" w:rsidRDefault="009112F3" w:rsidP="003753CC">
            <w:pPr>
              <w:pStyle w:val="NormalWeb"/>
            </w:pPr>
            <w:r w:rsidRPr="00830035">
              <w:t>Bertrand MEDINA</w:t>
            </w:r>
          </w:p>
        </w:tc>
        <w:tc>
          <w:tcPr>
            <w:tcW w:w="1560" w:type="dxa"/>
          </w:tcPr>
          <w:p w:rsidR="009112F3" w:rsidRPr="00830035" w:rsidRDefault="009112F3" w:rsidP="003753CC">
            <w:pPr>
              <w:pStyle w:val="NormalWeb"/>
            </w:pPr>
            <w:r>
              <w:t>10 mai 2015</w:t>
            </w:r>
          </w:p>
        </w:tc>
        <w:tc>
          <w:tcPr>
            <w:tcW w:w="4819" w:type="dxa"/>
          </w:tcPr>
          <w:p w:rsidR="009112F3" w:rsidRPr="00830035" w:rsidRDefault="009112F3" w:rsidP="003753CC">
            <w:pPr>
              <w:pStyle w:val="NormalWeb"/>
            </w:pPr>
            <w:r>
              <w:t>Mise à jour</w:t>
            </w:r>
          </w:p>
        </w:tc>
      </w:tr>
      <w:tr w:rsidR="0061294B" w:rsidRPr="00830035" w:rsidTr="003753CC">
        <w:tc>
          <w:tcPr>
            <w:tcW w:w="1384" w:type="dxa"/>
          </w:tcPr>
          <w:p w:rsidR="0061294B" w:rsidRDefault="0061294B" w:rsidP="003753CC">
            <w:pPr>
              <w:pStyle w:val="NormalWeb"/>
            </w:pPr>
            <w:r>
              <w:t>Modifié par</w:t>
            </w:r>
          </w:p>
        </w:tc>
        <w:tc>
          <w:tcPr>
            <w:tcW w:w="1559" w:type="dxa"/>
          </w:tcPr>
          <w:p w:rsidR="0061294B" w:rsidRPr="00830035" w:rsidRDefault="0061294B" w:rsidP="003753CC">
            <w:pPr>
              <w:pStyle w:val="NormalWeb"/>
            </w:pPr>
            <w:r w:rsidRPr="00830035">
              <w:t>Bertrand MEDINA</w:t>
            </w:r>
          </w:p>
        </w:tc>
        <w:tc>
          <w:tcPr>
            <w:tcW w:w="1560" w:type="dxa"/>
          </w:tcPr>
          <w:p w:rsidR="0061294B" w:rsidRDefault="0061294B" w:rsidP="003753CC">
            <w:pPr>
              <w:pStyle w:val="NormalWeb"/>
            </w:pPr>
            <w:r>
              <w:t>17 octobre 2018</w:t>
            </w:r>
          </w:p>
        </w:tc>
        <w:tc>
          <w:tcPr>
            <w:tcW w:w="4819" w:type="dxa"/>
          </w:tcPr>
          <w:p w:rsidR="0061294B" w:rsidRDefault="0061294B" w:rsidP="003753CC">
            <w:pPr>
              <w:pStyle w:val="NormalWeb"/>
            </w:pPr>
            <w:r>
              <w:t>Mise à jour</w:t>
            </w:r>
          </w:p>
        </w:tc>
      </w:tr>
    </w:tbl>
    <w:p w:rsidR="009112F3" w:rsidRDefault="009112F3" w:rsidP="00C50929"/>
    <w:p w:rsidR="008E44F1" w:rsidRDefault="009112F3" w:rsidP="00572DF6">
      <w:pPr>
        <w:spacing w:after="200"/>
      </w:pPr>
      <w:r>
        <w:br w:type="page"/>
      </w:r>
    </w:p>
    <w:sdt>
      <w:sdtPr>
        <w:rPr>
          <w:rFonts w:asciiTheme="minorHAnsi" w:eastAsiaTheme="minorHAnsi" w:hAnsiTheme="minorHAnsi" w:cstheme="minorBidi"/>
          <w:b w:val="0"/>
          <w:bCs w:val="0"/>
          <w:color w:val="auto"/>
          <w:sz w:val="22"/>
          <w:szCs w:val="22"/>
          <w:u w:val="none"/>
        </w:rPr>
        <w:id w:val="865487677"/>
        <w:docPartObj>
          <w:docPartGallery w:val="Table of Contents"/>
          <w:docPartUnique/>
        </w:docPartObj>
      </w:sdtPr>
      <w:sdtContent>
        <w:p w:rsidR="009112F3" w:rsidRDefault="009112F3">
          <w:pPr>
            <w:pStyle w:val="En-ttedetabledesmatires"/>
          </w:pPr>
          <w:r>
            <w:t>Sommaire</w:t>
          </w:r>
        </w:p>
        <w:p w:rsidR="00F936C0" w:rsidRDefault="006D0FEF">
          <w:pPr>
            <w:pStyle w:val="TM1"/>
            <w:tabs>
              <w:tab w:val="left" w:pos="440"/>
              <w:tab w:val="right" w:leader="dot" w:pos="10456"/>
            </w:tabs>
            <w:rPr>
              <w:rFonts w:eastAsiaTheme="minorEastAsia"/>
              <w:noProof/>
              <w:lang w:eastAsia="fr-FR"/>
            </w:rPr>
          </w:pPr>
          <w:r>
            <w:fldChar w:fldCharType="begin"/>
          </w:r>
          <w:r w:rsidR="009112F3">
            <w:instrText xml:space="preserve"> TOC \o "1-3" \h \z \u </w:instrText>
          </w:r>
          <w:r>
            <w:fldChar w:fldCharType="separate"/>
          </w:r>
          <w:hyperlink w:anchor="_Toc420686933" w:history="1">
            <w:r w:rsidR="00F936C0" w:rsidRPr="00CF6B5B">
              <w:rPr>
                <w:rStyle w:val="Lienhypertexte"/>
                <w:noProof/>
              </w:rPr>
              <w:t>2.</w:t>
            </w:r>
            <w:r w:rsidR="00F936C0">
              <w:rPr>
                <w:rFonts w:eastAsiaTheme="minorEastAsia"/>
                <w:noProof/>
                <w:lang w:eastAsia="fr-FR"/>
              </w:rPr>
              <w:tab/>
            </w:r>
            <w:r w:rsidR="00F936C0" w:rsidRPr="00CF6B5B">
              <w:rPr>
                <w:rStyle w:val="Lienhypertexte"/>
                <w:noProof/>
              </w:rPr>
              <w:t>Introduction</w:t>
            </w:r>
            <w:r w:rsidR="00F936C0">
              <w:rPr>
                <w:noProof/>
                <w:webHidden/>
              </w:rPr>
              <w:tab/>
            </w:r>
            <w:r>
              <w:rPr>
                <w:noProof/>
                <w:webHidden/>
              </w:rPr>
              <w:fldChar w:fldCharType="begin"/>
            </w:r>
            <w:r w:rsidR="00F936C0">
              <w:rPr>
                <w:noProof/>
                <w:webHidden/>
              </w:rPr>
              <w:instrText xml:space="preserve"> PAGEREF _Toc420686933 \h </w:instrText>
            </w:r>
            <w:r>
              <w:rPr>
                <w:noProof/>
                <w:webHidden/>
              </w:rPr>
            </w:r>
            <w:r>
              <w:rPr>
                <w:noProof/>
                <w:webHidden/>
              </w:rPr>
              <w:fldChar w:fldCharType="separate"/>
            </w:r>
            <w:r w:rsidR="00B34A70">
              <w:rPr>
                <w:noProof/>
                <w:webHidden/>
              </w:rPr>
              <w:t>3</w:t>
            </w:r>
            <w:r>
              <w:rPr>
                <w:noProof/>
                <w:webHidden/>
              </w:rPr>
              <w:fldChar w:fldCharType="end"/>
            </w:r>
          </w:hyperlink>
        </w:p>
        <w:p w:rsidR="00F936C0" w:rsidRDefault="006D0FEF">
          <w:pPr>
            <w:pStyle w:val="TM1"/>
            <w:tabs>
              <w:tab w:val="left" w:pos="440"/>
              <w:tab w:val="right" w:leader="dot" w:pos="10456"/>
            </w:tabs>
            <w:rPr>
              <w:rFonts w:eastAsiaTheme="minorEastAsia"/>
              <w:noProof/>
              <w:lang w:eastAsia="fr-FR"/>
            </w:rPr>
          </w:pPr>
          <w:hyperlink w:anchor="_Toc420686934" w:history="1">
            <w:r w:rsidR="00F936C0" w:rsidRPr="00CF6B5B">
              <w:rPr>
                <w:rStyle w:val="Lienhypertexte"/>
                <w:noProof/>
              </w:rPr>
              <w:t>3.</w:t>
            </w:r>
            <w:r w:rsidR="00F936C0">
              <w:rPr>
                <w:rFonts w:eastAsiaTheme="minorEastAsia"/>
                <w:noProof/>
                <w:lang w:eastAsia="fr-FR"/>
              </w:rPr>
              <w:tab/>
            </w:r>
            <w:r w:rsidR="00F936C0" w:rsidRPr="00CF6B5B">
              <w:rPr>
                <w:rStyle w:val="Lienhypertexte"/>
                <w:noProof/>
              </w:rPr>
              <w:t>Liens entre compteurs divisionnaires et généraux</w:t>
            </w:r>
            <w:r w:rsidR="00F936C0">
              <w:rPr>
                <w:noProof/>
                <w:webHidden/>
              </w:rPr>
              <w:tab/>
            </w:r>
            <w:r>
              <w:rPr>
                <w:noProof/>
                <w:webHidden/>
              </w:rPr>
              <w:fldChar w:fldCharType="begin"/>
            </w:r>
            <w:r w:rsidR="00F936C0">
              <w:rPr>
                <w:noProof/>
                <w:webHidden/>
              </w:rPr>
              <w:instrText xml:space="preserve"> PAGEREF _Toc420686934 \h </w:instrText>
            </w:r>
            <w:r>
              <w:rPr>
                <w:noProof/>
                <w:webHidden/>
              </w:rPr>
            </w:r>
            <w:r>
              <w:rPr>
                <w:noProof/>
                <w:webHidden/>
              </w:rPr>
              <w:fldChar w:fldCharType="separate"/>
            </w:r>
            <w:r w:rsidR="00B34A70">
              <w:rPr>
                <w:noProof/>
                <w:webHidden/>
              </w:rPr>
              <w:t>4</w:t>
            </w:r>
            <w:r>
              <w:rPr>
                <w:noProof/>
                <w:webHidden/>
              </w:rPr>
              <w:fldChar w:fldCharType="end"/>
            </w:r>
          </w:hyperlink>
        </w:p>
        <w:p w:rsidR="00F936C0" w:rsidRDefault="006D0FEF">
          <w:pPr>
            <w:pStyle w:val="TM2"/>
            <w:tabs>
              <w:tab w:val="right" w:leader="dot" w:pos="10456"/>
            </w:tabs>
            <w:rPr>
              <w:rFonts w:eastAsiaTheme="minorEastAsia"/>
              <w:noProof/>
              <w:lang w:eastAsia="fr-FR"/>
            </w:rPr>
          </w:pPr>
          <w:hyperlink w:anchor="_Toc420686935" w:history="1">
            <w:r w:rsidR="00F936C0" w:rsidRPr="00CF6B5B">
              <w:rPr>
                <w:rStyle w:val="Lienhypertexte"/>
                <w:noProof/>
              </w:rPr>
              <w:t>Définir un compteur général pour un PDC</w:t>
            </w:r>
            <w:r w:rsidR="00F936C0">
              <w:rPr>
                <w:noProof/>
                <w:webHidden/>
              </w:rPr>
              <w:tab/>
            </w:r>
            <w:r>
              <w:rPr>
                <w:noProof/>
                <w:webHidden/>
              </w:rPr>
              <w:fldChar w:fldCharType="begin"/>
            </w:r>
            <w:r w:rsidR="00F936C0">
              <w:rPr>
                <w:noProof/>
                <w:webHidden/>
              </w:rPr>
              <w:instrText xml:space="preserve"> PAGEREF _Toc420686935 \h </w:instrText>
            </w:r>
            <w:r>
              <w:rPr>
                <w:noProof/>
                <w:webHidden/>
              </w:rPr>
            </w:r>
            <w:r>
              <w:rPr>
                <w:noProof/>
                <w:webHidden/>
              </w:rPr>
              <w:fldChar w:fldCharType="separate"/>
            </w:r>
            <w:r w:rsidR="00B34A70">
              <w:rPr>
                <w:noProof/>
                <w:webHidden/>
              </w:rPr>
              <w:t>5</w:t>
            </w:r>
            <w:r>
              <w:rPr>
                <w:noProof/>
                <w:webHidden/>
              </w:rPr>
              <w:fldChar w:fldCharType="end"/>
            </w:r>
          </w:hyperlink>
        </w:p>
        <w:p w:rsidR="00F936C0" w:rsidRDefault="006D0FEF">
          <w:pPr>
            <w:pStyle w:val="TM2"/>
            <w:tabs>
              <w:tab w:val="right" w:leader="dot" w:pos="10456"/>
            </w:tabs>
            <w:rPr>
              <w:rFonts w:eastAsiaTheme="minorEastAsia"/>
              <w:noProof/>
              <w:lang w:eastAsia="fr-FR"/>
            </w:rPr>
          </w:pPr>
          <w:hyperlink w:anchor="_Toc420686936" w:history="1">
            <w:r w:rsidR="00F936C0" w:rsidRPr="00CF6B5B">
              <w:rPr>
                <w:rStyle w:val="Lienhypertexte"/>
                <w:noProof/>
              </w:rPr>
              <w:t>Ajouter des divisionnaire à un compteur général</w:t>
            </w:r>
            <w:r w:rsidR="00F936C0">
              <w:rPr>
                <w:noProof/>
                <w:webHidden/>
              </w:rPr>
              <w:tab/>
            </w:r>
            <w:r>
              <w:rPr>
                <w:noProof/>
                <w:webHidden/>
              </w:rPr>
              <w:fldChar w:fldCharType="begin"/>
            </w:r>
            <w:r w:rsidR="00F936C0">
              <w:rPr>
                <w:noProof/>
                <w:webHidden/>
              </w:rPr>
              <w:instrText xml:space="preserve"> PAGEREF _Toc420686936 \h </w:instrText>
            </w:r>
            <w:r>
              <w:rPr>
                <w:noProof/>
                <w:webHidden/>
              </w:rPr>
            </w:r>
            <w:r>
              <w:rPr>
                <w:noProof/>
                <w:webHidden/>
              </w:rPr>
              <w:fldChar w:fldCharType="separate"/>
            </w:r>
            <w:r w:rsidR="00B34A70">
              <w:rPr>
                <w:noProof/>
                <w:webHidden/>
              </w:rPr>
              <w:t>6</w:t>
            </w:r>
            <w:r>
              <w:rPr>
                <w:noProof/>
                <w:webHidden/>
              </w:rPr>
              <w:fldChar w:fldCharType="end"/>
            </w:r>
          </w:hyperlink>
        </w:p>
        <w:p w:rsidR="00F936C0" w:rsidRDefault="006D0FEF">
          <w:pPr>
            <w:pStyle w:val="TM3"/>
            <w:tabs>
              <w:tab w:val="right" w:leader="dot" w:pos="10456"/>
            </w:tabs>
            <w:rPr>
              <w:rFonts w:eastAsiaTheme="minorEastAsia"/>
              <w:noProof/>
              <w:lang w:eastAsia="fr-FR"/>
            </w:rPr>
          </w:pPr>
          <w:hyperlink w:anchor="_Toc420686937" w:history="1">
            <w:r w:rsidR="00F936C0" w:rsidRPr="00CF6B5B">
              <w:rPr>
                <w:rStyle w:val="Lienhypertexte"/>
                <w:noProof/>
              </w:rPr>
              <w:t>Ajout de divisionnaires avec la même adresse</w:t>
            </w:r>
            <w:r w:rsidR="00F936C0">
              <w:rPr>
                <w:noProof/>
                <w:webHidden/>
              </w:rPr>
              <w:tab/>
            </w:r>
            <w:r>
              <w:rPr>
                <w:noProof/>
                <w:webHidden/>
              </w:rPr>
              <w:fldChar w:fldCharType="begin"/>
            </w:r>
            <w:r w:rsidR="00F936C0">
              <w:rPr>
                <w:noProof/>
                <w:webHidden/>
              </w:rPr>
              <w:instrText xml:space="preserve"> PAGEREF _Toc420686937 \h </w:instrText>
            </w:r>
            <w:r>
              <w:rPr>
                <w:noProof/>
                <w:webHidden/>
              </w:rPr>
            </w:r>
            <w:r>
              <w:rPr>
                <w:noProof/>
                <w:webHidden/>
              </w:rPr>
              <w:fldChar w:fldCharType="separate"/>
            </w:r>
            <w:r w:rsidR="00B34A70">
              <w:rPr>
                <w:noProof/>
                <w:webHidden/>
              </w:rPr>
              <w:t>6</w:t>
            </w:r>
            <w:r>
              <w:rPr>
                <w:noProof/>
                <w:webHidden/>
              </w:rPr>
              <w:fldChar w:fldCharType="end"/>
            </w:r>
          </w:hyperlink>
        </w:p>
        <w:p w:rsidR="00F936C0" w:rsidRDefault="006D0FEF">
          <w:pPr>
            <w:pStyle w:val="TM3"/>
            <w:tabs>
              <w:tab w:val="right" w:leader="dot" w:pos="10456"/>
            </w:tabs>
            <w:rPr>
              <w:rFonts w:eastAsiaTheme="minorEastAsia"/>
              <w:noProof/>
              <w:lang w:eastAsia="fr-FR"/>
            </w:rPr>
          </w:pPr>
          <w:hyperlink w:anchor="_Toc420686938" w:history="1">
            <w:r w:rsidR="00F936C0" w:rsidRPr="00CF6B5B">
              <w:rPr>
                <w:rStyle w:val="Lienhypertexte"/>
                <w:noProof/>
              </w:rPr>
              <w:t>Ajout individuel de divisionnaire</w:t>
            </w:r>
            <w:r w:rsidR="00F936C0">
              <w:rPr>
                <w:noProof/>
                <w:webHidden/>
              </w:rPr>
              <w:tab/>
            </w:r>
            <w:r>
              <w:rPr>
                <w:noProof/>
                <w:webHidden/>
              </w:rPr>
              <w:fldChar w:fldCharType="begin"/>
            </w:r>
            <w:r w:rsidR="00F936C0">
              <w:rPr>
                <w:noProof/>
                <w:webHidden/>
              </w:rPr>
              <w:instrText xml:space="preserve"> PAGEREF _Toc420686938 \h </w:instrText>
            </w:r>
            <w:r>
              <w:rPr>
                <w:noProof/>
                <w:webHidden/>
              </w:rPr>
            </w:r>
            <w:r>
              <w:rPr>
                <w:noProof/>
                <w:webHidden/>
              </w:rPr>
              <w:fldChar w:fldCharType="separate"/>
            </w:r>
            <w:r w:rsidR="00B34A70">
              <w:rPr>
                <w:noProof/>
                <w:webHidden/>
              </w:rPr>
              <w:t>7</w:t>
            </w:r>
            <w:r>
              <w:rPr>
                <w:noProof/>
                <w:webHidden/>
              </w:rPr>
              <w:fldChar w:fldCharType="end"/>
            </w:r>
          </w:hyperlink>
        </w:p>
        <w:p w:rsidR="00F936C0" w:rsidRDefault="006D0FEF">
          <w:pPr>
            <w:pStyle w:val="TM1"/>
            <w:tabs>
              <w:tab w:val="left" w:pos="440"/>
              <w:tab w:val="right" w:leader="dot" w:pos="10456"/>
            </w:tabs>
            <w:rPr>
              <w:rFonts w:eastAsiaTheme="minorEastAsia"/>
              <w:noProof/>
              <w:lang w:eastAsia="fr-FR"/>
            </w:rPr>
          </w:pPr>
          <w:hyperlink w:anchor="_Toc420686939" w:history="1">
            <w:r w:rsidR="00F936C0" w:rsidRPr="00CF6B5B">
              <w:rPr>
                <w:rStyle w:val="Lienhypertexte"/>
                <w:noProof/>
              </w:rPr>
              <w:t>4.</w:t>
            </w:r>
            <w:r w:rsidR="00F936C0">
              <w:rPr>
                <w:rFonts w:eastAsiaTheme="minorEastAsia"/>
                <w:noProof/>
                <w:lang w:eastAsia="fr-FR"/>
              </w:rPr>
              <w:tab/>
            </w:r>
            <w:r w:rsidR="00F936C0" w:rsidRPr="00CF6B5B">
              <w:rPr>
                <w:rStyle w:val="Lienhypertexte"/>
                <w:noProof/>
              </w:rPr>
              <w:t>Suivre l'ensemble des déductions</w:t>
            </w:r>
            <w:r w:rsidR="00F936C0">
              <w:rPr>
                <w:noProof/>
                <w:webHidden/>
              </w:rPr>
              <w:tab/>
            </w:r>
            <w:r>
              <w:rPr>
                <w:noProof/>
                <w:webHidden/>
              </w:rPr>
              <w:fldChar w:fldCharType="begin"/>
            </w:r>
            <w:r w:rsidR="00F936C0">
              <w:rPr>
                <w:noProof/>
                <w:webHidden/>
              </w:rPr>
              <w:instrText xml:space="preserve"> PAGEREF _Toc420686939 \h </w:instrText>
            </w:r>
            <w:r>
              <w:rPr>
                <w:noProof/>
                <w:webHidden/>
              </w:rPr>
            </w:r>
            <w:r>
              <w:rPr>
                <w:noProof/>
                <w:webHidden/>
              </w:rPr>
              <w:fldChar w:fldCharType="separate"/>
            </w:r>
            <w:r w:rsidR="00B34A70">
              <w:rPr>
                <w:noProof/>
                <w:webHidden/>
              </w:rPr>
              <w:t>8</w:t>
            </w:r>
            <w:r>
              <w:rPr>
                <w:noProof/>
                <w:webHidden/>
              </w:rPr>
              <w:fldChar w:fldCharType="end"/>
            </w:r>
          </w:hyperlink>
        </w:p>
        <w:p w:rsidR="00F936C0" w:rsidRDefault="006D0FEF">
          <w:pPr>
            <w:pStyle w:val="TM2"/>
            <w:tabs>
              <w:tab w:val="right" w:leader="dot" w:pos="10456"/>
            </w:tabs>
            <w:rPr>
              <w:rFonts w:eastAsiaTheme="minorEastAsia"/>
              <w:noProof/>
              <w:lang w:eastAsia="fr-FR"/>
            </w:rPr>
          </w:pPr>
          <w:hyperlink w:anchor="_Toc420686940" w:history="1">
            <w:r w:rsidR="00F936C0" w:rsidRPr="00CF6B5B">
              <w:rPr>
                <w:rStyle w:val="Lienhypertexte"/>
                <w:noProof/>
              </w:rPr>
              <w:t>Gérer les PDC divisionnaires</w:t>
            </w:r>
            <w:r w:rsidR="00F936C0">
              <w:rPr>
                <w:noProof/>
                <w:webHidden/>
              </w:rPr>
              <w:tab/>
            </w:r>
            <w:r>
              <w:rPr>
                <w:noProof/>
                <w:webHidden/>
              </w:rPr>
              <w:fldChar w:fldCharType="begin"/>
            </w:r>
            <w:r w:rsidR="00F936C0">
              <w:rPr>
                <w:noProof/>
                <w:webHidden/>
              </w:rPr>
              <w:instrText xml:space="preserve"> PAGEREF _Toc420686940 \h </w:instrText>
            </w:r>
            <w:r>
              <w:rPr>
                <w:noProof/>
                <w:webHidden/>
              </w:rPr>
            </w:r>
            <w:r>
              <w:rPr>
                <w:noProof/>
                <w:webHidden/>
              </w:rPr>
              <w:fldChar w:fldCharType="separate"/>
            </w:r>
            <w:r w:rsidR="00B34A70">
              <w:rPr>
                <w:noProof/>
                <w:webHidden/>
              </w:rPr>
              <w:t>9</w:t>
            </w:r>
            <w:r>
              <w:rPr>
                <w:noProof/>
                <w:webHidden/>
              </w:rPr>
              <w:fldChar w:fldCharType="end"/>
            </w:r>
          </w:hyperlink>
        </w:p>
        <w:p w:rsidR="00F936C0" w:rsidRDefault="006D0FEF">
          <w:pPr>
            <w:pStyle w:val="TM2"/>
            <w:tabs>
              <w:tab w:val="right" w:leader="dot" w:pos="10456"/>
            </w:tabs>
            <w:rPr>
              <w:rFonts w:eastAsiaTheme="minorEastAsia"/>
              <w:noProof/>
              <w:lang w:eastAsia="fr-FR"/>
            </w:rPr>
          </w:pPr>
          <w:hyperlink w:anchor="_Toc420686941" w:history="1">
            <w:r w:rsidR="00F936C0" w:rsidRPr="00CF6B5B">
              <w:rPr>
                <w:rStyle w:val="Lienhypertexte"/>
                <w:noProof/>
              </w:rPr>
              <w:t>Gérer les déductions</w:t>
            </w:r>
            <w:r w:rsidR="00F936C0">
              <w:rPr>
                <w:noProof/>
                <w:webHidden/>
              </w:rPr>
              <w:tab/>
            </w:r>
            <w:r>
              <w:rPr>
                <w:noProof/>
                <w:webHidden/>
              </w:rPr>
              <w:fldChar w:fldCharType="begin"/>
            </w:r>
            <w:r w:rsidR="00F936C0">
              <w:rPr>
                <w:noProof/>
                <w:webHidden/>
              </w:rPr>
              <w:instrText xml:space="preserve"> PAGEREF _Toc420686941 \h </w:instrText>
            </w:r>
            <w:r>
              <w:rPr>
                <w:noProof/>
                <w:webHidden/>
              </w:rPr>
            </w:r>
            <w:r>
              <w:rPr>
                <w:noProof/>
                <w:webHidden/>
              </w:rPr>
              <w:fldChar w:fldCharType="separate"/>
            </w:r>
            <w:r w:rsidR="00B34A70">
              <w:rPr>
                <w:noProof/>
                <w:webHidden/>
              </w:rPr>
              <w:t>9</w:t>
            </w:r>
            <w:r>
              <w:rPr>
                <w:noProof/>
                <w:webHidden/>
              </w:rPr>
              <w:fldChar w:fldCharType="end"/>
            </w:r>
          </w:hyperlink>
        </w:p>
        <w:p w:rsidR="00F936C0" w:rsidRDefault="006D0FEF">
          <w:pPr>
            <w:pStyle w:val="TM1"/>
            <w:tabs>
              <w:tab w:val="left" w:pos="440"/>
              <w:tab w:val="right" w:leader="dot" w:pos="10456"/>
            </w:tabs>
            <w:rPr>
              <w:rFonts w:eastAsiaTheme="minorEastAsia"/>
              <w:noProof/>
              <w:lang w:eastAsia="fr-FR"/>
            </w:rPr>
          </w:pPr>
          <w:hyperlink w:anchor="_Toc420686942" w:history="1">
            <w:r w:rsidR="00F936C0" w:rsidRPr="00CF6B5B">
              <w:rPr>
                <w:rStyle w:val="Lienhypertexte"/>
                <w:noProof/>
              </w:rPr>
              <w:t>5.</w:t>
            </w:r>
            <w:r w:rsidR="00F936C0">
              <w:rPr>
                <w:rFonts w:eastAsiaTheme="minorEastAsia"/>
                <w:noProof/>
                <w:lang w:eastAsia="fr-FR"/>
              </w:rPr>
              <w:tab/>
            </w:r>
            <w:r w:rsidR="00F936C0" w:rsidRPr="00CF6B5B">
              <w:rPr>
                <w:rStyle w:val="Lienhypertexte"/>
                <w:noProof/>
              </w:rPr>
              <w:t>Intervenir sur les relevés  et sur les déductions</w:t>
            </w:r>
            <w:r w:rsidR="00F936C0">
              <w:rPr>
                <w:noProof/>
                <w:webHidden/>
              </w:rPr>
              <w:tab/>
            </w:r>
            <w:r>
              <w:rPr>
                <w:noProof/>
                <w:webHidden/>
              </w:rPr>
              <w:fldChar w:fldCharType="begin"/>
            </w:r>
            <w:r w:rsidR="00F936C0">
              <w:rPr>
                <w:noProof/>
                <w:webHidden/>
              </w:rPr>
              <w:instrText xml:space="preserve"> PAGEREF _Toc420686942 \h </w:instrText>
            </w:r>
            <w:r>
              <w:rPr>
                <w:noProof/>
                <w:webHidden/>
              </w:rPr>
            </w:r>
            <w:r>
              <w:rPr>
                <w:noProof/>
                <w:webHidden/>
              </w:rPr>
              <w:fldChar w:fldCharType="separate"/>
            </w:r>
            <w:r w:rsidR="00B34A70">
              <w:rPr>
                <w:noProof/>
                <w:webHidden/>
              </w:rPr>
              <w:t>11</w:t>
            </w:r>
            <w:r>
              <w:rPr>
                <w:noProof/>
                <w:webHidden/>
              </w:rPr>
              <w:fldChar w:fldCharType="end"/>
            </w:r>
          </w:hyperlink>
        </w:p>
        <w:p w:rsidR="00F936C0" w:rsidRDefault="006D0FEF">
          <w:pPr>
            <w:pStyle w:val="TM1"/>
            <w:tabs>
              <w:tab w:val="left" w:pos="440"/>
              <w:tab w:val="right" w:leader="dot" w:pos="10456"/>
            </w:tabs>
            <w:rPr>
              <w:rFonts w:eastAsiaTheme="minorEastAsia"/>
              <w:noProof/>
              <w:lang w:eastAsia="fr-FR"/>
            </w:rPr>
          </w:pPr>
          <w:hyperlink w:anchor="_Toc420686943" w:history="1">
            <w:r w:rsidR="00F936C0" w:rsidRPr="00CF6B5B">
              <w:rPr>
                <w:rStyle w:val="Lienhypertexte"/>
                <w:noProof/>
              </w:rPr>
              <w:t>6.</w:t>
            </w:r>
            <w:r w:rsidR="00F936C0">
              <w:rPr>
                <w:rFonts w:eastAsiaTheme="minorEastAsia"/>
                <w:noProof/>
                <w:lang w:eastAsia="fr-FR"/>
              </w:rPr>
              <w:tab/>
            </w:r>
            <w:r w:rsidR="00F936C0" w:rsidRPr="00CF6B5B">
              <w:rPr>
                <w:rStyle w:val="Lienhypertexte"/>
                <w:noProof/>
              </w:rPr>
              <w:t>Conditions sur les déductions</w:t>
            </w:r>
            <w:r w:rsidR="00F936C0">
              <w:rPr>
                <w:noProof/>
                <w:webHidden/>
              </w:rPr>
              <w:tab/>
            </w:r>
            <w:r>
              <w:rPr>
                <w:noProof/>
                <w:webHidden/>
              </w:rPr>
              <w:fldChar w:fldCharType="begin"/>
            </w:r>
            <w:r w:rsidR="00F936C0">
              <w:rPr>
                <w:noProof/>
                <w:webHidden/>
              </w:rPr>
              <w:instrText xml:space="preserve"> PAGEREF _Toc420686943 \h </w:instrText>
            </w:r>
            <w:r>
              <w:rPr>
                <w:noProof/>
                <w:webHidden/>
              </w:rPr>
            </w:r>
            <w:r>
              <w:rPr>
                <w:noProof/>
                <w:webHidden/>
              </w:rPr>
              <w:fldChar w:fldCharType="separate"/>
            </w:r>
            <w:r w:rsidR="00B34A70">
              <w:rPr>
                <w:noProof/>
                <w:webHidden/>
              </w:rPr>
              <w:t>15</w:t>
            </w:r>
            <w:r>
              <w:rPr>
                <w:noProof/>
                <w:webHidden/>
              </w:rPr>
              <w:fldChar w:fldCharType="end"/>
            </w:r>
          </w:hyperlink>
        </w:p>
        <w:p w:rsidR="00F936C0" w:rsidRDefault="006D0FEF">
          <w:pPr>
            <w:pStyle w:val="TM1"/>
            <w:tabs>
              <w:tab w:val="left" w:pos="440"/>
              <w:tab w:val="right" w:leader="dot" w:pos="10456"/>
            </w:tabs>
            <w:rPr>
              <w:rFonts w:eastAsiaTheme="minorEastAsia"/>
              <w:noProof/>
              <w:lang w:eastAsia="fr-FR"/>
            </w:rPr>
          </w:pPr>
          <w:hyperlink w:anchor="_Toc420686944" w:history="1">
            <w:r w:rsidR="00F936C0" w:rsidRPr="00CF6B5B">
              <w:rPr>
                <w:rStyle w:val="Lienhypertexte"/>
                <w:noProof/>
              </w:rPr>
              <w:t>7.</w:t>
            </w:r>
            <w:r w:rsidR="00F936C0">
              <w:rPr>
                <w:rFonts w:eastAsiaTheme="minorEastAsia"/>
                <w:noProof/>
                <w:lang w:eastAsia="fr-FR"/>
              </w:rPr>
              <w:tab/>
            </w:r>
            <w:r w:rsidR="00F936C0" w:rsidRPr="00CF6B5B">
              <w:rPr>
                <w:rStyle w:val="Lienhypertexte"/>
                <w:noProof/>
              </w:rPr>
              <w:t>Etat de contrôle des déductions</w:t>
            </w:r>
            <w:r w:rsidR="00F936C0">
              <w:rPr>
                <w:noProof/>
                <w:webHidden/>
              </w:rPr>
              <w:tab/>
            </w:r>
            <w:r>
              <w:rPr>
                <w:noProof/>
                <w:webHidden/>
              </w:rPr>
              <w:fldChar w:fldCharType="begin"/>
            </w:r>
            <w:r w:rsidR="00F936C0">
              <w:rPr>
                <w:noProof/>
                <w:webHidden/>
              </w:rPr>
              <w:instrText xml:space="preserve"> PAGEREF _Toc420686944 \h </w:instrText>
            </w:r>
            <w:r>
              <w:rPr>
                <w:noProof/>
                <w:webHidden/>
              </w:rPr>
            </w:r>
            <w:r>
              <w:rPr>
                <w:noProof/>
                <w:webHidden/>
              </w:rPr>
              <w:fldChar w:fldCharType="separate"/>
            </w:r>
            <w:r w:rsidR="00B34A70">
              <w:rPr>
                <w:noProof/>
                <w:webHidden/>
              </w:rPr>
              <w:t>16</w:t>
            </w:r>
            <w:r>
              <w:rPr>
                <w:noProof/>
                <w:webHidden/>
              </w:rPr>
              <w:fldChar w:fldCharType="end"/>
            </w:r>
          </w:hyperlink>
        </w:p>
        <w:p w:rsidR="009112F3" w:rsidRDefault="006D0FEF">
          <w:r>
            <w:fldChar w:fldCharType="end"/>
          </w:r>
        </w:p>
      </w:sdtContent>
    </w:sdt>
    <w:p w:rsidR="008E44F1" w:rsidRDefault="008E44F1" w:rsidP="00C50929">
      <w:r>
        <w:br w:type="page"/>
      </w:r>
    </w:p>
    <w:p w:rsidR="00A466FC" w:rsidRDefault="00A466FC" w:rsidP="00C50929">
      <w:pPr>
        <w:pStyle w:val="Titre1"/>
      </w:pPr>
      <w:bookmarkStart w:id="0" w:name="_Toc420686933"/>
      <w:r>
        <w:lastRenderedPageBreak/>
        <w:t>Introduction</w:t>
      </w:r>
      <w:bookmarkEnd w:id="0"/>
    </w:p>
    <w:p w:rsidR="00A466FC" w:rsidRDefault="00A466FC" w:rsidP="00C50929">
      <w:pPr>
        <w:pStyle w:val="Corpsdetexte"/>
      </w:pPr>
    </w:p>
    <w:p w:rsidR="00A466FC" w:rsidRDefault="00A466FC" w:rsidP="00C50929">
      <w:r>
        <w:t>Ce document a pour but d'expliquer comment gérer les compteurs divisionnaires avec PHASEO.</w:t>
      </w:r>
    </w:p>
    <w:p w:rsidR="009B2CA1" w:rsidRDefault="009B2CA1" w:rsidP="00C50929"/>
    <w:p w:rsidR="00A466FC" w:rsidRPr="0061294B" w:rsidRDefault="00A466FC" w:rsidP="00C50929">
      <w:pPr>
        <w:rPr>
          <w:u w:val="single"/>
        </w:rPr>
      </w:pPr>
      <w:r w:rsidRPr="0061294B">
        <w:rPr>
          <w:u w:val="single"/>
        </w:rPr>
        <w:t>Un exemple:</w:t>
      </w:r>
    </w:p>
    <w:p w:rsidR="00A466FC" w:rsidRDefault="00A466FC" w:rsidP="00C50929">
      <w:r>
        <w:t>Un compteur mesure la consommation globale d'eau pour un immeuble. Chaque appartement de l'immeuble est équipé d'un compteur individuel. Chaque compteur donne lieu à une facturation indépendante.</w:t>
      </w:r>
    </w:p>
    <w:p w:rsidR="00A466FC" w:rsidRDefault="00A466FC" w:rsidP="00C50929">
      <w:r>
        <w:t>La consommation d'eau pour tout l'immeuble ne se limite pas forcément  aux consommations des compteurs individuels. Souvent des points d'eau sont installés pour les parties communes. De fuites d'eau peuvent aussi être constatés dans l'immeuble avant l'accès aux compteurs individuels.</w:t>
      </w:r>
    </w:p>
    <w:p w:rsidR="009B2CA1" w:rsidRDefault="009B2CA1" w:rsidP="00C50929"/>
    <w:p w:rsidR="00A466FC" w:rsidRDefault="00A466FC" w:rsidP="00C50929">
      <w:r>
        <w:t>Pour connaître la consommation lié</w:t>
      </w:r>
      <w:r w:rsidR="00B50DCD">
        <w:t>e</w:t>
      </w:r>
      <w:r>
        <w:t xml:space="preserve"> aux parties communes (y compris les fuites), on soustrait la consommation de tous les appartements au compteur global de l'immeuble.</w:t>
      </w:r>
    </w:p>
    <w:p w:rsidR="00A466FC" w:rsidRDefault="00A466FC" w:rsidP="00C50929">
      <w:r>
        <w:t>Le compteur de l'immeuble sera désigné comme « </w:t>
      </w:r>
      <w:r>
        <w:rPr>
          <w:b/>
          <w:bCs/>
        </w:rPr>
        <w:t>compteur général</w:t>
      </w:r>
      <w:r>
        <w:t> ».</w:t>
      </w:r>
    </w:p>
    <w:p w:rsidR="00A466FC" w:rsidRDefault="00A466FC" w:rsidP="00C50929">
      <w:r>
        <w:t>Les compteurs individuels déduits du compteur général seront désignés par le terme de « </w:t>
      </w:r>
      <w:r>
        <w:rPr>
          <w:b/>
          <w:bCs/>
        </w:rPr>
        <w:t>compteur divisionnaire</w:t>
      </w:r>
      <w:r>
        <w:t> ».</w:t>
      </w:r>
    </w:p>
    <w:p w:rsidR="00384766" w:rsidRDefault="00384766" w:rsidP="00C50929"/>
    <w:p w:rsidR="00A466FC" w:rsidRDefault="00A466FC" w:rsidP="00C50929">
      <w:r>
        <w:t>PHASEO effectue automatiquement la déduction. Avant d'effectuer la facturation du compteur général, les consommations des compteurs divisionnaires sont soustraites du compteur général.</w:t>
      </w:r>
    </w:p>
    <w:p w:rsidR="00A466FC" w:rsidRDefault="00A466FC" w:rsidP="00C50929"/>
    <w:p w:rsidR="00A466FC" w:rsidRDefault="00A466FC" w:rsidP="00C50929">
      <w:r>
        <w:t>Ce document explique</w:t>
      </w:r>
    </w:p>
    <w:p w:rsidR="00A466FC" w:rsidRDefault="00A466FC" w:rsidP="00384766">
      <w:pPr>
        <w:pStyle w:val="Paragraphedeliste"/>
        <w:numPr>
          <w:ilvl w:val="0"/>
          <w:numId w:val="9"/>
        </w:numPr>
      </w:pPr>
      <w:r>
        <w:t xml:space="preserve">comment </w:t>
      </w:r>
      <w:r w:rsidR="00EF5A89">
        <w:t>établir les liens entre</w:t>
      </w:r>
      <w:r>
        <w:t xml:space="preserve"> les compteurs divisionnaires </w:t>
      </w:r>
      <w:r w:rsidR="00EF5A89">
        <w:t>et</w:t>
      </w:r>
      <w:r>
        <w:t xml:space="preserve"> </w:t>
      </w:r>
      <w:r w:rsidR="00EF5A89">
        <w:t xml:space="preserve">le </w:t>
      </w:r>
      <w:r>
        <w:t xml:space="preserve">compteur général </w:t>
      </w:r>
    </w:p>
    <w:p w:rsidR="00A466FC" w:rsidRDefault="00A466FC" w:rsidP="00384766">
      <w:pPr>
        <w:pStyle w:val="Paragraphedeliste"/>
        <w:numPr>
          <w:ilvl w:val="0"/>
          <w:numId w:val="9"/>
        </w:numPr>
      </w:pPr>
      <w:r>
        <w:t xml:space="preserve">comment </w:t>
      </w:r>
      <w:r w:rsidR="002664C1">
        <w:t>suivre</w:t>
      </w:r>
      <w:r>
        <w:t xml:space="preserve"> les déductions effectué</w:t>
      </w:r>
      <w:r w:rsidR="00B733EE">
        <w:t>e</w:t>
      </w:r>
      <w:r>
        <w:t>s et les déductions manquantes</w:t>
      </w:r>
    </w:p>
    <w:p w:rsidR="00A466FC" w:rsidRDefault="002664C1" w:rsidP="00384766">
      <w:pPr>
        <w:pStyle w:val="Paragraphedeliste"/>
        <w:numPr>
          <w:ilvl w:val="0"/>
          <w:numId w:val="9"/>
        </w:numPr>
      </w:pPr>
      <w:r>
        <w:t>comment intervenir sur les relevés des compteurs pour gérer les absences de relevés et les cas particuliers</w:t>
      </w:r>
      <w:r w:rsidR="00A466FC">
        <w:t>.</w:t>
      </w:r>
    </w:p>
    <w:p w:rsidR="006D6E38" w:rsidRDefault="006D6E38" w:rsidP="00C50929">
      <w:pPr>
        <w:rPr>
          <w:rFonts w:asciiTheme="majorHAnsi" w:eastAsiaTheme="majorEastAsia" w:hAnsiTheme="majorHAnsi" w:cstheme="majorBidi"/>
          <w:color w:val="F79646" w:themeColor="accent6"/>
          <w:sz w:val="36"/>
          <w:szCs w:val="28"/>
          <w:u w:val="single"/>
        </w:rPr>
      </w:pPr>
      <w:r>
        <w:br w:type="page"/>
      </w:r>
    </w:p>
    <w:p w:rsidR="00A466FC" w:rsidRPr="00A1405A" w:rsidRDefault="00E603E3" w:rsidP="00C50929">
      <w:pPr>
        <w:pStyle w:val="Titre1"/>
      </w:pPr>
      <w:bookmarkStart w:id="1" w:name="__RefHeading__1143_2065346494"/>
      <w:bookmarkStart w:id="2" w:name="_Toc420686934"/>
      <w:bookmarkEnd w:id="1"/>
      <w:r>
        <w:lastRenderedPageBreak/>
        <w:t>L</w:t>
      </w:r>
      <w:r w:rsidR="00181235" w:rsidRPr="00A1405A">
        <w:t>iens entre compteurs divisionnaires et généraux</w:t>
      </w:r>
      <w:bookmarkEnd w:id="2"/>
    </w:p>
    <w:p w:rsidR="00D93017" w:rsidRDefault="00D93017" w:rsidP="00C50929">
      <w:bookmarkStart w:id="3" w:name="OLE_LINK1"/>
    </w:p>
    <w:p w:rsidR="00B733EE" w:rsidRDefault="00D93017" w:rsidP="00C50929">
      <w:r>
        <w:t xml:space="preserve">Si </w:t>
      </w:r>
      <w:r w:rsidR="007A52A7">
        <w:t>un compteur a déjà été déclaré comme compteur divisionnaire ou général, l'onglet "Divisionnaire" est automatiquement présenté sur la fiche PDC.</w:t>
      </w:r>
      <w:r w:rsidR="007A52A7">
        <w:br/>
      </w:r>
    </w:p>
    <w:p w:rsidR="007A52A7" w:rsidRDefault="007A52A7" w:rsidP="00C50929">
      <w:r>
        <w:t>Dans le cas contraire, cliquez sur le bouton "+" et sur l'icone encadrée ci-dessous pour faire apparaitre cet onglet complémentaire.</w:t>
      </w:r>
      <w:r w:rsidR="00B733EE">
        <w:t xml:space="preserve"> Cliq</w:t>
      </w:r>
      <w:r w:rsidR="0061294B">
        <w:t>u</w:t>
      </w:r>
      <w:r w:rsidR="00B733EE">
        <w:t>ez ensuite sur l'icône ci-dessous pour faire apparaitre l'onglet.</w:t>
      </w:r>
    </w:p>
    <w:p w:rsidR="007A52A7" w:rsidRDefault="007A52A7" w:rsidP="00C50929">
      <w:r>
        <w:rPr>
          <w:noProof/>
          <w:lang w:eastAsia="fr-FR"/>
        </w:rPr>
        <w:drawing>
          <wp:inline distT="0" distB="0" distL="0" distR="0">
            <wp:extent cx="4323020" cy="1600200"/>
            <wp:effectExtent l="19050" t="19050" r="20380" b="1905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cstate="print"/>
                    <a:srcRect/>
                    <a:stretch>
                      <a:fillRect/>
                    </a:stretch>
                  </pic:blipFill>
                  <pic:spPr bwMode="auto">
                    <a:xfrm>
                      <a:off x="0" y="0"/>
                      <a:ext cx="4327266" cy="1601772"/>
                    </a:xfrm>
                    <a:prstGeom prst="rect">
                      <a:avLst/>
                    </a:prstGeom>
                    <a:noFill/>
                    <a:ln w="9525">
                      <a:solidFill>
                        <a:schemeClr val="accent1"/>
                      </a:solidFill>
                      <a:miter lim="800000"/>
                      <a:headEnd/>
                      <a:tailEnd/>
                    </a:ln>
                  </pic:spPr>
                </pic:pic>
              </a:graphicData>
            </a:graphic>
          </wp:inline>
        </w:drawing>
      </w:r>
    </w:p>
    <w:p w:rsidR="00B733EE" w:rsidRDefault="00B733EE" w:rsidP="00B733EE"/>
    <w:p w:rsidR="00B733EE" w:rsidRDefault="00B733EE" w:rsidP="00B733EE">
      <w:r>
        <w:t>Cet onglet permet seulement d'établir les liens entres les compteurs principaux et divisionnaires. Reportez-vous au chapitre suivant pour gérer et vérifier les déductions.</w:t>
      </w:r>
    </w:p>
    <w:p w:rsidR="00D93017" w:rsidRDefault="007A52A7" w:rsidP="00C50929">
      <w:r>
        <w:rPr>
          <w:noProof/>
          <w:lang w:eastAsia="fr-FR"/>
        </w:rPr>
        <w:drawing>
          <wp:inline distT="0" distB="0" distL="0" distR="0">
            <wp:extent cx="6056184" cy="3276600"/>
            <wp:effectExtent l="19050" t="0" r="1716"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srcRect/>
                    <a:stretch>
                      <a:fillRect/>
                    </a:stretch>
                  </pic:blipFill>
                  <pic:spPr bwMode="auto">
                    <a:xfrm>
                      <a:off x="0" y="0"/>
                      <a:ext cx="6059394" cy="3278337"/>
                    </a:xfrm>
                    <a:prstGeom prst="rect">
                      <a:avLst/>
                    </a:prstGeom>
                    <a:noFill/>
                    <a:ln w="9525">
                      <a:noFill/>
                      <a:miter lim="800000"/>
                      <a:headEnd/>
                      <a:tailEnd/>
                    </a:ln>
                  </pic:spPr>
                </pic:pic>
              </a:graphicData>
            </a:graphic>
          </wp:inline>
        </w:drawing>
      </w:r>
    </w:p>
    <w:p w:rsidR="007A52A7" w:rsidRDefault="007A52A7" w:rsidP="00C50929"/>
    <w:p w:rsidR="007A52A7" w:rsidRPr="001D44F3" w:rsidRDefault="007A52A7" w:rsidP="001D44F3">
      <w:pPr>
        <w:pStyle w:val="Titre2"/>
      </w:pPr>
      <w:bookmarkStart w:id="4" w:name="_Toc420686935"/>
      <w:r w:rsidRPr="001D44F3">
        <w:lastRenderedPageBreak/>
        <w:t>Définir un compteur général pour un PDC</w:t>
      </w:r>
      <w:bookmarkEnd w:id="4"/>
    </w:p>
    <w:p w:rsidR="00082B31" w:rsidRDefault="00082B31" w:rsidP="009112F3">
      <w:pPr>
        <w:keepNext/>
      </w:pPr>
    </w:p>
    <w:p w:rsidR="007A52A7" w:rsidRDefault="007A52A7" w:rsidP="009112F3">
      <w:pPr>
        <w:keepNext/>
      </w:pPr>
      <w:r>
        <w:t xml:space="preserve">Si le compteur est associé un compteur </w:t>
      </w:r>
      <w:r w:rsidR="009B2CA1">
        <w:t>général</w:t>
      </w:r>
      <w:r>
        <w:t xml:space="preserve">, </w:t>
      </w:r>
      <w:r w:rsidR="00082B31">
        <w:t>ce dernier</w:t>
      </w:r>
      <w:r>
        <w:t xml:space="preserve"> est indiqué dans le premier pavé.</w:t>
      </w:r>
      <w:r>
        <w:br/>
        <w:t>On peut se placer directement sur le compteur général en cliquant sur "Ouvrir la fiche du PDC père".</w:t>
      </w:r>
    </w:p>
    <w:p w:rsidR="007A52A7" w:rsidRDefault="00FE33A7" w:rsidP="009112F3">
      <w:pPr>
        <w:keepNext/>
      </w:pPr>
      <w:r>
        <w:rPr>
          <w:noProof/>
          <w:lang w:eastAsia="fr-FR"/>
        </w:rPr>
        <w:drawing>
          <wp:inline distT="0" distB="0" distL="0" distR="0">
            <wp:extent cx="6633845" cy="3597275"/>
            <wp:effectExtent l="1905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srcRect/>
                    <a:stretch>
                      <a:fillRect/>
                    </a:stretch>
                  </pic:blipFill>
                  <pic:spPr bwMode="auto">
                    <a:xfrm>
                      <a:off x="0" y="0"/>
                      <a:ext cx="6633845" cy="3597275"/>
                    </a:xfrm>
                    <a:prstGeom prst="rect">
                      <a:avLst/>
                    </a:prstGeom>
                    <a:noFill/>
                    <a:ln w="9525">
                      <a:noFill/>
                      <a:miter lim="800000"/>
                      <a:headEnd/>
                      <a:tailEnd/>
                    </a:ln>
                  </pic:spPr>
                </pic:pic>
              </a:graphicData>
            </a:graphic>
          </wp:inline>
        </w:drawing>
      </w:r>
    </w:p>
    <w:p w:rsidR="006964E1" w:rsidRDefault="00FE33A7" w:rsidP="00C50929">
      <w:r>
        <w:t>Pour établir un lien entre 2 compteurs</w:t>
      </w:r>
      <w:r w:rsidR="006964E1">
        <w:t xml:space="preserve"> dans PHASEO</w:t>
      </w:r>
      <w:r>
        <w:t>, placez-vous sur le compteur général ou le compteur divisionnaire.</w:t>
      </w:r>
      <w:r>
        <w:br/>
      </w:r>
    </w:p>
    <w:p w:rsidR="007A52A7" w:rsidRDefault="006964E1" w:rsidP="00C50929">
      <w:r>
        <w:t>Dans l</w:t>
      </w:r>
      <w:r w:rsidR="00FE33A7">
        <w:t>e premier pavé</w:t>
      </w:r>
      <w:r>
        <w:t xml:space="preserve">, vous pouvez associer le compteur courant à un </w:t>
      </w:r>
      <w:r w:rsidR="00FE33A7">
        <w:t xml:space="preserve">compteur </w:t>
      </w:r>
      <w:r w:rsidR="009B2CA1">
        <w:t>général</w:t>
      </w:r>
      <w:r w:rsidR="00FE33A7">
        <w:t>.</w:t>
      </w:r>
      <w:r w:rsidR="00FE33A7">
        <w:br/>
        <w:t xml:space="preserve">Cliquez sur le bouton </w:t>
      </w:r>
      <w:r w:rsidR="00FE33A7">
        <w:rPr>
          <w:noProof/>
          <w:lang w:eastAsia="fr-FR"/>
        </w:rPr>
        <w:drawing>
          <wp:inline distT="0" distB="0" distL="0" distR="0">
            <wp:extent cx="1621790" cy="207010"/>
            <wp:effectExtent l="1905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cstate="print"/>
                    <a:srcRect/>
                    <a:stretch>
                      <a:fillRect/>
                    </a:stretch>
                  </pic:blipFill>
                  <pic:spPr bwMode="auto">
                    <a:xfrm>
                      <a:off x="0" y="0"/>
                      <a:ext cx="1621790" cy="207010"/>
                    </a:xfrm>
                    <a:prstGeom prst="rect">
                      <a:avLst/>
                    </a:prstGeom>
                    <a:noFill/>
                    <a:ln w="9525">
                      <a:noFill/>
                      <a:miter lim="800000"/>
                      <a:headEnd/>
                      <a:tailEnd/>
                    </a:ln>
                  </pic:spPr>
                </pic:pic>
              </a:graphicData>
            </a:graphic>
          </wp:inline>
        </w:drawing>
      </w:r>
      <w:r w:rsidR="00FE33A7">
        <w:t xml:space="preserve"> pour associer le compteur courant à un compteur </w:t>
      </w:r>
      <w:r w:rsidR="009B2CA1">
        <w:t>général</w:t>
      </w:r>
      <w:r w:rsidR="00FE33A7">
        <w:t>.</w:t>
      </w:r>
    </w:p>
    <w:p w:rsidR="00FE33A7" w:rsidRDefault="00FE33A7" w:rsidP="00C50929">
      <w:r>
        <w:rPr>
          <w:noProof/>
          <w:lang w:eastAsia="fr-FR"/>
        </w:rPr>
        <w:drawing>
          <wp:inline distT="0" distB="0" distL="0" distR="0">
            <wp:extent cx="6633845" cy="707390"/>
            <wp:effectExtent l="19050" t="0" r="0" b="0"/>
            <wp:docPr id="16"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cstate="print"/>
                    <a:srcRect/>
                    <a:stretch>
                      <a:fillRect/>
                    </a:stretch>
                  </pic:blipFill>
                  <pic:spPr bwMode="auto">
                    <a:xfrm>
                      <a:off x="0" y="0"/>
                      <a:ext cx="6633845" cy="707390"/>
                    </a:xfrm>
                    <a:prstGeom prst="rect">
                      <a:avLst/>
                    </a:prstGeom>
                    <a:noFill/>
                    <a:ln w="9525">
                      <a:noFill/>
                      <a:miter lim="800000"/>
                      <a:headEnd/>
                      <a:tailEnd/>
                    </a:ln>
                  </pic:spPr>
                </pic:pic>
              </a:graphicData>
            </a:graphic>
          </wp:inline>
        </w:drawing>
      </w:r>
    </w:p>
    <w:p w:rsidR="007A52A7" w:rsidRPr="00EC6AAC" w:rsidRDefault="00FE33A7" w:rsidP="00C50929">
      <w:r>
        <w:t>Indiquez la référence du compteur général, la date de raccordement et validez.</w:t>
      </w:r>
    </w:p>
    <w:p w:rsidR="00FE33A7" w:rsidRDefault="00FE33A7" w:rsidP="00C50929">
      <w:r>
        <w:rPr>
          <w:noProof/>
          <w:lang w:eastAsia="fr-FR"/>
        </w:rPr>
        <w:drawing>
          <wp:inline distT="0" distB="0" distL="0" distR="0">
            <wp:extent cx="6642100" cy="698500"/>
            <wp:effectExtent l="19050" t="0" r="6350" b="0"/>
            <wp:docPr id="26"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cstate="print"/>
                    <a:srcRect/>
                    <a:stretch>
                      <a:fillRect/>
                    </a:stretch>
                  </pic:blipFill>
                  <pic:spPr bwMode="auto">
                    <a:xfrm>
                      <a:off x="0" y="0"/>
                      <a:ext cx="6642100" cy="698500"/>
                    </a:xfrm>
                    <a:prstGeom prst="rect">
                      <a:avLst/>
                    </a:prstGeom>
                    <a:noFill/>
                    <a:ln w="9525">
                      <a:noFill/>
                      <a:miter lim="800000"/>
                      <a:headEnd/>
                      <a:tailEnd/>
                    </a:ln>
                  </pic:spPr>
                </pic:pic>
              </a:graphicData>
            </a:graphic>
          </wp:inline>
        </w:drawing>
      </w:r>
    </w:p>
    <w:p w:rsidR="006964E1" w:rsidRDefault="006964E1" w:rsidP="00C50929">
      <w:r>
        <w:t>Le compteur</w:t>
      </w:r>
      <w:r w:rsidR="00B733EE">
        <w:t xml:space="preserve"> courant </w:t>
      </w:r>
      <w:r>
        <w:t>est maintenant déclaré comme divisionnaire.</w:t>
      </w:r>
    </w:p>
    <w:p w:rsidR="00FE33A7" w:rsidRDefault="00FE33A7" w:rsidP="00C50929">
      <w:r>
        <w:br w:type="page"/>
      </w:r>
    </w:p>
    <w:p w:rsidR="007A52A7" w:rsidRPr="00D93017" w:rsidRDefault="007A52A7" w:rsidP="00C50929"/>
    <w:p w:rsidR="00D93017" w:rsidRPr="00EC6AAC" w:rsidRDefault="00D93017" w:rsidP="001D44F3">
      <w:pPr>
        <w:pStyle w:val="Titre2"/>
      </w:pPr>
      <w:bookmarkStart w:id="5" w:name="_Toc420686936"/>
      <w:bookmarkEnd w:id="3"/>
      <w:r w:rsidRPr="00EC6AAC">
        <w:t>Ajouter des divisionnaire à un compteur général</w:t>
      </w:r>
      <w:bookmarkEnd w:id="5"/>
    </w:p>
    <w:p w:rsidR="007A52A7" w:rsidRDefault="007A52A7" w:rsidP="00C50929">
      <w:bookmarkStart w:id="6" w:name="OLE_LINK6"/>
    </w:p>
    <w:p w:rsidR="006964E1" w:rsidRDefault="006964E1" w:rsidP="00C50929">
      <w:r>
        <w:t>Dans le 2ème pavé, tous les compteur divisionnaires sont présentés si le PDC courant correspond à un compteur général.</w:t>
      </w:r>
    </w:p>
    <w:p w:rsidR="006964E1" w:rsidRDefault="006964E1" w:rsidP="00C50929">
      <w:r>
        <w:rPr>
          <w:noProof/>
          <w:lang w:eastAsia="fr-FR"/>
        </w:rPr>
        <w:drawing>
          <wp:inline distT="0" distB="0" distL="0" distR="0">
            <wp:extent cx="6642100" cy="3597275"/>
            <wp:effectExtent l="19050" t="0" r="6350" b="0"/>
            <wp:docPr id="33"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cstate="print"/>
                    <a:srcRect/>
                    <a:stretch>
                      <a:fillRect/>
                    </a:stretch>
                  </pic:blipFill>
                  <pic:spPr bwMode="auto">
                    <a:xfrm>
                      <a:off x="0" y="0"/>
                      <a:ext cx="6642100" cy="3597275"/>
                    </a:xfrm>
                    <a:prstGeom prst="rect">
                      <a:avLst/>
                    </a:prstGeom>
                    <a:noFill/>
                    <a:ln w="9525">
                      <a:noFill/>
                      <a:miter lim="800000"/>
                      <a:headEnd/>
                      <a:tailEnd/>
                    </a:ln>
                  </pic:spPr>
                </pic:pic>
              </a:graphicData>
            </a:graphic>
          </wp:inline>
        </w:drawing>
      </w:r>
    </w:p>
    <w:p w:rsidR="00FE33A7" w:rsidRDefault="00FE33A7" w:rsidP="00C50929">
      <w:r>
        <w:t>PHASEO offre 2 possibilités pour associer des division</w:t>
      </w:r>
      <w:r w:rsidR="006964E1">
        <w:t xml:space="preserve">naires à un compteur </w:t>
      </w:r>
      <w:r w:rsidR="009B2CA1">
        <w:t>général</w:t>
      </w:r>
      <w:r w:rsidR="006964E1">
        <w:t>.</w:t>
      </w:r>
    </w:p>
    <w:p w:rsidR="00EC6AAC" w:rsidRPr="00EC6AAC" w:rsidRDefault="00EC6AAC" w:rsidP="00C50929">
      <w:pPr>
        <w:pStyle w:val="Titre3"/>
      </w:pPr>
      <w:bookmarkStart w:id="7" w:name="_Toc420686937"/>
      <w:bookmarkEnd w:id="6"/>
      <w:r w:rsidRPr="00EC6AAC">
        <w:t>Ajout de divisionnaires avec la même adresse</w:t>
      </w:r>
      <w:bookmarkEnd w:id="7"/>
    </w:p>
    <w:p w:rsidR="00E603E3" w:rsidRDefault="00E603E3" w:rsidP="00C50929">
      <w:r>
        <w:t>* Vous pouvez ajouter un group</w:t>
      </w:r>
      <w:r w:rsidR="00B6417A">
        <w:t>e</w:t>
      </w:r>
      <w:r>
        <w:t xml:space="preserve"> de </w:t>
      </w:r>
      <w:r w:rsidR="006964E1">
        <w:t>compteurs divisionnaires</w:t>
      </w:r>
      <w:r>
        <w:t xml:space="preserve"> en utilisant le bouton indiqué en rouge.</w:t>
      </w:r>
    </w:p>
    <w:p w:rsidR="00E603E3" w:rsidRDefault="001E20D3" w:rsidP="00C50929">
      <w:r>
        <w:rPr>
          <w:noProof/>
          <w:lang w:eastAsia="fr-FR"/>
        </w:rPr>
        <w:drawing>
          <wp:inline distT="0" distB="0" distL="0" distR="0">
            <wp:extent cx="5251690" cy="2849855"/>
            <wp:effectExtent l="19050" t="0" r="6110" b="0"/>
            <wp:docPr id="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srcRect/>
                    <a:stretch>
                      <a:fillRect/>
                    </a:stretch>
                  </pic:blipFill>
                  <pic:spPr bwMode="auto">
                    <a:xfrm>
                      <a:off x="0" y="0"/>
                      <a:ext cx="5255631" cy="2851994"/>
                    </a:xfrm>
                    <a:prstGeom prst="rect">
                      <a:avLst/>
                    </a:prstGeom>
                    <a:noFill/>
                    <a:ln w="9525">
                      <a:noFill/>
                      <a:miter lim="800000"/>
                      <a:headEnd/>
                      <a:tailEnd/>
                    </a:ln>
                  </pic:spPr>
                </pic:pic>
              </a:graphicData>
            </a:graphic>
          </wp:inline>
        </w:drawing>
      </w:r>
    </w:p>
    <w:p w:rsidR="00EC6AAC" w:rsidRDefault="00EC6AAC" w:rsidP="00C50929"/>
    <w:p w:rsidR="00E603E3" w:rsidRDefault="00E603E3" w:rsidP="00C50929">
      <w:r>
        <w:t xml:space="preserve">Seuls les </w:t>
      </w:r>
      <w:r w:rsidR="006964E1">
        <w:t>compteurs</w:t>
      </w:r>
      <w:r>
        <w:t xml:space="preserve"> avec le même numéro de voie et même nom de voie sont présentés dans la liste.</w:t>
      </w:r>
    </w:p>
    <w:p w:rsidR="00E603E3" w:rsidRDefault="00EC6AAC" w:rsidP="00C50929">
      <w:r>
        <w:rPr>
          <w:noProof/>
          <w:lang w:eastAsia="fr-FR"/>
        </w:rPr>
        <w:lastRenderedPageBreak/>
        <w:drawing>
          <wp:inline distT="0" distB="0" distL="0" distR="0">
            <wp:extent cx="4354436" cy="2019869"/>
            <wp:effectExtent l="19050" t="0" r="8014" b="0"/>
            <wp:docPr id="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srcRect/>
                    <a:stretch>
                      <a:fillRect/>
                    </a:stretch>
                  </pic:blipFill>
                  <pic:spPr bwMode="auto">
                    <a:xfrm>
                      <a:off x="0" y="0"/>
                      <a:ext cx="4354809" cy="2020042"/>
                    </a:xfrm>
                    <a:prstGeom prst="rect">
                      <a:avLst/>
                    </a:prstGeom>
                    <a:noFill/>
                    <a:ln w="9525">
                      <a:noFill/>
                      <a:miter lim="800000"/>
                      <a:headEnd/>
                      <a:tailEnd/>
                    </a:ln>
                  </pic:spPr>
                </pic:pic>
              </a:graphicData>
            </a:graphic>
          </wp:inline>
        </w:drawing>
      </w:r>
    </w:p>
    <w:p w:rsidR="00E603E3" w:rsidRDefault="00E603E3" w:rsidP="00C50929">
      <w:r>
        <w:t>Remarque: Les points de comptage qui sont déjà déclarés comme divisionnaires de ce PDC ou d'un autre PDC ne sont pas présentés.</w:t>
      </w:r>
      <w:r w:rsidR="006964E1">
        <w:t xml:space="preserve"> Les autres PDC généraux ne sont pas présentés non plus.</w:t>
      </w:r>
    </w:p>
    <w:p w:rsidR="003F3EB5" w:rsidRDefault="003F3EB5" w:rsidP="00C50929"/>
    <w:p w:rsidR="00E603E3" w:rsidRDefault="00E603E3" w:rsidP="00C50929">
      <w:r>
        <w:t xml:space="preserve">La date de </w:t>
      </w:r>
      <w:r w:rsidR="001E20D3">
        <w:t>raccordement</w:t>
      </w:r>
      <w:r>
        <w:t xml:space="preserve"> est obligatoire. Dans certains immeuble, les compteurs individuels peuvent </w:t>
      </w:r>
      <w:r w:rsidR="001E20D3">
        <w:t>être rattachés à la conduite du</w:t>
      </w:r>
      <w:r>
        <w:t xml:space="preserve"> compteur général</w:t>
      </w:r>
      <w:r w:rsidR="001E20D3">
        <w:t xml:space="preserve"> à différentes dates. Les déductions de consommation dépendent de la date de raccordement.</w:t>
      </w:r>
    </w:p>
    <w:p w:rsidR="003F3EB5" w:rsidRDefault="003F3EB5" w:rsidP="00C50929"/>
    <w:p w:rsidR="00E603E3" w:rsidRDefault="00EC6AAC" w:rsidP="00C50929">
      <w:pPr>
        <w:pStyle w:val="Titre3"/>
      </w:pPr>
      <w:bookmarkStart w:id="8" w:name="_Toc420686938"/>
      <w:r>
        <w:t>Ajout individuel de divisionnaire</w:t>
      </w:r>
      <w:bookmarkEnd w:id="8"/>
    </w:p>
    <w:p w:rsidR="00EC6AAC" w:rsidRPr="00EC6AAC" w:rsidRDefault="00EC6AAC" w:rsidP="00C50929">
      <w:r>
        <w:t xml:space="preserve">Vous pouvez également ajouter unitairement </w:t>
      </w:r>
      <w:r w:rsidR="006964E1">
        <w:t>des compteurs</w:t>
      </w:r>
      <w:r>
        <w:t xml:space="preserve"> en déduction </w:t>
      </w:r>
      <w:r w:rsidR="006964E1">
        <w:t>en</w:t>
      </w:r>
      <w:r>
        <w:t xml:space="preserve"> utilisant les informations encadrées ci-dessous.</w:t>
      </w:r>
    </w:p>
    <w:p w:rsidR="00EC6AAC" w:rsidRDefault="00EC6AAC" w:rsidP="00C50929">
      <w:r>
        <w:rPr>
          <w:noProof/>
          <w:lang w:eastAsia="fr-FR"/>
        </w:rPr>
        <w:drawing>
          <wp:inline distT="0" distB="0" distL="0" distR="0">
            <wp:extent cx="5320701" cy="2879648"/>
            <wp:effectExtent l="1905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srcRect/>
                    <a:stretch>
                      <a:fillRect/>
                    </a:stretch>
                  </pic:blipFill>
                  <pic:spPr bwMode="auto">
                    <a:xfrm>
                      <a:off x="0" y="0"/>
                      <a:ext cx="5322282" cy="2880503"/>
                    </a:xfrm>
                    <a:prstGeom prst="rect">
                      <a:avLst/>
                    </a:prstGeom>
                    <a:noFill/>
                    <a:ln w="9525">
                      <a:noFill/>
                      <a:miter lim="800000"/>
                      <a:headEnd/>
                      <a:tailEnd/>
                    </a:ln>
                  </pic:spPr>
                </pic:pic>
              </a:graphicData>
            </a:graphic>
          </wp:inline>
        </w:drawing>
      </w:r>
    </w:p>
    <w:p w:rsidR="00EC6AAC" w:rsidRDefault="00EC6AAC" w:rsidP="00C50929">
      <w:r>
        <w:t>L</w:t>
      </w:r>
      <w:r w:rsidR="006964E1">
        <w:t>à</w:t>
      </w:r>
      <w:r>
        <w:t xml:space="preserve"> aussi, la date de raccordement est obligatoire.</w:t>
      </w:r>
    </w:p>
    <w:p w:rsidR="00EC6AAC" w:rsidRDefault="00EC6AAC" w:rsidP="00C50929">
      <w:r>
        <w:t>Vous pouvez également supprimer les PDC divisionnaires associés à un compteur général en utilisant le bouton en bas à droite. La suppression peut être effectué même si des déductions ont déjà été enregistres dans PHASEO.</w:t>
      </w:r>
    </w:p>
    <w:p w:rsidR="003F3EB5" w:rsidRDefault="00A466FC" w:rsidP="003F3EB5">
      <w:r>
        <w:t>Dés que le lien est établi, la déduction de consommation devient obligatoire pour les prochaines relèves du compteur général</w:t>
      </w:r>
      <w:r w:rsidR="00EC6AAC">
        <w:t xml:space="preserve"> après la date de raccordement</w:t>
      </w:r>
      <w:r>
        <w:t>.</w:t>
      </w:r>
      <w:r w:rsidR="00EC6AAC">
        <w:t xml:space="preserve"> </w:t>
      </w:r>
      <w:r>
        <w:t>La suppression de lien provoque l'arrêt des déductions pour les prochaines relève</w:t>
      </w:r>
      <w:r w:rsidR="003F3EB5">
        <w:t>s.</w:t>
      </w:r>
    </w:p>
    <w:p w:rsidR="003F3EB5" w:rsidRDefault="003F3EB5" w:rsidP="003F3EB5"/>
    <w:p w:rsidR="00181235" w:rsidRPr="00572DF6" w:rsidRDefault="003F3EB5" w:rsidP="003F3EB5">
      <w:pPr>
        <w:rPr>
          <w:rStyle w:val="Titre1Car"/>
        </w:rPr>
      </w:pPr>
      <w:r>
        <w:t xml:space="preserve">Attention: la date de raccordement n'est pas modifiable. Pour changer cette date, vous devez supprimer le lien entre </w:t>
      </w:r>
      <w:r w:rsidR="009B2CA1">
        <w:t>général</w:t>
      </w:r>
      <w:r>
        <w:t xml:space="preserve"> et divisionnaire et refaire un ajout.</w:t>
      </w:r>
    </w:p>
    <w:p w:rsidR="00572DF6" w:rsidRDefault="00572DF6" w:rsidP="00C50929"/>
    <w:p w:rsidR="00572DF6" w:rsidRDefault="00572DF6" w:rsidP="00C50929"/>
    <w:p w:rsidR="00572DF6" w:rsidRDefault="00572DF6" w:rsidP="00572DF6">
      <w:pPr>
        <w:pStyle w:val="Titre1"/>
      </w:pPr>
      <w:bookmarkStart w:id="9" w:name="_Toc420686939"/>
      <w:r>
        <w:lastRenderedPageBreak/>
        <w:t>Suivre l'ensemble des déductions</w:t>
      </w:r>
      <w:bookmarkEnd w:id="9"/>
    </w:p>
    <w:p w:rsidR="00572DF6" w:rsidRDefault="00572DF6" w:rsidP="00C50929"/>
    <w:p w:rsidR="005D3CD6" w:rsidRDefault="006964E1" w:rsidP="00C50929">
      <w:r>
        <w:t>PHASEO permet de suivre de manière globale les compteurs généraux et l'état des déductions.</w:t>
      </w:r>
      <w:r w:rsidR="00B75D0C">
        <w:br/>
        <w:t>Vous pouvez ainsi faire un bilan rapide de toutes les déductions effectués pour une facturation.</w:t>
      </w:r>
    </w:p>
    <w:p w:rsidR="007D1E80" w:rsidRDefault="007D1E80" w:rsidP="00C50929">
      <w:r>
        <w:t>Activez l'option de menu suivante.</w:t>
      </w:r>
    </w:p>
    <w:p w:rsidR="007D1E80" w:rsidRDefault="007D1E80" w:rsidP="00C50929">
      <w:r>
        <w:rPr>
          <w:noProof/>
          <w:lang w:eastAsia="fr-FR"/>
        </w:rPr>
        <w:drawing>
          <wp:inline distT="0" distB="0" distL="0" distR="0">
            <wp:extent cx="4777237" cy="1931203"/>
            <wp:effectExtent l="19050" t="19050" r="23363" b="11897"/>
            <wp:docPr id="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srcRect/>
                    <a:stretch>
                      <a:fillRect/>
                    </a:stretch>
                  </pic:blipFill>
                  <pic:spPr bwMode="auto">
                    <a:xfrm>
                      <a:off x="0" y="0"/>
                      <a:ext cx="4773875" cy="1929844"/>
                    </a:xfrm>
                    <a:prstGeom prst="rect">
                      <a:avLst/>
                    </a:prstGeom>
                    <a:noFill/>
                    <a:ln w="9525">
                      <a:solidFill>
                        <a:schemeClr val="accent1"/>
                      </a:solidFill>
                      <a:miter lim="800000"/>
                      <a:headEnd/>
                      <a:tailEnd/>
                    </a:ln>
                  </pic:spPr>
                </pic:pic>
              </a:graphicData>
            </a:graphic>
          </wp:inline>
        </w:drawing>
      </w:r>
    </w:p>
    <w:p w:rsidR="007D1E80" w:rsidRDefault="007D1E80" w:rsidP="00C50929">
      <w:r>
        <w:t>Si votre nombr</w:t>
      </w:r>
      <w:r w:rsidR="00BE1381">
        <w:t>e</w:t>
      </w:r>
      <w:r>
        <w:t xml:space="preserve"> de compteur généraux est inférieur o</w:t>
      </w:r>
      <w:r w:rsidR="00BE1381">
        <w:t xml:space="preserve">u égal à 20 compteurs, la liste suivante est présentée. Dans le cas contraire, une fenêtre complémentaire permet de choisir le compteur général d'après plusieurs critères (nom du propriétaire, compteur, adresse). </w:t>
      </w:r>
    </w:p>
    <w:p w:rsidR="007D1E80" w:rsidRDefault="007D1E80" w:rsidP="00C50929">
      <w:r>
        <w:rPr>
          <w:noProof/>
          <w:lang w:eastAsia="fr-FR"/>
        </w:rPr>
        <w:drawing>
          <wp:inline distT="0" distB="0" distL="0" distR="0">
            <wp:extent cx="3704386" cy="1864072"/>
            <wp:effectExtent l="19050" t="0" r="0" b="0"/>
            <wp:docPr id="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srcRect/>
                    <a:stretch>
                      <a:fillRect/>
                    </a:stretch>
                  </pic:blipFill>
                  <pic:spPr bwMode="auto">
                    <a:xfrm>
                      <a:off x="0" y="0"/>
                      <a:ext cx="3707990" cy="1865885"/>
                    </a:xfrm>
                    <a:prstGeom prst="rect">
                      <a:avLst/>
                    </a:prstGeom>
                    <a:noFill/>
                    <a:ln w="9525">
                      <a:noFill/>
                      <a:miter lim="800000"/>
                      <a:headEnd/>
                      <a:tailEnd/>
                    </a:ln>
                  </pic:spPr>
                </pic:pic>
              </a:graphicData>
            </a:graphic>
          </wp:inline>
        </w:drawing>
      </w:r>
    </w:p>
    <w:p w:rsidR="00BE1381" w:rsidRDefault="00BE1381" w:rsidP="00C50929">
      <w:r>
        <w:t xml:space="preserve">Une fois le compteur choisi, le compteur </w:t>
      </w:r>
      <w:r w:rsidR="009B2CA1">
        <w:t>général</w:t>
      </w:r>
      <w:r>
        <w:t xml:space="preserve"> apparait dans l'entête de la fenêtre, la liste des divisionnaires apparait dans la partie inférieure.</w:t>
      </w:r>
    </w:p>
    <w:p w:rsidR="00BE1381" w:rsidRDefault="00BE1381" w:rsidP="00C50929">
      <w:r>
        <w:t xml:space="preserve">Pour le compteur </w:t>
      </w:r>
      <w:r w:rsidR="009B2CA1">
        <w:t>général</w:t>
      </w:r>
      <w:r>
        <w:t xml:space="preserve">, le propriétaire et l'adresse du compteur </w:t>
      </w:r>
      <w:r w:rsidR="009B2CA1">
        <w:t>général</w:t>
      </w:r>
      <w:r>
        <w:t xml:space="preserve"> sont rappelés.</w:t>
      </w:r>
      <w:r>
        <w:br/>
        <w:t xml:space="preserve">L'icône </w:t>
      </w:r>
      <w:r>
        <w:rPr>
          <w:noProof/>
          <w:lang w:eastAsia="fr-FR"/>
        </w:rPr>
        <w:drawing>
          <wp:inline distT="0" distB="0" distL="0" distR="0">
            <wp:extent cx="293370" cy="284480"/>
            <wp:effectExtent l="19050" t="0" r="0" b="0"/>
            <wp:docPr id="1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srcRect/>
                    <a:stretch>
                      <a:fillRect/>
                    </a:stretch>
                  </pic:blipFill>
                  <pic:spPr bwMode="auto">
                    <a:xfrm>
                      <a:off x="0" y="0"/>
                      <a:ext cx="293370" cy="284480"/>
                    </a:xfrm>
                    <a:prstGeom prst="rect">
                      <a:avLst/>
                    </a:prstGeom>
                    <a:noFill/>
                    <a:ln w="9525">
                      <a:noFill/>
                      <a:miter lim="800000"/>
                      <a:headEnd/>
                      <a:tailEnd/>
                    </a:ln>
                  </pic:spPr>
                </pic:pic>
              </a:graphicData>
            </a:graphic>
          </wp:inline>
        </w:drawing>
      </w:r>
      <w:r>
        <w:t xml:space="preserve"> permet d'accéder directement à la fiche PDC du compteur </w:t>
      </w:r>
      <w:r w:rsidR="009B2CA1">
        <w:t>général</w:t>
      </w:r>
      <w:r>
        <w:t>.</w:t>
      </w:r>
      <w:r>
        <w:br/>
        <w:t xml:space="preserve">La liste des relevés est présentée à droite. </w:t>
      </w:r>
    </w:p>
    <w:p w:rsidR="00BE1381" w:rsidRDefault="00BE1381" w:rsidP="00C50929">
      <w:r>
        <w:rPr>
          <w:noProof/>
          <w:lang w:eastAsia="fr-FR"/>
        </w:rPr>
        <w:lastRenderedPageBreak/>
        <w:drawing>
          <wp:inline distT="0" distB="0" distL="0" distR="0">
            <wp:extent cx="4830927" cy="2434399"/>
            <wp:effectExtent l="19050" t="0" r="7773" b="0"/>
            <wp:docPr id="1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srcRect/>
                    <a:stretch>
                      <a:fillRect/>
                    </a:stretch>
                  </pic:blipFill>
                  <pic:spPr bwMode="auto">
                    <a:xfrm>
                      <a:off x="0" y="0"/>
                      <a:ext cx="4830118" cy="2433991"/>
                    </a:xfrm>
                    <a:prstGeom prst="rect">
                      <a:avLst/>
                    </a:prstGeom>
                    <a:noFill/>
                    <a:ln w="9525">
                      <a:noFill/>
                      <a:miter lim="800000"/>
                      <a:headEnd/>
                      <a:tailEnd/>
                    </a:ln>
                  </pic:spPr>
                </pic:pic>
              </a:graphicData>
            </a:graphic>
          </wp:inline>
        </w:drawing>
      </w:r>
    </w:p>
    <w:p w:rsidR="00DB5717" w:rsidRDefault="00BE1381" w:rsidP="00C50929">
      <w:r>
        <w:t xml:space="preserve">Le </w:t>
      </w:r>
      <w:r w:rsidR="00DB5717">
        <w:t>bas</w:t>
      </w:r>
      <w:r>
        <w:t xml:space="preserve"> de la fenêtre présente la liste des compteurs divisionnaires.</w:t>
      </w:r>
      <w:r w:rsidR="00DB5717">
        <w:t xml:space="preserve"> </w:t>
      </w:r>
      <w:r w:rsidR="00DB5717">
        <w:br/>
        <w:t xml:space="preserve">Les compteurs divisionnaires </w:t>
      </w:r>
      <w:r w:rsidR="00B733EE">
        <w:t>ont</w:t>
      </w:r>
      <w:r w:rsidR="00DB5717">
        <w:t xml:space="preserve"> </w:t>
      </w:r>
      <w:r w:rsidR="00B733EE">
        <w:t xml:space="preserve"> </w:t>
      </w:r>
      <w:r w:rsidR="00DB5717">
        <w:t xml:space="preserve">souvent une adresse très proche des compteurs </w:t>
      </w:r>
      <w:r w:rsidR="00B733EE">
        <w:t>généraux</w:t>
      </w:r>
      <w:r w:rsidR="00DB5717">
        <w:t xml:space="preserve">. Seuls les éléments qui différencient les 2 adresses sont présentées pour les </w:t>
      </w:r>
      <w:r w:rsidR="00B733EE">
        <w:t xml:space="preserve">adresses des compteurs </w:t>
      </w:r>
      <w:r w:rsidR="00DB5717">
        <w:t>divisionnaires.</w:t>
      </w:r>
    </w:p>
    <w:p w:rsidR="00BE1381" w:rsidRDefault="00BE1381" w:rsidP="00C50929">
      <w:r>
        <w:br/>
        <w:t xml:space="preserve">Cliquez sur l'icone </w:t>
      </w:r>
      <w:r w:rsidRPr="00BE1381">
        <w:rPr>
          <w:noProof/>
          <w:lang w:eastAsia="fr-FR"/>
        </w:rPr>
        <w:drawing>
          <wp:inline distT="0" distB="0" distL="0" distR="0">
            <wp:extent cx="173508" cy="168250"/>
            <wp:effectExtent l="19050" t="0" r="0" b="0"/>
            <wp:docPr id="1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srcRect/>
                    <a:stretch>
                      <a:fillRect/>
                    </a:stretch>
                  </pic:blipFill>
                  <pic:spPr bwMode="auto">
                    <a:xfrm>
                      <a:off x="0" y="0"/>
                      <a:ext cx="173014" cy="167771"/>
                    </a:xfrm>
                    <a:prstGeom prst="rect">
                      <a:avLst/>
                    </a:prstGeom>
                    <a:noFill/>
                    <a:ln w="9525">
                      <a:noFill/>
                      <a:miter lim="800000"/>
                      <a:headEnd/>
                      <a:tailEnd/>
                    </a:ln>
                  </pic:spPr>
                </pic:pic>
              </a:graphicData>
            </a:graphic>
          </wp:inline>
        </w:drawing>
      </w:r>
      <w:r>
        <w:t xml:space="preserve"> pour voir la fiche PDC du compteur divisionnaire.</w:t>
      </w:r>
    </w:p>
    <w:p w:rsidR="00BE1381" w:rsidRDefault="00BE1381" w:rsidP="001D44F3">
      <w:pPr>
        <w:pStyle w:val="Titre2"/>
      </w:pPr>
      <w:bookmarkStart w:id="10" w:name="_Toc420686940"/>
      <w:r>
        <w:t>Gérer les PDC divisionnaires</w:t>
      </w:r>
      <w:bookmarkEnd w:id="10"/>
    </w:p>
    <w:p w:rsidR="00DB5717" w:rsidRDefault="00BE1381" w:rsidP="00C50929">
      <w:r>
        <w:br/>
        <w:t xml:space="preserve">Cet écran permet 2 actions </w:t>
      </w:r>
      <w:r w:rsidR="00DB5717">
        <w:t>pour faciliter la gestion des compteurs divisionnaires.</w:t>
      </w:r>
    </w:p>
    <w:p w:rsidR="004469C7" w:rsidRDefault="004469C7" w:rsidP="00C50929"/>
    <w:p w:rsidR="00BE1381" w:rsidRDefault="00DB5717" w:rsidP="00C50929">
      <w:r>
        <w:t>* Les compteurs peuvent être ordonnées.</w:t>
      </w:r>
      <w:r>
        <w:br/>
        <w:t xml:space="preserve">Cliquez d'abord sur le bouton </w:t>
      </w:r>
      <w:r>
        <w:rPr>
          <w:noProof/>
          <w:lang w:eastAsia="fr-FR"/>
        </w:rPr>
        <w:drawing>
          <wp:inline distT="0" distB="0" distL="0" distR="0">
            <wp:extent cx="858774" cy="209932"/>
            <wp:effectExtent l="19050" t="0" r="0" b="0"/>
            <wp:docPr id="1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srcRect/>
                    <a:stretch>
                      <a:fillRect/>
                    </a:stretch>
                  </pic:blipFill>
                  <pic:spPr bwMode="auto">
                    <a:xfrm>
                      <a:off x="0" y="0"/>
                      <a:ext cx="858977" cy="209982"/>
                    </a:xfrm>
                    <a:prstGeom prst="rect">
                      <a:avLst/>
                    </a:prstGeom>
                    <a:noFill/>
                    <a:ln w="9525">
                      <a:noFill/>
                      <a:miter lim="800000"/>
                      <a:headEnd/>
                      <a:tailEnd/>
                    </a:ln>
                  </pic:spPr>
                </pic:pic>
              </a:graphicData>
            </a:graphic>
          </wp:inline>
        </w:drawing>
      </w:r>
      <w:r>
        <w:t xml:space="preserve"> pour effectuer un premier ordonnancement.</w:t>
      </w:r>
      <w:r>
        <w:br/>
        <w:t>Utilisez ensuite les flèches bleues pour changer l'ordre des compteurs divisionnaires.</w:t>
      </w:r>
    </w:p>
    <w:p w:rsidR="004469C7" w:rsidRDefault="004469C7" w:rsidP="00C50929"/>
    <w:p w:rsidR="00DB5717" w:rsidRDefault="00DB5717" w:rsidP="00C50929">
      <w:r>
        <w:t>* PHASEO permet aussi de saisir un commentaire pour chacun des compteurs</w:t>
      </w:r>
    </w:p>
    <w:p w:rsidR="00DB5717" w:rsidRDefault="00DB5717" w:rsidP="00C50929">
      <w:r>
        <w:rPr>
          <w:noProof/>
          <w:lang w:eastAsia="fr-FR"/>
        </w:rPr>
        <w:drawing>
          <wp:inline distT="0" distB="0" distL="0" distR="0">
            <wp:extent cx="5745327" cy="1006256"/>
            <wp:effectExtent l="19050" t="19050" r="26823" b="22444"/>
            <wp:docPr id="1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srcRect/>
                    <a:stretch>
                      <a:fillRect/>
                    </a:stretch>
                  </pic:blipFill>
                  <pic:spPr bwMode="auto">
                    <a:xfrm>
                      <a:off x="0" y="0"/>
                      <a:ext cx="5747585" cy="1006651"/>
                    </a:xfrm>
                    <a:prstGeom prst="rect">
                      <a:avLst/>
                    </a:prstGeom>
                    <a:noFill/>
                    <a:ln w="9525">
                      <a:solidFill>
                        <a:schemeClr val="accent1"/>
                      </a:solidFill>
                      <a:miter lim="800000"/>
                      <a:headEnd/>
                      <a:tailEnd/>
                    </a:ln>
                  </pic:spPr>
                </pic:pic>
              </a:graphicData>
            </a:graphic>
          </wp:inline>
        </w:drawing>
      </w:r>
    </w:p>
    <w:p w:rsidR="00B75D0C" w:rsidRPr="00DB5717" w:rsidRDefault="00DB5717" w:rsidP="00C50929">
      <w:r>
        <w:t>Placez le curseur dans la colonne "Infos suppl." et effectue</w:t>
      </w:r>
      <w:r w:rsidR="004469C7">
        <w:t>z</w:t>
      </w:r>
      <w:r>
        <w:t xml:space="preserve"> votre saisie. Validez votre saisie par entrée.</w:t>
      </w:r>
      <w:r w:rsidR="00B75D0C">
        <w:br/>
        <w:t>Ce commentaire concerne uniquement le lien entre le compteur général et le compteur divisionnaire.</w:t>
      </w:r>
    </w:p>
    <w:p w:rsidR="00BE1381" w:rsidRDefault="00BE1381" w:rsidP="001D44F3">
      <w:pPr>
        <w:pStyle w:val="Titre2"/>
      </w:pPr>
      <w:bookmarkStart w:id="11" w:name="_Toc420686941"/>
      <w:r>
        <w:t>Gérer les déductions</w:t>
      </w:r>
      <w:bookmarkEnd w:id="11"/>
    </w:p>
    <w:p w:rsidR="007713CC" w:rsidRPr="006964E1" w:rsidRDefault="007713CC" w:rsidP="00C50929">
      <w:r>
        <w:br/>
        <w:t xml:space="preserve">Les relevés du compteur </w:t>
      </w:r>
      <w:r w:rsidR="009B2CA1">
        <w:t>général</w:t>
      </w:r>
      <w:r>
        <w:t xml:space="preserve"> apparaissent en haut à droite.</w:t>
      </w:r>
      <w:r>
        <w:br/>
        <w:t>Cliquez sur un relevé pour voir la liste des déductions associé à ce relevé.</w:t>
      </w:r>
    </w:p>
    <w:p w:rsidR="004469C7" w:rsidRDefault="007713CC" w:rsidP="00C50929">
      <w:r>
        <w:t>Le tableau des PDCs est automatiquement complété par les informations de relevés associés au compteur divisionnaire.</w:t>
      </w:r>
      <w:r>
        <w:br/>
        <w:t xml:space="preserve">La consommation </w:t>
      </w:r>
      <w:r w:rsidR="004469C7">
        <w:t xml:space="preserve">globale </w:t>
      </w:r>
      <w:r>
        <w:t xml:space="preserve">est affichée. </w:t>
      </w:r>
      <w:r w:rsidR="004469C7">
        <w:br/>
        <w:t>Si plusieurs relevés ont été déduits pour un compteur divisionnaire, l'état présente la somme des déductions. La date correspond au dernière relevé déduit.</w:t>
      </w:r>
    </w:p>
    <w:p w:rsidR="007713CC" w:rsidRDefault="007713CC" w:rsidP="00C50929">
      <w:r>
        <w:lastRenderedPageBreak/>
        <w:t>Si cette consommation est facturée, le montant de facture est affichée.</w:t>
      </w:r>
      <w:r>
        <w:br/>
        <w:t>L'icône en fin de ligne permet d'accéder directement au relevé qui est déduit.</w:t>
      </w:r>
      <w:r>
        <w:br/>
      </w:r>
      <w:r>
        <w:rPr>
          <w:noProof/>
          <w:lang w:eastAsia="fr-FR"/>
        </w:rPr>
        <w:drawing>
          <wp:inline distT="0" distB="0" distL="0" distR="0">
            <wp:extent cx="5577078" cy="2813066"/>
            <wp:effectExtent l="19050" t="0" r="4572" b="0"/>
            <wp:docPr id="25"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srcRect/>
                    <a:stretch>
                      <a:fillRect/>
                    </a:stretch>
                  </pic:blipFill>
                  <pic:spPr bwMode="auto">
                    <a:xfrm>
                      <a:off x="0" y="0"/>
                      <a:ext cx="5579895" cy="2814487"/>
                    </a:xfrm>
                    <a:prstGeom prst="rect">
                      <a:avLst/>
                    </a:prstGeom>
                    <a:noFill/>
                    <a:ln w="9525">
                      <a:noFill/>
                      <a:miter lim="800000"/>
                      <a:headEnd/>
                      <a:tailEnd/>
                    </a:ln>
                  </pic:spPr>
                </pic:pic>
              </a:graphicData>
            </a:graphic>
          </wp:inline>
        </w:drawing>
      </w:r>
    </w:p>
    <w:p w:rsidR="00A466FC" w:rsidRDefault="00575969" w:rsidP="00C50929">
      <w:pPr>
        <w:pStyle w:val="Titre1"/>
      </w:pPr>
      <w:bookmarkStart w:id="12" w:name="_Toc420686942"/>
      <w:r>
        <w:lastRenderedPageBreak/>
        <w:t>Intervenir sur</w:t>
      </w:r>
      <w:r w:rsidR="00181235">
        <w:t xml:space="preserve"> les relevés </w:t>
      </w:r>
      <w:r>
        <w:t xml:space="preserve"> et sur les déductions</w:t>
      </w:r>
      <w:bookmarkEnd w:id="12"/>
    </w:p>
    <w:p w:rsidR="00A466FC" w:rsidRDefault="00A466FC" w:rsidP="00C50929">
      <w:pPr>
        <w:pStyle w:val="Corpsdetexte"/>
      </w:pPr>
    </w:p>
    <w:p w:rsidR="003F2DB3" w:rsidRDefault="009C0931" w:rsidP="00C50929">
      <w:r>
        <w:t>P</w:t>
      </w:r>
      <w:r w:rsidR="00A466FC">
        <w:t xml:space="preserve">our facturer une relève de compteur général, </w:t>
      </w:r>
      <w:r w:rsidR="003F2DB3">
        <w:t>des déduction</w:t>
      </w:r>
      <w:r w:rsidR="004469C7">
        <w:t>s</w:t>
      </w:r>
      <w:r w:rsidR="003F2DB3">
        <w:t xml:space="preserve"> de consommation </w:t>
      </w:r>
      <w:r>
        <w:t xml:space="preserve">doivent être faites </w:t>
      </w:r>
      <w:r w:rsidR="003F2DB3">
        <w:t xml:space="preserve">pour </w:t>
      </w:r>
      <w:r>
        <w:t>chacun d</w:t>
      </w:r>
      <w:r w:rsidR="004469C7">
        <w:t>es compteurs divisionnaires.</w:t>
      </w:r>
      <w:r w:rsidR="004469C7">
        <w:br/>
        <w:t>La déduction est obligatoire si la date de relevé du compteur général est postérieure à la date de raccordement précisée lors de l'association du compteur général et du divisionnaire. Dans le cas contraire, il n'y a pas de déduction.</w:t>
      </w:r>
      <w:r w:rsidR="004469C7">
        <w:br/>
      </w:r>
    </w:p>
    <w:p w:rsidR="009112F3" w:rsidRDefault="003F2DB3" w:rsidP="00C50929">
      <w:r>
        <w:t xml:space="preserve">La </w:t>
      </w:r>
      <w:r w:rsidR="009C0931">
        <w:t>relevé</w:t>
      </w:r>
      <w:r>
        <w:t xml:space="preserve"> du compteur général est </w:t>
      </w:r>
      <w:r w:rsidR="009C0931">
        <w:t xml:space="preserve">associée automatiquement </w:t>
      </w:r>
      <w:r>
        <w:t xml:space="preserve">aux </w:t>
      </w:r>
      <w:r w:rsidR="009C0931">
        <w:t xml:space="preserve">relevé </w:t>
      </w:r>
      <w:r>
        <w:t>des différents compteurs divisionnaires.</w:t>
      </w:r>
    </w:p>
    <w:p w:rsidR="003F2DB3" w:rsidRDefault="003F2DB3" w:rsidP="00C50929">
      <w:r>
        <w:br/>
        <w:t xml:space="preserve">Si plusieurs </w:t>
      </w:r>
      <w:r w:rsidR="009C0931">
        <w:t>relevé</w:t>
      </w:r>
      <w:r w:rsidR="000642FF">
        <w:t>s</w:t>
      </w:r>
      <w:r w:rsidR="009C0931">
        <w:t xml:space="preserve"> </w:t>
      </w:r>
      <w:r>
        <w:t>ont été faits</w:t>
      </w:r>
      <w:r w:rsidR="009C0931">
        <w:t xml:space="preserve"> pour un compteur divisionnaire</w:t>
      </w:r>
      <w:r>
        <w:t xml:space="preserve"> sur la période, ils seront tous associés </w:t>
      </w:r>
      <w:r w:rsidR="009C0931">
        <w:t xml:space="preserve">au relevé </w:t>
      </w:r>
      <w:r>
        <w:t>du</w:t>
      </w:r>
      <w:r w:rsidR="009C0931">
        <w:t xml:space="preserve"> compteur général. Plusieurs déductions sont donc possibles pour un compteur divisionnaire.</w:t>
      </w:r>
    </w:p>
    <w:p w:rsidR="0032724F" w:rsidRDefault="003F2DB3" w:rsidP="00C50929">
      <w:r>
        <w:t>E</w:t>
      </w:r>
      <w:r w:rsidR="009C0931">
        <w:t>n cas d'absence d'un relevé pour un compteur divisionnaire</w:t>
      </w:r>
      <w:r w:rsidR="00D01C5B">
        <w:t xml:space="preserve">, la facturation de la relève </w:t>
      </w:r>
      <w:r w:rsidR="009C0931">
        <w:t>du compteur général est bloquée</w:t>
      </w:r>
      <w:r w:rsidR="00287AF4">
        <w:t xml:space="preserve"> </w:t>
      </w:r>
      <w:r w:rsidR="009C0931">
        <w:t xml:space="preserve"> comme indiqué dans l'exemple ci-dessous.</w:t>
      </w:r>
    </w:p>
    <w:p w:rsidR="009112F3" w:rsidRDefault="009112F3" w:rsidP="00C50929"/>
    <w:p w:rsidR="003F2DB3" w:rsidRDefault="0032724F" w:rsidP="00C50929">
      <w:r>
        <w:rPr>
          <w:noProof/>
          <w:lang w:eastAsia="fr-FR"/>
        </w:rPr>
        <w:drawing>
          <wp:inline distT="0" distB="0" distL="0" distR="0">
            <wp:extent cx="6642100" cy="3276600"/>
            <wp:effectExtent l="19050" t="0" r="6350" b="0"/>
            <wp:docPr id="37"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cstate="print"/>
                    <a:srcRect/>
                    <a:stretch>
                      <a:fillRect/>
                    </a:stretch>
                  </pic:blipFill>
                  <pic:spPr bwMode="auto">
                    <a:xfrm>
                      <a:off x="0" y="0"/>
                      <a:ext cx="6642100" cy="3276600"/>
                    </a:xfrm>
                    <a:prstGeom prst="rect">
                      <a:avLst/>
                    </a:prstGeom>
                    <a:noFill/>
                    <a:ln w="9525">
                      <a:noFill/>
                      <a:miter lim="800000"/>
                      <a:headEnd/>
                      <a:tailEnd/>
                    </a:ln>
                  </pic:spPr>
                </pic:pic>
              </a:graphicData>
            </a:graphic>
          </wp:inline>
        </w:drawing>
      </w:r>
    </w:p>
    <w:p w:rsidR="009C0931" w:rsidRDefault="004469C7" w:rsidP="00C50929">
      <w:r>
        <w:t>Dans l'onglet "Index de consommation", l</w:t>
      </w:r>
      <w:r w:rsidR="003F2DB3">
        <w:t>a liste présentée en bas à droite présente la liste des PDC divisionnaires et les déductions effectuées pour le relevé courant.</w:t>
      </w:r>
      <w:r w:rsidR="003F2DB3">
        <w:br/>
        <w:t xml:space="preserve">L'icone </w:t>
      </w:r>
      <w:r w:rsidR="00B733EE" w:rsidRPr="00B733EE">
        <w:rPr>
          <w:noProof/>
          <w:lang w:eastAsia="fr-FR"/>
        </w:rPr>
        <w:drawing>
          <wp:inline distT="0" distB="0" distL="0" distR="0">
            <wp:extent cx="173508" cy="168250"/>
            <wp:effectExtent l="19050" t="0" r="0" b="0"/>
            <wp:docPr id="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srcRect/>
                    <a:stretch>
                      <a:fillRect/>
                    </a:stretch>
                  </pic:blipFill>
                  <pic:spPr bwMode="auto">
                    <a:xfrm>
                      <a:off x="0" y="0"/>
                      <a:ext cx="173014" cy="167771"/>
                    </a:xfrm>
                    <a:prstGeom prst="rect">
                      <a:avLst/>
                    </a:prstGeom>
                    <a:noFill/>
                    <a:ln w="9525">
                      <a:noFill/>
                      <a:miter lim="800000"/>
                      <a:headEnd/>
                      <a:tailEnd/>
                    </a:ln>
                  </pic:spPr>
                </pic:pic>
              </a:graphicData>
            </a:graphic>
          </wp:inline>
        </w:drawing>
      </w:r>
      <w:r w:rsidR="003F2DB3">
        <w:t xml:space="preserve"> permet de se positionner sur le PDC divisionnaire.</w:t>
      </w:r>
      <w:r w:rsidR="003F2DB3">
        <w:br/>
        <w:t>L'icone verte permet de se positionner sur la relève avec une conso en déduction pour la relève courante.</w:t>
      </w:r>
      <w:r w:rsidR="003F2DB3">
        <w:br/>
      </w:r>
      <w:r w:rsidR="003F2DB3">
        <w:br/>
        <w:t>Dans cet exemple, la première ligne indique que</w:t>
      </w:r>
      <w:r>
        <w:t>,</w:t>
      </w:r>
      <w:r w:rsidR="003F2DB3">
        <w:t xml:space="preserve"> pour le 1er PDC, aucun relevé n'est disponible sur le compteur divisionnaire. La première icone permet de se positionner directement sur le PDC divisionnaire pour saisir un relevé.</w:t>
      </w:r>
    </w:p>
    <w:p w:rsidR="009C0931" w:rsidRDefault="004469C7" w:rsidP="00C50929">
      <w:r>
        <w:t>Une fois positionné sur le PDC divisionnaire, vous pouvez saisir un</w:t>
      </w:r>
      <w:r w:rsidR="009C0931">
        <w:t xml:space="preserve"> </w:t>
      </w:r>
      <w:r>
        <w:t>relevé estimé manuellement.</w:t>
      </w:r>
    </w:p>
    <w:p w:rsidR="00287AF4" w:rsidRDefault="00287AF4" w:rsidP="00C50929">
      <w:r>
        <w:rPr>
          <w:noProof/>
          <w:lang w:eastAsia="fr-FR"/>
        </w:rPr>
        <w:lastRenderedPageBreak/>
        <w:drawing>
          <wp:inline distT="0" distB="0" distL="0" distR="0">
            <wp:extent cx="4984750" cy="2939358"/>
            <wp:effectExtent l="19050" t="0" r="6350" b="0"/>
            <wp:docPr id="38"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srcRect/>
                    <a:stretch>
                      <a:fillRect/>
                    </a:stretch>
                  </pic:blipFill>
                  <pic:spPr bwMode="auto">
                    <a:xfrm>
                      <a:off x="0" y="0"/>
                      <a:ext cx="4984750" cy="2939358"/>
                    </a:xfrm>
                    <a:prstGeom prst="rect">
                      <a:avLst/>
                    </a:prstGeom>
                    <a:noFill/>
                    <a:ln w="9525">
                      <a:noFill/>
                      <a:miter lim="800000"/>
                      <a:headEnd/>
                      <a:tailEnd/>
                    </a:ln>
                  </pic:spPr>
                </pic:pic>
              </a:graphicData>
            </a:graphic>
          </wp:inline>
        </w:drawing>
      </w:r>
    </w:p>
    <w:p w:rsidR="0079295C" w:rsidRDefault="0079295C" w:rsidP="00C50929"/>
    <w:p w:rsidR="009C0931" w:rsidRDefault="009C0931" w:rsidP="00C50929">
      <w:r>
        <w:t>La déduction est automatiquement recalculée à chaque saisie ou modification de relevé pour le compteur général ou pour les divisionnaires.</w:t>
      </w:r>
      <w:r w:rsidR="0079295C">
        <w:t xml:space="preserve"> </w:t>
      </w:r>
      <w:r>
        <w:t>La saisie d'un relevé manquant pour un divisionnaire vient compléter la liste des déductions.</w:t>
      </w:r>
    </w:p>
    <w:p w:rsidR="00287AF4" w:rsidRDefault="00F1455C" w:rsidP="00C50929">
      <w:r>
        <w:t>Dés qu'une relève es</w:t>
      </w:r>
      <w:r w:rsidR="004469C7">
        <w:t xml:space="preserve">t saisie pur un divisionnaire, </w:t>
      </w:r>
      <w:r>
        <w:t>l</w:t>
      </w:r>
      <w:r w:rsidR="004469C7">
        <w:t>e</w:t>
      </w:r>
      <w:r>
        <w:t xml:space="preserve"> calcul des déductions est </w:t>
      </w:r>
      <w:r w:rsidR="004469C7">
        <w:t>automatiquement lancé</w:t>
      </w:r>
      <w:r>
        <w:t>. Sur l'exemple ci-dessus, l</w:t>
      </w:r>
      <w:r w:rsidR="00287AF4">
        <w:t>'icône en bas à droite ind</w:t>
      </w:r>
      <w:r w:rsidR="004469C7">
        <w:t>ique que le relevé a été déduit. Cliquez sur cette icône pour vous</w:t>
      </w:r>
      <w:r w:rsidR="00287AF4">
        <w:t xml:space="preserve"> repositionner sur le relevé du compteur général qui porte la déduction.</w:t>
      </w:r>
    </w:p>
    <w:p w:rsidR="0079295C" w:rsidRDefault="0079295C" w:rsidP="00C50929"/>
    <w:p w:rsidR="0079295C" w:rsidRDefault="009C0931" w:rsidP="00C50929">
      <w:r>
        <w:t>Le paragraphe suivant décrit en détail les conditions qui permettent d'associer le relevé d'un divisionnaire et le relevé du compteur général.</w:t>
      </w:r>
      <w:r>
        <w:br/>
      </w:r>
      <w:r w:rsidR="003F2DB3">
        <w:br/>
        <w:t xml:space="preserve">Les compteurs généraux ne peuvent pas </w:t>
      </w:r>
      <w:r w:rsidR="00F1455C">
        <w:t xml:space="preserve">être estimées automatiquement par PHASEO. Mais </w:t>
      </w:r>
      <w:r w:rsidR="004469C7">
        <w:t>vous pouvez créer un relevé avec une consommation estimée manuellement. Dés que le relevé et créé, les relevés des divisionnaires en attente seront déduits.</w:t>
      </w:r>
    </w:p>
    <w:p w:rsidR="004469C7" w:rsidRDefault="004469C7" w:rsidP="00C50929">
      <w:r>
        <w:br/>
        <w:t>Si aucune relevé de compteur général n'est présente, les déductions des compteurs divisionnaires rentent en attente. Plusieurs relevés de compteurs divisionnaires peuvent être déduites pour un compteur général.</w:t>
      </w:r>
    </w:p>
    <w:p w:rsidR="00D01C5B" w:rsidRDefault="00D01C5B" w:rsidP="00C50929"/>
    <w:p w:rsidR="005122A6" w:rsidRDefault="00D01C5B" w:rsidP="00C50929">
      <w:r>
        <w:rPr>
          <w:noProof/>
          <w:lang w:eastAsia="fr-FR"/>
        </w:rPr>
        <w:lastRenderedPageBreak/>
        <w:drawing>
          <wp:inline distT="0" distB="0" distL="0" distR="0">
            <wp:extent cx="6057900" cy="2962348"/>
            <wp:effectExtent l="19050" t="0" r="0" b="0"/>
            <wp:docPr id="35"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cstate="print"/>
                    <a:srcRect/>
                    <a:stretch>
                      <a:fillRect/>
                    </a:stretch>
                  </pic:blipFill>
                  <pic:spPr bwMode="auto">
                    <a:xfrm>
                      <a:off x="0" y="0"/>
                      <a:ext cx="6057900" cy="2962348"/>
                    </a:xfrm>
                    <a:prstGeom prst="rect">
                      <a:avLst/>
                    </a:prstGeom>
                    <a:noFill/>
                    <a:ln w="9525">
                      <a:noFill/>
                      <a:miter lim="800000"/>
                      <a:headEnd/>
                      <a:tailEnd/>
                    </a:ln>
                  </pic:spPr>
                </pic:pic>
              </a:graphicData>
            </a:graphic>
          </wp:inline>
        </w:drawing>
      </w:r>
    </w:p>
    <w:p w:rsidR="000D6335" w:rsidRDefault="000D6335" w:rsidP="00C50929">
      <w:pPr>
        <w:pStyle w:val="Corpsdetexte"/>
      </w:pPr>
    </w:p>
    <w:p w:rsidR="000642FF" w:rsidRDefault="000642FF" w:rsidP="00C50929">
      <w:r>
        <w:rPr>
          <w:noProof/>
          <w:lang w:eastAsia="fr-FR"/>
        </w:rPr>
        <w:drawing>
          <wp:inline distT="0" distB="0" distL="0" distR="0">
            <wp:extent cx="5346700" cy="3161972"/>
            <wp:effectExtent l="19050" t="0" r="6350" b="0"/>
            <wp:docPr id="40"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cstate="print"/>
                    <a:srcRect/>
                    <a:stretch>
                      <a:fillRect/>
                    </a:stretch>
                  </pic:blipFill>
                  <pic:spPr bwMode="auto">
                    <a:xfrm>
                      <a:off x="0" y="0"/>
                      <a:ext cx="5346700" cy="3161972"/>
                    </a:xfrm>
                    <a:prstGeom prst="rect">
                      <a:avLst/>
                    </a:prstGeom>
                    <a:noFill/>
                    <a:ln w="9525">
                      <a:noFill/>
                      <a:miter lim="800000"/>
                      <a:headEnd/>
                      <a:tailEnd/>
                    </a:ln>
                  </pic:spPr>
                </pic:pic>
              </a:graphicData>
            </a:graphic>
          </wp:inline>
        </w:drawing>
      </w:r>
    </w:p>
    <w:p w:rsidR="000642FF" w:rsidRDefault="000642FF" w:rsidP="00C50929">
      <w:r>
        <w:br/>
      </w:r>
      <w:r w:rsidR="0079295C">
        <w:t xml:space="preserve">La somme des consommations des divisionnaires apparait dans le champ "Correction calculée". Le volume déduit est aussi rappelé sur la ligne du relevé. </w:t>
      </w:r>
      <w:r>
        <w:br/>
        <w:t xml:space="preserve">La consommation qui sera facturée pour le compteur </w:t>
      </w:r>
      <w:r w:rsidR="009B2CA1">
        <w:t>général</w:t>
      </w:r>
      <w:r>
        <w:t xml:space="preserve"> est indiquée dans le champ "Con</w:t>
      </w:r>
      <w:r w:rsidR="00A827B3">
        <w:t>s</w:t>
      </w:r>
      <w:r>
        <w:t>o facturée".</w:t>
      </w:r>
    </w:p>
    <w:p w:rsidR="000642FF" w:rsidRDefault="000642FF" w:rsidP="00C50929"/>
    <w:p w:rsidR="00A466FC" w:rsidRDefault="000642FF" w:rsidP="00C50929">
      <w:r>
        <w:t>En plus de la correction automatique correspondant à la soustraction du volume consommé par les divisionnaires, PHASEO permet de saisir une correction  complémentaire dans le champ "Correction (+/-)". La valeur saisie vient</w:t>
      </w:r>
      <w:r w:rsidR="00A827B3">
        <w:t xml:space="preserve"> s'ajouter à la correction négative pour calculer la conso facturée.</w:t>
      </w:r>
    </w:p>
    <w:p w:rsidR="00C50929" w:rsidRDefault="00C50929" w:rsidP="00C50929"/>
    <w:p w:rsidR="00C50929" w:rsidRDefault="00A827B3" w:rsidP="00C50929">
      <w:r>
        <w:t>Dans certains cas, la consommation facturée peut devenir négative.</w:t>
      </w:r>
      <w:r w:rsidR="00C50929">
        <w:t xml:space="preserve"> </w:t>
      </w:r>
      <w:r>
        <w:t>Cela indique, par exemple, que le compteur général est trop imprécis pour comptabiliser les petites consos des divisionnaires.</w:t>
      </w:r>
    </w:p>
    <w:p w:rsidR="00A827B3" w:rsidRDefault="00A827B3" w:rsidP="00C50929">
      <w:r>
        <w:t>Dans ce cas, le champ "Correction (+/-)" permet de compenser la consommation négative pour obtenir une consommation facturée à 0.</w:t>
      </w:r>
    </w:p>
    <w:p w:rsidR="00C50929" w:rsidRDefault="00C50929" w:rsidP="00C50929"/>
    <w:p w:rsidR="00DB1707" w:rsidRDefault="00A827B3" w:rsidP="00C50929">
      <w:r>
        <w:lastRenderedPageBreak/>
        <w:t>Si une consommation facturée a une valeur négative, le relevé de consommation est automatiquement bloqué pour la facturation. Le relevé est débloqué automatiquement dés que la consommation facturée n'est plus négative.</w:t>
      </w:r>
      <w:r>
        <w:br/>
      </w:r>
      <w:r w:rsidR="0079295C">
        <w:t>Le relevé est également bloqué en cas de déduction incomplète.</w:t>
      </w:r>
      <w:r w:rsidR="0079295C">
        <w:br/>
      </w:r>
    </w:p>
    <w:p w:rsidR="00DB1707" w:rsidRDefault="00DB1707" w:rsidP="00C50929">
      <w:r>
        <w:t>PHASEO permet de forcer la facturation du compteur général même pour s'il manque des déductions.</w:t>
      </w:r>
    </w:p>
    <w:p w:rsidR="00A827B3" w:rsidRDefault="00A827B3" w:rsidP="00C50929">
      <w:r>
        <w:br/>
      </w:r>
      <w:r w:rsidR="00DB1707">
        <w:t>Pour autorisez</w:t>
      </w:r>
      <w:r w:rsidRPr="00C50929">
        <w:t xml:space="preserve"> la facturation d'un compteur </w:t>
      </w:r>
      <w:r w:rsidR="009B2CA1">
        <w:t>général</w:t>
      </w:r>
      <w:r w:rsidR="00DB1707">
        <w:t xml:space="preserve">, cliquez </w:t>
      </w:r>
      <w:r>
        <w:t xml:space="preserve">sur </w:t>
      </w:r>
      <w:r w:rsidR="00C50929">
        <w:t xml:space="preserve">l'icône </w:t>
      </w:r>
      <w:r w:rsidR="00C50929">
        <w:rPr>
          <w:noProof/>
          <w:lang w:eastAsia="fr-FR"/>
        </w:rPr>
        <w:drawing>
          <wp:inline distT="0" distB="0" distL="0" distR="0">
            <wp:extent cx="146050" cy="159742"/>
            <wp:effectExtent l="19050" t="0" r="6350" b="0"/>
            <wp:docPr id="42"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cstate="print"/>
                    <a:srcRect/>
                    <a:stretch>
                      <a:fillRect/>
                    </a:stretch>
                  </pic:blipFill>
                  <pic:spPr bwMode="auto">
                    <a:xfrm>
                      <a:off x="0" y="0"/>
                      <a:ext cx="146050" cy="159742"/>
                    </a:xfrm>
                    <a:prstGeom prst="rect">
                      <a:avLst/>
                    </a:prstGeom>
                    <a:noFill/>
                    <a:ln w="9525">
                      <a:noFill/>
                      <a:miter lim="800000"/>
                      <a:headEnd/>
                      <a:tailEnd/>
                    </a:ln>
                  </pic:spPr>
                </pic:pic>
              </a:graphicData>
            </a:graphic>
          </wp:inline>
        </w:drawing>
      </w:r>
      <w:r w:rsidR="00C50929">
        <w:t>pour supprimer le blocage du relevé.</w:t>
      </w:r>
    </w:p>
    <w:p w:rsidR="00C50929" w:rsidRDefault="00C50929" w:rsidP="00C50929"/>
    <w:p w:rsidR="00A827B3" w:rsidRDefault="00C50929" w:rsidP="00C50929">
      <w:r>
        <w:rPr>
          <w:noProof/>
          <w:lang w:eastAsia="fr-FR"/>
        </w:rPr>
        <w:drawing>
          <wp:inline distT="0" distB="0" distL="0" distR="0">
            <wp:extent cx="5041900" cy="920653"/>
            <wp:effectExtent l="19050" t="19050" r="25400" b="12797"/>
            <wp:docPr id="43"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cstate="print"/>
                    <a:srcRect/>
                    <a:stretch>
                      <a:fillRect/>
                    </a:stretch>
                  </pic:blipFill>
                  <pic:spPr bwMode="auto">
                    <a:xfrm>
                      <a:off x="0" y="0"/>
                      <a:ext cx="5041900" cy="920653"/>
                    </a:xfrm>
                    <a:prstGeom prst="rect">
                      <a:avLst/>
                    </a:prstGeom>
                    <a:noFill/>
                    <a:ln w="9525">
                      <a:solidFill>
                        <a:schemeClr val="accent1"/>
                      </a:solidFill>
                      <a:miter lim="800000"/>
                      <a:headEnd/>
                      <a:tailEnd/>
                    </a:ln>
                  </pic:spPr>
                </pic:pic>
              </a:graphicData>
            </a:graphic>
          </wp:inline>
        </w:drawing>
      </w:r>
    </w:p>
    <w:p w:rsidR="00DB1707" w:rsidRDefault="00DB1707" w:rsidP="00C50929">
      <w:r>
        <w:br/>
        <w:t>Les déductions seront faites pour les relevés des divisionnaires qui sont disponibles. La relève manquante sera déduite du prochain relevé du compteur général.</w:t>
      </w:r>
    </w:p>
    <w:p w:rsidR="00DB1707" w:rsidRDefault="00DB1707" w:rsidP="00C50929"/>
    <w:p w:rsidR="00DB1707" w:rsidRDefault="00DB1707" w:rsidP="00C50929"/>
    <w:p w:rsidR="00A466FC" w:rsidRDefault="00A466FC" w:rsidP="00C50929">
      <w:pPr>
        <w:pStyle w:val="Titre1"/>
      </w:pPr>
      <w:bookmarkStart w:id="13" w:name="_Toc420686943"/>
      <w:r>
        <w:lastRenderedPageBreak/>
        <w:t>Conditions sur les déductions</w:t>
      </w:r>
      <w:bookmarkEnd w:id="13"/>
    </w:p>
    <w:p w:rsidR="00A466FC" w:rsidRDefault="00A466FC" w:rsidP="00C50929">
      <w:pPr>
        <w:pStyle w:val="Corpsdetexte"/>
      </w:pPr>
    </w:p>
    <w:p w:rsidR="00A466FC" w:rsidRDefault="00A466FC" w:rsidP="00C50929">
      <w:r>
        <w:t xml:space="preserve">Une relève d'un compteur divisionnaire est déduite du compteur </w:t>
      </w:r>
      <w:r w:rsidR="009B2CA1">
        <w:t>général</w:t>
      </w:r>
      <w:r>
        <w:t xml:space="preserve"> si</w:t>
      </w:r>
    </w:p>
    <w:p w:rsidR="00A466FC" w:rsidRDefault="00A466FC" w:rsidP="00D91BAA">
      <w:pPr>
        <w:pStyle w:val="Paragraphedeliste"/>
        <w:numPr>
          <w:ilvl w:val="0"/>
          <w:numId w:val="10"/>
        </w:numPr>
      </w:pPr>
      <w:r>
        <w:t>la date des 2 relèves est suffisamment proche (voir c</w:t>
      </w:r>
      <w:r w:rsidR="00D01C5B">
        <w:t>i</w:t>
      </w:r>
      <w:r>
        <w:t>-dessous)</w:t>
      </w:r>
    </w:p>
    <w:p w:rsidR="00A466FC" w:rsidRDefault="00A466FC" w:rsidP="00D91BAA">
      <w:pPr>
        <w:pStyle w:val="Paragraphedeliste"/>
        <w:numPr>
          <w:ilvl w:val="0"/>
          <w:numId w:val="10"/>
        </w:numPr>
      </w:pPr>
      <w:r>
        <w:t>la relève n'a pas déjà été déduite d'une autre relève du compteur général.</w:t>
      </w:r>
    </w:p>
    <w:p w:rsidR="00A466FC" w:rsidRDefault="00D01C5B" w:rsidP="00D91BAA">
      <w:pPr>
        <w:pStyle w:val="Paragraphedeliste"/>
        <w:numPr>
          <w:ilvl w:val="0"/>
          <w:numId w:val="10"/>
        </w:numPr>
      </w:pPr>
      <w:r>
        <w:t xml:space="preserve">la date de relève </w:t>
      </w:r>
      <w:r w:rsidR="00D91BAA">
        <w:t xml:space="preserve">du compteur général </w:t>
      </w:r>
      <w:r>
        <w:t xml:space="preserve">est postérieure à la date de raccordement du compteur divisionnaire au compteur </w:t>
      </w:r>
      <w:r w:rsidR="009B2CA1">
        <w:t>général</w:t>
      </w:r>
    </w:p>
    <w:p w:rsidR="00D01C5B" w:rsidRDefault="00D01C5B" w:rsidP="00C50929"/>
    <w:p w:rsidR="00A466FC" w:rsidRDefault="00A466FC" w:rsidP="00C50929">
      <w:r>
        <w:t xml:space="preserve">Le paramètre PHASEO « DIV_DELAI » permet de préciser les écarts de date tolérés entre la relève du compteur divisionnaire et la relève du compteur général. </w:t>
      </w:r>
    </w:p>
    <w:p w:rsidR="001E3154" w:rsidRDefault="001E3154" w:rsidP="00C50929"/>
    <w:p w:rsidR="00A466FC" w:rsidRDefault="00A466FC" w:rsidP="00C50929">
      <w:r>
        <w:t>Deux valeurs sont ainsi précisées.</w:t>
      </w:r>
    </w:p>
    <w:p w:rsidR="001E3154" w:rsidRDefault="001E3154" w:rsidP="00C50929"/>
    <w:p w:rsidR="00DB1707" w:rsidRDefault="00A466FC" w:rsidP="00C50929">
      <w:r>
        <w:t xml:space="preserve">PARAM_NUM1 = délai maximum autorisé entre les 2 relèves pour effectuer la déduction (en jours). </w:t>
      </w:r>
      <w:r w:rsidR="001E3154">
        <w:t>Délai</w:t>
      </w:r>
      <w:r>
        <w:t xml:space="preserve"> pris en compte si la relève du divisionnaire est postérieure </w:t>
      </w:r>
      <w:r w:rsidR="00DB1707">
        <w:t>à la relève du compteur général.</w:t>
      </w:r>
      <w:r w:rsidR="00DB1707">
        <w:br/>
        <w:t>Ce paramètre est fixé à 60 jours par défaut.</w:t>
      </w:r>
    </w:p>
    <w:p w:rsidR="00A466FC" w:rsidRDefault="00DB1707" w:rsidP="00C50929">
      <w:r>
        <w:t>Les relevés des divisionnaires sont généralement faits à la même période. On tolère un écart de 2 mois d'écart entre la relève du compteur général et la relève du divisionnaire.</w:t>
      </w:r>
      <w:r>
        <w:br/>
        <w:t>Si les relevés systématiquement à la même date, le paramètre peut être fixé à 1.</w:t>
      </w:r>
    </w:p>
    <w:p w:rsidR="00DB1707" w:rsidRDefault="00DB1707" w:rsidP="00C50929"/>
    <w:p w:rsidR="00A466FC" w:rsidRDefault="00A466FC" w:rsidP="00C50929">
      <w:r>
        <w:t xml:space="preserve">PARAM_NUM2 = délai maximum autorisé entre les 2 relèves pour effectuer la déduction (en jours). </w:t>
      </w:r>
      <w:r w:rsidR="001E3154">
        <w:t>Délai</w:t>
      </w:r>
      <w:r>
        <w:t xml:space="preserve"> pris en compte si la relève du divisionnaire est antérieure à la relève du compteur général.</w:t>
      </w:r>
      <w:r w:rsidR="00DB1707">
        <w:br/>
        <w:t>Ce paramètre est fixé par défaut à 365 jours. Tous les relevés de l'année sont ainsi pris en compte pour la déduction.</w:t>
      </w:r>
    </w:p>
    <w:p w:rsidR="00A466FC" w:rsidRDefault="00DB1707" w:rsidP="00C50929">
      <w:r>
        <w:t>Si des relevés exceptionnels sont faits en cours d'année pour les compteurs divisionnaire, ils seront déduits automatiquement en plus du relevé de la tournée de relève.</w:t>
      </w:r>
    </w:p>
    <w:p w:rsidR="00DB1707" w:rsidRDefault="00DB1707" w:rsidP="00C50929"/>
    <w:p w:rsidR="00A466FC" w:rsidRDefault="00A466FC" w:rsidP="00C50929">
      <w:r>
        <w:t xml:space="preserve">Pour un compteur divisionnaire, plusieurs </w:t>
      </w:r>
      <w:r w:rsidR="00DB1707">
        <w:t xml:space="preserve">relevés </w:t>
      </w:r>
      <w:r>
        <w:t xml:space="preserve">répondent aux conditions, ces </w:t>
      </w:r>
      <w:r w:rsidR="00DB1707">
        <w:t>relevés sont déduit</w:t>
      </w:r>
      <w:r>
        <w:t>s.</w:t>
      </w:r>
    </w:p>
    <w:p w:rsidR="00A466FC" w:rsidRDefault="004E773F" w:rsidP="00C50929">
      <w:r>
        <w:t xml:space="preserve">PHASEO gère de manière automatique les déductions et les agents n'ont pas la possibilité </w:t>
      </w:r>
      <w:r w:rsidR="00A466FC">
        <w:t xml:space="preserve"> d'intervenir directement sur </w:t>
      </w:r>
      <w:r>
        <w:t>ce calcul</w:t>
      </w:r>
      <w:r w:rsidR="00A466FC">
        <w:t>. La déduction s'arrête si le lien entre les PDCs est supprimé.</w:t>
      </w:r>
    </w:p>
    <w:p w:rsidR="00A466FC" w:rsidRDefault="00A466FC" w:rsidP="00C50929">
      <w:pPr>
        <w:pStyle w:val="Titre1"/>
      </w:pPr>
      <w:bookmarkStart w:id="14" w:name="_Toc420686944"/>
      <w:r>
        <w:lastRenderedPageBreak/>
        <w:t>Etat de contrôle des déductions</w:t>
      </w:r>
      <w:bookmarkEnd w:id="14"/>
    </w:p>
    <w:p w:rsidR="00A466FC" w:rsidRDefault="00A466FC" w:rsidP="00AB2545"/>
    <w:p w:rsidR="00AB2545" w:rsidRDefault="00AB2545" w:rsidP="00AB2545">
      <w:r>
        <w:t>Ouvrez le module des analyse, choisissez l'état et indiquer la période à vérifier</w:t>
      </w:r>
    </w:p>
    <w:p w:rsidR="00AB2545" w:rsidRDefault="00AB2545" w:rsidP="00AB2545">
      <w:r>
        <w:rPr>
          <w:noProof/>
          <w:lang w:eastAsia="fr-FR"/>
        </w:rPr>
        <w:drawing>
          <wp:inline distT="0" distB="0" distL="0" distR="0">
            <wp:extent cx="2578100" cy="2465721"/>
            <wp:effectExtent l="19050" t="0" r="0" b="0"/>
            <wp:docPr id="45"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cstate="print"/>
                    <a:srcRect/>
                    <a:stretch>
                      <a:fillRect/>
                    </a:stretch>
                  </pic:blipFill>
                  <pic:spPr bwMode="auto">
                    <a:xfrm>
                      <a:off x="0" y="0"/>
                      <a:ext cx="2578100" cy="2465721"/>
                    </a:xfrm>
                    <a:prstGeom prst="rect">
                      <a:avLst/>
                    </a:prstGeom>
                    <a:noFill/>
                    <a:ln w="9525">
                      <a:noFill/>
                      <a:miter lim="800000"/>
                      <a:headEnd/>
                      <a:tailEnd/>
                    </a:ln>
                  </pic:spPr>
                </pic:pic>
              </a:graphicData>
            </a:graphic>
          </wp:inline>
        </w:drawing>
      </w:r>
    </w:p>
    <w:p w:rsidR="00AB2545" w:rsidRDefault="00AB2545" w:rsidP="00AB2545"/>
    <w:p w:rsidR="00AB2545" w:rsidRDefault="00A466FC" w:rsidP="00AB2545">
      <w:r>
        <w:t xml:space="preserve">Cet état </w:t>
      </w:r>
      <w:r w:rsidR="00AB2545">
        <w:t>se base d'abord sur une période.</w:t>
      </w:r>
      <w:r w:rsidR="00AB2545">
        <w:br/>
        <w:t>Il permet de faire la liste des rel</w:t>
      </w:r>
      <w:r w:rsidR="00916540">
        <w:t>e</w:t>
      </w:r>
      <w:r w:rsidR="00AB2545">
        <w:t>v</w:t>
      </w:r>
      <w:r w:rsidR="00916540">
        <w:t>é</w:t>
      </w:r>
      <w:r w:rsidR="00AB2545">
        <w:t>s effectués pour les compteurs généraux sur une période et donne l'état des déductions.</w:t>
      </w:r>
      <w:r w:rsidR="00AB2545">
        <w:br/>
      </w:r>
    </w:p>
    <w:p w:rsidR="007E0825" w:rsidRDefault="007E0825">
      <w:pPr>
        <w:spacing w:after="200"/>
      </w:pPr>
      <w:r>
        <w:br w:type="page"/>
      </w:r>
    </w:p>
    <w:p w:rsidR="00A466FC" w:rsidRDefault="00AB2545" w:rsidP="007E0825">
      <w:r>
        <w:lastRenderedPageBreak/>
        <w:t>Les compteurs généraux qui n'ont pas été relevés sont cités dans l'état</w:t>
      </w:r>
      <w:r w:rsidR="00916540">
        <w:t xml:space="preserve"> pour signaler l'absence de relevé</w:t>
      </w:r>
      <w:r>
        <w:t>.</w:t>
      </w:r>
      <w:r>
        <w:br/>
      </w:r>
      <w:r>
        <w:br/>
        <w:t>Pour chaque relève</w:t>
      </w:r>
      <w:r w:rsidR="00B55B0C">
        <w:t xml:space="preserve"> du compteur général</w:t>
      </w:r>
      <w:r>
        <w:t>, on indique la liste des PDC divisionnaires et tous les relevés divisionnaires déduits.</w:t>
      </w:r>
    </w:p>
    <w:p w:rsidR="00206651" w:rsidRDefault="00345B6D" w:rsidP="00C50929">
      <w:pPr>
        <w:pStyle w:val="Corpsdetexte"/>
      </w:pPr>
      <w:r>
        <w:rPr>
          <w:noProof/>
          <w:lang w:eastAsia="fr-FR"/>
        </w:rPr>
        <w:drawing>
          <wp:inline distT="0" distB="0" distL="0" distR="0">
            <wp:extent cx="5620145" cy="4819650"/>
            <wp:effectExtent l="19050" t="19050" r="18655" b="19050"/>
            <wp:docPr id="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srcRect/>
                    <a:stretch>
                      <a:fillRect/>
                    </a:stretch>
                  </pic:blipFill>
                  <pic:spPr bwMode="auto">
                    <a:xfrm>
                      <a:off x="0" y="0"/>
                      <a:ext cx="5620145" cy="4819650"/>
                    </a:xfrm>
                    <a:prstGeom prst="rect">
                      <a:avLst/>
                    </a:prstGeom>
                    <a:noFill/>
                    <a:ln w="9525">
                      <a:solidFill>
                        <a:schemeClr val="accent1"/>
                      </a:solidFill>
                      <a:miter lim="800000"/>
                      <a:headEnd/>
                      <a:tailEnd/>
                    </a:ln>
                  </pic:spPr>
                </pic:pic>
              </a:graphicData>
            </a:graphic>
          </wp:inline>
        </w:drawing>
      </w:r>
    </w:p>
    <w:p w:rsidR="00AB2545" w:rsidRDefault="004E773F" w:rsidP="00AB2545">
      <w:r>
        <w:t>Dans cet exemple,</w:t>
      </w:r>
    </w:p>
    <w:p w:rsidR="004E773F" w:rsidRDefault="004E773F" w:rsidP="00AB2545">
      <w:r>
        <w:t>- il manque 2 déductions de compteurs divisionnaires</w:t>
      </w:r>
    </w:p>
    <w:p w:rsidR="00103ED4" w:rsidRDefault="004E773F" w:rsidP="00AB2545">
      <w:r>
        <w:t xml:space="preserve">- un volume complémentaire de 2 m3 a été ajouté pour compléter les déductions. </w:t>
      </w:r>
    </w:p>
    <w:p w:rsidR="004E773F" w:rsidRDefault="004E773F" w:rsidP="00AB2545"/>
    <w:p w:rsidR="004E773F" w:rsidRDefault="004E773F" w:rsidP="004E773F">
      <w:r>
        <w:t xml:space="preserve">Reportez-vous au paragraphe 4 pour </w:t>
      </w:r>
      <w:r w:rsidR="00F06332">
        <w:t>retrouver l'ensemble des déductions sur un compteur général et intervenir sur les déductions</w:t>
      </w:r>
      <w:r>
        <w:t>.</w:t>
      </w:r>
    </w:p>
    <w:p w:rsidR="004E773F" w:rsidRDefault="004E773F" w:rsidP="00AB2545"/>
    <w:p w:rsidR="00EE19C6" w:rsidRPr="000D6335" w:rsidRDefault="00EE19C6" w:rsidP="00AB2545"/>
    <w:sectPr w:rsidR="00EE19C6" w:rsidRPr="000D6335" w:rsidSect="002F6B83">
      <w:footerReference w:type="default" r:id="rId34"/>
      <w:pgSz w:w="11906" w:h="16838"/>
      <w:pgMar w:top="720" w:right="720" w:bottom="720" w:left="720" w:header="284" w:footer="845"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73AE3" w:rsidRDefault="00A73AE3" w:rsidP="00C50929">
      <w:r>
        <w:separator/>
      </w:r>
    </w:p>
  </w:endnote>
  <w:endnote w:type="continuationSeparator" w:id="1">
    <w:p w:rsidR="00A73AE3" w:rsidRDefault="00A73AE3" w:rsidP="00C50929">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font224">
    <w:altName w:val="Times New Roman"/>
    <w:charset w:val="00"/>
    <w:family w:val="auto"/>
    <w:pitch w:val="variable"/>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65D1" w:rsidRDefault="006D0FEF" w:rsidP="00C50929">
    <w:pPr>
      <w:pStyle w:val="Pieddepage"/>
    </w:pPr>
    <w:r>
      <w:rPr>
        <w:noProof/>
        <w:lang w:eastAsia="fr-FR"/>
      </w:rPr>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_x0000_s3075" type="#_x0000_t65" style="position:absolute;margin-left:-23.05pt;margin-top:14.05pt;width:29pt;height:21.6pt;z-index:251658240;mso-position-horizontal-relative:right-margin-area;mso-position-vertical-relative:bottom-margin-area" o:allowincell="f" adj="14135" strokecolor="gray [1629]" strokeweight=".25pt">
          <v:textbox style="mso-next-textbox:#_x0000_s3075">
            <w:txbxContent>
              <w:p w:rsidR="00A867CE" w:rsidRDefault="006D0FEF" w:rsidP="00C50929">
                <w:fldSimple w:instr=" PAGE    \* MERGEFORMAT ">
                  <w:r w:rsidR="00B34A70" w:rsidRPr="00B34A70">
                    <w:rPr>
                      <w:noProof/>
                      <w:sz w:val="16"/>
                      <w:szCs w:val="16"/>
                    </w:rPr>
                    <w:t>1</w:t>
                  </w:r>
                </w:fldSimple>
              </w:p>
            </w:txbxContent>
          </v:textbox>
          <w10:wrap anchorx="page" anchory="page"/>
        </v:shape>
      </w:pict>
    </w:r>
    <w:r w:rsidR="000E65D1">
      <w:rPr>
        <w:noProof/>
        <w:lang w:eastAsia="fr-FR"/>
      </w:rPr>
      <w:drawing>
        <wp:inline distT="0" distB="0" distL="0" distR="0">
          <wp:extent cx="520065" cy="400050"/>
          <wp:effectExtent l="19050" t="0" r="0" b="0"/>
          <wp:docPr id="2" name="Image 2" descr="D:\Sources\Version en cours\Graphique\icones\JBA-Soft\jba-soft78x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ources\Version en cours\Graphique\icones\JBA-Soft\jba-soft78x60.jpg"/>
                  <pic:cNvPicPr>
                    <a:picLocks noChangeAspect="1" noChangeArrowheads="1"/>
                  </pic:cNvPicPr>
                </pic:nvPicPr>
                <pic:blipFill>
                  <a:blip r:embed="rId1"/>
                  <a:srcRect/>
                  <a:stretch>
                    <a:fillRect/>
                  </a:stretch>
                </pic:blipFill>
                <pic:spPr bwMode="auto">
                  <a:xfrm>
                    <a:off x="0" y="0"/>
                    <a:ext cx="520065" cy="400050"/>
                  </a:xfrm>
                  <a:prstGeom prst="rect">
                    <a:avLst/>
                  </a:prstGeom>
                  <a:noFill/>
                  <a:ln w="9525">
                    <a:noFill/>
                    <a:miter lim="800000"/>
                    <a:headEnd/>
                    <a:tailEnd/>
                  </a:ln>
                </pic:spPr>
              </pic:pic>
            </a:graphicData>
          </a:graphic>
        </wp:inline>
      </w:drawing>
    </w:r>
    <w:r w:rsidR="000E65D1">
      <w:t xml:space="preserve">    </w:t>
    </w:r>
    <w:r w:rsidR="0018366F">
      <w:t xml:space="preserve">      </w:t>
    </w:r>
    <w:r w:rsidR="000E65D1">
      <w:t xml:space="preserve">         Document confidentiel                         Propriété exclusive de JBA-Soft</w:t>
    </w:r>
    <w:r w:rsidR="00A867CE">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73AE3" w:rsidRDefault="00A73AE3" w:rsidP="00C50929">
      <w:r>
        <w:separator/>
      </w:r>
    </w:p>
  </w:footnote>
  <w:footnote w:type="continuationSeparator" w:id="1">
    <w:p w:rsidR="00A73AE3" w:rsidRDefault="00A73AE3" w:rsidP="00C5092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2"/>
    <w:multiLevelType w:val="multilevel"/>
    <w:tmpl w:val="00000002"/>
    <w:name w:val="WW8Num2"/>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1">
    <w:nsid w:val="016413EE"/>
    <w:multiLevelType w:val="hybridMultilevel"/>
    <w:tmpl w:val="A4421BE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nsid w:val="02A52440"/>
    <w:multiLevelType w:val="hybridMultilevel"/>
    <w:tmpl w:val="B336980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nsid w:val="09121DC0"/>
    <w:multiLevelType w:val="hybridMultilevel"/>
    <w:tmpl w:val="212E2FF0"/>
    <w:lvl w:ilvl="0" w:tplc="D680A3CA">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324419F2"/>
    <w:multiLevelType w:val="hybridMultilevel"/>
    <w:tmpl w:val="12E645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42FE5F12"/>
    <w:multiLevelType w:val="hybridMultilevel"/>
    <w:tmpl w:val="E910CCAC"/>
    <w:lvl w:ilvl="0" w:tplc="040C000F">
      <w:start w:val="1"/>
      <w:numFmt w:val="decimal"/>
      <w:lvlText w:val="%1."/>
      <w:lvlJc w:val="left"/>
      <w:pPr>
        <w:ind w:left="1440" w:hanging="360"/>
      </w:pPr>
    </w:lvl>
    <w:lvl w:ilvl="1" w:tplc="92E2509C">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6">
    <w:nsid w:val="4CFF12F0"/>
    <w:multiLevelType w:val="hybridMultilevel"/>
    <w:tmpl w:val="84DC85FE"/>
    <w:lvl w:ilvl="0" w:tplc="D680A3CA">
      <w:numFmt w:val="bullet"/>
      <w:lvlText w:val="-"/>
      <w:lvlJc w:val="left"/>
      <w:pPr>
        <w:ind w:left="360" w:hanging="360"/>
      </w:pPr>
      <w:rPr>
        <w:rFonts w:ascii="Calibri" w:eastAsiaTheme="minorHAnsi" w:hAnsi="Calibri" w:cstheme="minorBid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nsid w:val="5C002F64"/>
    <w:multiLevelType w:val="hybridMultilevel"/>
    <w:tmpl w:val="865ACB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5CBB4E64"/>
    <w:multiLevelType w:val="hybridMultilevel"/>
    <w:tmpl w:val="3C1C8358"/>
    <w:lvl w:ilvl="0" w:tplc="334A0198">
      <w:start w:val="1"/>
      <w:numFmt w:val="decimal"/>
      <w:lvlText w:val="%1."/>
      <w:lvlJc w:val="left"/>
      <w:pPr>
        <w:ind w:left="1080" w:hanging="360"/>
      </w:pPr>
    </w:lvl>
    <w:lvl w:ilvl="1" w:tplc="BA8644DC">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
    <w:nsid w:val="777502B8"/>
    <w:multiLevelType w:val="hybridMultilevel"/>
    <w:tmpl w:val="66A8CEFA"/>
    <w:lvl w:ilvl="0" w:tplc="C50284A0">
      <w:start w:val="1"/>
      <w:numFmt w:val="decimal"/>
      <w:pStyle w:val="Titre1"/>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4"/>
  </w:num>
  <w:num w:numId="2">
    <w:abstractNumId w:val="9"/>
  </w:num>
  <w:num w:numId="3">
    <w:abstractNumId w:val="8"/>
  </w:num>
  <w:num w:numId="4">
    <w:abstractNumId w:val="8"/>
    <w:lvlOverride w:ilvl="0">
      <w:startOverride w:val="1"/>
    </w:lvlOverride>
  </w:num>
  <w:num w:numId="5">
    <w:abstractNumId w:val="7"/>
  </w:num>
  <w:num w:numId="6">
    <w:abstractNumId w:val="3"/>
  </w:num>
  <w:num w:numId="7">
    <w:abstractNumId w:val="5"/>
  </w:num>
  <w:num w:numId="8">
    <w:abstractNumId w:val="6"/>
  </w:num>
  <w:num w:numId="9">
    <w:abstractNumId w:val="2"/>
  </w:num>
  <w:num w:numId="10">
    <w:abstractNumId w:val="1"/>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08"/>
  <w:hyphenationZone w:val="425"/>
  <w:drawingGridHorizontalSpacing w:val="110"/>
  <w:displayHorizontalDrawingGridEvery w:val="2"/>
  <w:characterSpacingControl w:val="doNotCompress"/>
  <w:hdrShapeDefaults>
    <o:shapedefaults v:ext="edit" spidmax="30722"/>
    <o:shapelayout v:ext="edit">
      <o:idmap v:ext="edit" data="3"/>
    </o:shapelayout>
  </w:hdrShapeDefaults>
  <w:footnotePr>
    <w:footnote w:id="0"/>
    <w:footnote w:id="1"/>
  </w:footnotePr>
  <w:endnotePr>
    <w:endnote w:id="0"/>
    <w:endnote w:id="1"/>
  </w:endnotePr>
  <w:compat/>
  <w:rsids>
    <w:rsidRoot w:val="008A5BFA"/>
    <w:rsid w:val="0002301E"/>
    <w:rsid w:val="0004261B"/>
    <w:rsid w:val="00053DDC"/>
    <w:rsid w:val="000642FF"/>
    <w:rsid w:val="000817A1"/>
    <w:rsid w:val="00082B31"/>
    <w:rsid w:val="000C1D69"/>
    <w:rsid w:val="000D3277"/>
    <w:rsid w:val="000D6335"/>
    <w:rsid w:val="000E65D1"/>
    <w:rsid w:val="00103ED4"/>
    <w:rsid w:val="00181235"/>
    <w:rsid w:val="0018366F"/>
    <w:rsid w:val="00196AA8"/>
    <w:rsid w:val="001D44F3"/>
    <w:rsid w:val="001E20D3"/>
    <w:rsid w:val="001E3154"/>
    <w:rsid w:val="001F5569"/>
    <w:rsid w:val="00206651"/>
    <w:rsid w:val="00216CAC"/>
    <w:rsid w:val="00227CC2"/>
    <w:rsid w:val="002416AD"/>
    <w:rsid w:val="00254AD3"/>
    <w:rsid w:val="002614DD"/>
    <w:rsid w:val="002664C1"/>
    <w:rsid w:val="00287AF4"/>
    <w:rsid w:val="002A58CD"/>
    <w:rsid w:val="002B3E30"/>
    <w:rsid w:val="002D2A66"/>
    <w:rsid w:val="002E0BFB"/>
    <w:rsid w:val="002F6B83"/>
    <w:rsid w:val="00301FDC"/>
    <w:rsid w:val="00317892"/>
    <w:rsid w:val="0032724F"/>
    <w:rsid w:val="00331DF5"/>
    <w:rsid w:val="00345B6D"/>
    <w:rsid w:val="0035074C"/>
    <w:rsid w:val="00384766"/>
    <w:rsid w:val="003A319C"/>
    <w:rsid w:val="003A79BA"/>
    <w:rsid w:val="003D60C9"/>
    <w:rsid w:val="003F2DB3"/>
    <w:rsid w:val="003F3EB5"/>
    <w:rsid w:val="00416312"/>
    <w:rsid w:val="00417AEF"/>
    <w:rsid w:val="00440394"/>
    <w:rsid w:val="004469C7"/>
    <w:rsid w:val="004C178E"/>
    <w:rsid w:val="004D21AD"/>
    <w:rsid w:val="004D355E"/>
    <w:rsid w:val="004E773F"/>
    <w:rsid w:val="004F4DCB"/>
    <w:rsid w:val="005122A6"/>
    <w:rsid w:val="00541929"/>
    <w:rsid w:val="0054628C"/>
    <w:rsid w:val="00572DF6"/>
    <w:rsid w:val="00575969"/>
    <w:rsid w:val="00592FE0"/>
    <w:rsid w:val="005A1A28"/>
    <w:rsid w:val="005C2C3E"/>
    <w:rsid w:val="005D3CD6"/>
    <w:rsid w:val="005F58F9"/>
    <w:rsid w:val="0061294B"/>
    <w:rsid w:val="006129EA"/>
    <w:rsid w:val="006178AB"/>
    <w:rsid w:val="00682E8B"/>
    <w:rsid w:val="00694EA8"/>
    <w:rsid w:val="006964E1"/>
    <w:rsid w:val="006A3692"/>
    <w:rsid w:val="006D0FEF"/>
    <w:rsid w:val="006D6E38"/>
    <w:rsid w:val="0072572C"/>
    <w:rsid w:val="00734517"/>
    <w:rsid w:val="007713CC"/>
    <w:rsid w:val="00773031"/>
    <w:rsid w:val="007842F9"/>
    <w:rsid w:val="0078768C"/>
    <w:rsid w:val="0079295C"/>
    <w:rsid w:val="007A3271"/>
    <w:rsid w:val="007A52A7"/>
    <w:rsid w:val="007D1E80"/>
    <w:rsid w:val="007E0825"/>
    <w:rsid w:val="007F766D"/>
    <w:rsid w:val="0080050E"/>
    <w:rsid w:val="00840232"/>
    <w:rsid w:val="00857333"/>
    <w:rsid w:val="008A5BFA"/>
    <w:rsid w:val="008C5D40"/>
    <w:rsid w:val="008D2274"/>
    <w:rsid w:val="008D4473"/>
    <w:rsid w:val="008E44F1"/>
    <w:rsid w:val="009112F3"/>
    <w:rsid w:val="00916540"/>
    <w:rsid w:val="009851D8"/>
    <w:rsid w:val="009B2CA1"/>
    <w:rsid w:val="009C0931"/>
    <w:rsid w:val="009E61CA"/>
    <w:rsid w:val="00A1405A"/>
    <w:rsid w:val="00A23320"/>
    <w:rsid w:val="00A330D5"/>
    <w:rsid w:val="00A44160"/>
    <w:rsid w:val="00A44BD4"/>
    <w:rsid w:val="00A466FC"/>
    <w:rsid w:val="00A73AE3"/>
    <w:rsid w:val="00A827B3"/>
    <w:rsid w:val="00A867CE"/>
    <w:rsid w:val="00A9502B"/>
    <w:rsid w:val="00AB2545"/>
    <w:rsid w:val="00AE7FAB"/>
    <w:rsid w:val="00AF5597"/>
    <w:rsid w:val="00B34A70"/>
    <w:rsid w:val="00B50DCD"/>
    <w:rsid w:val="00B55B0C"/>
    <w:rsid w:val="00B6417A"/>
    <w:rsid w:val="00B733EE"/>
    <w:rsid w:val="00B75D0C"/>
    <w:rsid w:val="00BB5500"/>
    <w:rsid w:val="00BC76B6"/>
    <w:rsid w:val="00BD0B69"/>
    <w:rsid w:val="00BE1381"/>
    <w:rsid w:val="00C42FAD"/>
    <w:rsid w:val="00C50929"/>
    <w:rsid w:val="00C53462"/>
    <w:rsid w:val="00C53B69"/>
    <w:rsid w:val="00C970AA"/>
    <w:rsid w:val="00CA7550"/>
    <w:rsid w:val="00CB63BC"/>
    <w:rsid w:val="00CD5BDC"/>
    <w:rsid w:val="00D01C5B"/>
    <w:rsid w:val="00D40D34"/>
    <w:rsid w:val="00D50DF2"/>
    <w:rsid w:val="00D76388"/>
    <w:rsid w:val="00D91BAA"/>
    <w:rsid w:val="00D93017"/>
    <w:rsid w:val="00DB1707"/>
    <w:rsid w:val="00DB5717"/>
    <w:rsid w:val="00E05A80"/>
    <w:rsid w:val="00E167E4"/>
    <w:rsid w:val="00E245A2"/>
    <w:rsid w:val="00E603E3"/>
    <w:rsid w:val="00E75875"/>
    <w:rsid w:val="00E75EB0"/>
    <w:rsid w:val="00EB1DDE"/>
    <w:rsid w:val="00EB339A"/>
    <w:rsid w:val="00EC6AAC"/>
    <w:rsid w:val="00EE19C6"/>
    <w:rsid w:val="00EE1B2A"/>
    <w:rsid w:val="00EF5A89"/>
    <w:rsid w:val="00F06332"/>
    <w:rsid w:val="00F1455C"/>
    <w:rsid w:val="00F35DE4"/>
    <w:rsid w:val="00F7074C"/>
    <w:rsid w:val="00F936C0"/>
    <w:rsid w:val="00FA152F"/>
    <w:rsid w:val="00FD32E8"/>
    <w:rsid w:val="00FD5615"/>
    <w:rsid w:val="00FE33A7"/>
    <w:rsid w:val="00FE4B73"/>
    <w:rsid w:val="00FF656B"/>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0929"/>
    <w:pPr>
      <w:spacing w:after="0"/>
    </w:pPr>
  </w:style>
  <w:style w:type="paragraph" w:styleId="Titre1">
    <w:name w:val="heading 1"/>
    <w:basedOn w:val="Normal"/>
    <w:next w:val="Normal"/>
    <w:link w:val="Titre1Car"/>
    <w:uiPriority w:val="9"/>
    <w:qFormat/>
    <w:rsid w:val="00A1405A"/>
    <w:pPr>
      <w:keepNext/>
      <w:keepLines/>
      <w:pageBreakBefore/>
      <w:numPr>
        <w:numId w:val="2"/>
      </w:numPr>
      <w:spacing w:before="480" w:line="240" w:lineRule="auto"/>
      <w:outlineLvl w:val="0"/>
    </w:pPr>
    <w:rPr>
      <w:rFonts w:asciiTheme="majorHAnsi" w:eastAsiaTheme="majorEastAsia" w:hAnsiTheme="majorHAnsi" w:cstheme="majorBidi"/>
      <w:b/>
      <w:bCs/>
      <w:color w:val="1F497D" w:themeColor="text2"/>
      <w:sz w:val="36"/>
      <w:szCs w:val="28"/>
      <w:u w:val="single"/>
    </w:rPr>
  </w:style>
  <w:style w:type="paragraph" w:styleId="Titre2">
    <w:name w:val="heading 2"/>
    <w:basedOn w:val="Normal"/>
    <w:next w:val="Normal"/>
    <w:link w:val="Titre2Car"/>
    <w:uiPriority w:val="9"/>
    <w:unhideWhenUsed/>
    <w:qFormat/>
    <w:rsid w:val="001D44F3"/>
    <w:pPr>
      <w:keepNext/>
      <w:keepLines/>
      <w:spacing w:before="200"/>
      <w:ind w:left="708"/>
      <w:outlineLvl w:val="1"/>
    </w:pPr>
    <w:rPr>
      <w:rFonts w:asciiTheme="majorHAnsi" w:eastAsiaTheme="majorEastAsia" w:hAnsiTheme="majorHAnsi" w:cstheme="majorBidi"/>
      <w:b/>
      <w:bCs/>
      <w:color w:val="1F497D" w:themeColor="text2"/>
      <w:sz w:val="28"/>
      <w:szCs w:val="24"/>
      <w:u w:val="single"/>
    </w:rPr>
  </w:style>
  <w:style w:type="paragraph" w:styleId="Titre3">
    <w:name w:val="heading 3"/>
    <w:basedOn w:val="Normal"/>
    <w:next w:val="Normal"/>
    <w:link w:val="Titre3Car"/>
    <w:uiPriority w:val="9"/>
    <w:unhideWhenUsed/>
    <w:qFormat/>
    <w:rsid w:val="00EC6AAC"/>
    <w:pPr>
      <w:keepNext/>
      <w:keepLines/>
      <w:spacing w:before="200"/>
      <w:ind w:left="708"/>
      <w:outlineLvl w:val="2"/>
    </w:pPr>
    <w:rPr>
      <w:rFonts w:asciiTheme="majorHAnsi" w:eastAsiaTheme="majorEastAsia" w:hAnsiTheme="majorHAnsi" w:cstheme="majorBidi"/>
      <w:b/>
      <w:bCs/>
      <w:i/>
      <w:color w:val="1F497D" w:themeColor="text2"/>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857333"/>
    <w:pPr>
      <w:spacing w:before="100" w:beforeAutospacing="1" w:after="119"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857333"/>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57333"/>
    <w:rPr>
      <w:rFonts w:ascii="Tahoma" w:hAnsi="Tahoma" w:cs="Tahoma"/>
      <w:sz w:val="16"/>
      <w:szCs w:val="16"/>
    </w:rPr>
  </w:style>
  <w:style w:type="paragraph" w:styleId="En-tte">
    <w:name w:val="header"/>
    <w:basedOn w:val="Normal"/>
    <w:link w:val="En-tteCar"/>
    <w:uiPriority w:val="99"/>
    <w:semiHidden/>
    <w:unhideWhenUsed/>
    <w:rsid w:val="000E65D1"/>
    <w:pPr>
      <w:tabs>
        <w:tab w:val="center" w:pos="4536"/>
        <w:tab w:val="right" w:pos="9072"/>
      </w:tabs>
      <w:spacing w:line="240" w:lineRule="auto"/>
    </w:pPr>
  </w:style>
  <w:style w:type="character" w:customStyle="1" w:styleId="En-tteCar">
    <w:name w:val="En-tête Car"/>
    <w:basedOn w:val="Policepardfaut"/>
    <w:link w:val="En-tte"/>
    <w:uiPriority w:val="99"/>
    <w:semiHidden/>
    <w:rsid w:val="000E65D1"/>
  </w:style>
  <w:style w:type="paragraph" w:styleId="Pieddepage">
    <w:name w:val="footer"/>
    <w:basedOn w:val="Normal"/>
    <w:link w:val="PieddepageCar"/>
    <w:unhideWhenUsed/>
    <w:rsid w:val="000E65D1"/>
    <w:pPr>
      <w:tabs>
        <w:tab w:val="center" w:pos="4536"/>
        <w:tab w:val="right" w:pos="9072"/>
      </w:tabs>
      <w:spacing w:line="240" w:lineRule="auto"/>
    </w:pPr>
  </w:style>
  <w:style w:type="character" w:customStyle="1" w:styleId="PieddepageCar">
    <w:name w:val="Pied de page Car"/>
    <w:basedOn w:val="Policepardfaut"/>
    <w:link w:val="Pieddepage"/>
    <w:uiPriority w:val="99"/>
    <w:semiHidden/>
    <w:rsid w:val="000E65D1"/>
  </w:style>
  <w:style w:type="character" w:customStyle="1" w:styleId="Titre1Car">
    <w:name w:val="Titre 1 Car"/>
    <w:basedOn w:val="Policepardfaut"/>
    <w:link w:val="Titre1"/>
    <w:uiPriority w:val="9"/>
    <w:rsid w:val="00A1405A"/>
    <w:rPr>
      <w:rFonts w:asciiTheme="majorHAnsi" w:eastAsiaTheme="majorEastAsia" w:hAnsiTheme="majorHAnsi" w:cstheme="majorBidi"/>
      <w:b/>
      <w:bCs/>
      <w:color w:val="1F497D" w:themeColor="text2"/>
      <w:sz w:val="36"/>
      <w:szCs w:val="28"/>
      <w:u w:val="single"/>
    </w:rPr>
  </w:style>
  <w:style w:type="character" w:customStyle="1" w:styleId="Titre2Car">
    <w:name w:val="Titre 2 Car"/>
    <w:basedOn w:val="Policepardfaut"/>
    <w:link w:val="Titre2"/>
    <w:uiPriority w:val="9"/>
    <w:rsid w:val="001D44F3"/>
    <w:rPr>
      <w:rFonts w:asciiTheme="majorHAnsi" w:eastAsiaTheme="majorEastAsia" w:hAnsiTheme="majorHAnsi" w:cstheme="majorBidi"/>
      <w:b/>
      <w:bCs/>
      <w:color w:val="1F497D" w:themeColor="text2"/>
      <w:sz w:val="28"/>
      <w:szCs w:val="24"/>
      <w:u w:val="single"/>
    </w:rPr>
  </w:style>
  <w:style w:type="character" w:customStyle="1" w:styleId="Titre3Car">
    <w:name w:val="Titre 3 Car"/>
    <w:basedOn w:val="Policepardfaut"/>
    <w:link w:val="Titre3"/>
    <w:uiPriority w:val="9"/>
    <w:rsid w:val="00EC6AAC"/>
    <w:rPr>
      <w:rFonts w:asciiTheme="majorHAnsi" w:eastAsiaTheme="majorEastAsia" w:hAnsiTheme="majorHAnsi" w:cstheme="majorBidi"/>
      <w:b/>
      <w:bCs/>
      <w:i/>
      <w:color w:val="1F497D" w:themeColor="text2"/>
      <w:sz w:val="24"/>
    </w:rPr>
  </w:style>
  <w:style w:type="paragraph" w:styleId="En-ttedetabledesmatires">
    <w:name w:val="TOC Heading"/>
    <w:basedOn w:val="Titre1"/>
    <w:next w:val="Normal"/>
    <w:uiPriority w:val="39"/>
    <w:unhideWhenUsed/>
    <w:qFormat/>
    <w:rsid w:val="008E44F1"/>
    <w:pPr>
      <w:spacing w:line="276" w:lineRule="auto"/>
      <w:outlineLvl w:val="9"/>
    </w:pPr>
    <w:rPr>
      <w:color w:val="365F91" w:themeColor="accent1" w:themeShade="BF"/>
      <w:sz w:val="28"/>
    </w:rPr>
  </w:style>
  <w:style w:type="paragraph" w:styleId="TM1">
    <w:name w:val="toc 1"/>
    <w:basedOn w:val="Normal"/>
    <w:next w:val="Normal"/>
    <w:autoRedefine/>
    <w:uiPriority w:val="39"/>
    <w:unhideWhenUsed/>
    <w:rsid w:val="008E44F1"/>
    <w:pPr>
      <w:spacing w:after="100"/>
    </w:pPr>
  </w:style>
  <w:style w:type="paragraph" w:styleId="TM2">
    <w:name w:val="toc 2"/>
    <w:basedOn w:val="Normal"/>
    <w:next w:val="Normal"/>
    <w:autoRedefine/>
    <w:uiPriority w:val="39"/>
    <w:unhideWhenUsed/>
    <w:rsid w:val="008E44F1"/>
    <w:pPr>
      <w:spacing w:after="100"/>
      <w:ind w:left="220"/>
    </w:pPr>
  </w:style>
  <w:style w:type="character" w:styleId="Lienhypertexte">
    <w:name w:val="Hyperlink"/>
    <w:basedOn w:val="Policepardfaut"/>
    <w:uiPriority w:val="99"/>
    <w:unhideWhenUsed/>
    <w:rsid w:val="008E44F1"/>
    <w:rPr>
      <w:color w:val="0000FF" w:themeColor="hyperlink"/>
      <w:u w:val="single"/>
    </w:rPr>
  </w:style>
  <w:style w:type="paragraph" w:styleId="TM3">
    <w:name w:val="toc 3"/>
    <w:basedOn w:val="Normal"/>
    <w:next w:val="Normal"/>
    <w:autoRedefine/>
    <w:uiPriority w:val="39"/>
    <w:unhideWhenUsed/>
    <w:rsid w:val="000C1D69"/>
    <w:pPr>
      <w:spacing w:after="100"/>
      <w:ind w:left="440"/>
    </w:pPr>
  </w:style>
  <w:style w:type="paragraph" w:styleId="Corpsdetexte">
    <w:name w:val="Body Text"/>
    <w:basedOn w:val="Normal"/>
    <w:link w:val="CorpsdetexteCar"/>
    <w:rsid w:val="00A466FC"/>
    <w:pPr>
      <w:suppressAutoHyphens/>
      <w:spacing w:after="120"/>
    </w:pPr>
    <w:rPr>
      <w:rFonts w:ascii="Courier New" w:eastAsia="Lucida Sans Unicode" w:hAnsi="Courier New" w:cs="font224"/>
      <w:kern w:val="1"/>
      <w:lang w:eastAsia="ar-SA"/>
    </w:rPr>
  </w:style>
  <w:style w:type="character" w:customStyle="1" w:styleId="CorpsdetexteCar">
    <w:name w:val="Corps de texte Car"/>
    <w:basedOn w:val="Policepardfaut"/>
    <w:link w:val="Corpsdetexte"/>
    <w:rsid w:val="00A466FC"/>
    <w:rPr>
      <w:rFonts w:ascii="Courier New" w:eastAsia="Lucida Sans Unicode" w:hAnsi="Courier New" w:cs="font224"/>
      <w:kern w:val="1"/>
      <w:lang w:eastAsia="ar-SA"/>
    </w:rPr>
  </w:style>
  <w:style w:type="paragraph" w:styleId="Paragraphedeliste">
    <w:name w:val="List Paragraph"/>
    <w:basedOn w:val="Normal"/>
    <w:uiPriority w:val="34"/>
    <w:qFormat/>
    <w:rsid w:val="00181235"/>
    <w:pPr>
      <w:ind w:left="720"/>
      <w:contextualSpacing/>
    </w:pPr>
  </w:style>
  <w:style w:type="paragraph" w:styleId="Titre">
    <w:name w:val="Title"/>
    <w:basedOn w:val="Normal"/>
    <w:next w:val="Normal"/>
    <w:link w:val="TitreCar"/>
    <w:uiPriority w:val="10"/>
    <w:qFormat/>
    <w:rsid w:val="00A1405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A1405A"/>
    <w:rPr>
      <w:rFonts w:asciiTheme="majorHAnsi" w:eastAsiaTheme="majorEastAsia" w:hAnsiTheme="majorHAnsi" w:cstheme="majorBidi"/>
      <w:color w:val="17365D" w:themeColor="text2" w:themeShade="BF"/>
      <w:spacing w:val="5"/>
      <w:kern w:val="28"/>
      <w:sz w:val="52"/>
      <w:szCs w:val="52"/>
    </w:rPr>
  </w:style>
  <w:style w:type="table" w:styleId="Grilledutableau">
    <w:name w:val="Table Grid"/>
    <w:basedOn w:val="TableauNormal"/>
    <w:uiPriority w:val="59"/>
    <w:rsid w:val="009112F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9821030">
      <w:bodyDiv w:val="1"/>
      <w:marLeft w:val="0"/>
      <w:marRight w:val="0"/>
      <w:marTop w:val="0"/>
      <w:marBottom w:val="0"/>
      <w:divBdr>
        <w:top w:val="none" w:sz="0" w:space="0" w:color="auto"/>
        <w:left w:val="none" w:sz="0" w:space="0" w:color="auto"/>
        <w:bottom w:val="none" w:sz="0" w:space="0" w:color="auto"/>
        <w:right w:val="none" w:sz="0" w:space="0" w:color="auto"/>
      </w:divBdr>
    </w:div>
    <w:div w:id="177044855">
      <w:bodyDiv w:val="1"/>
      <w:marLeft w:val="0"/>
      <w:marRight w:val="0"/>
      <w:marTop w:val="0"/>
      <w:marBottom w:val="0"/>
      <w:divBdr>
        <w:top w:val="none" w:sz="0" w:space="0" w:color="auto"/>
        <w:left w:val="none" w:sz="0" w:space="0" w:color="auto"/>
        <w:bottom w:val="none" w:sz="0" w:space="0" w:color="auto"/>
        <w:right w:val="none" w:sz="0" w:space="0" w:color="auto"/>
      </w:divBdr>
    </w:div>
    <w:div w:id="314187642">
      <w:bodyDiv w:val="1"/>
      <w:marLeft w:val="0"/>
      <w:marRight w:val="0"/>
      <w:marTop w:val="0"/>
      <w:marBottom w:val="0"/>
      <w:divBdr>
        <w:top w:val="none" w:sz="0" w:space="0" w:color="auto"/>
        <w:left w:val="none" w:sz="0" w:space="0" w:color="auto"/>
        <w:bottom w:val="none" w:sz="0" w:space="0" w:color="auto"/>
        <w:right w:val="none" w:sz="0" w:space="0" w:color="auto"/>
      </w:divBdr>
    </w:div>
    <w:div w:id="366680544">
      <w:bodyDiv w:val="1"/>
      <w:marLeft w:val="0"/>
      <w:marRight w:val="0"/>
      <w:marTop w:val="0"/>
      <w:marBottom w:val="0"/>
      <w:divBdr>
        <w:top w:val="none" w:sz="0" w:space="0" w:color="auto"/>
        <w:left w:val="none" w:sz="0" w:space="0" w:color="auto"/>
        <w:bottom w:val="none" w:sz="0" w:space="0" w:color="auto"/>
        <w:right w:val="none" w:sz="0" w:space="0" w:color="auto"/>
      </w:divBdr>
    </w:div>
    <w:div w:id="388846532">
      <w:bodyDiv w:val="1"/>
      <w:marLeft w:val="0"/>
      <w:marRight w:val="0"/>
      <w:marTop w:val="0"/>
      <w:marBottom w:val="0"/>
      <w:divBdr>
        <w:top w:val="none" w:sz="0" w:space="0" w:color="auto"/>
        <w:left w:val="none" w:sz="0" w:space="0" w:color="auto"/>
        <w:bottom w:val="none" w:sz="0" w:space="0" w:color="auto"/>
        <w:right w:val="none" w:sz="0" w:space="0" w:color="auto"/>
      </w:divBdr>
    </w:div>
    <w:div w:id="407071872">
      <w:bodyDiv w:val="1"/>
      <w:marLeft w:val="0"/>
      <w:marRight w:val="0"/>
      <w:marTop w:val="0"/>
      <w:marBottom w:val="0"/>
      <w:divBdr>
        <w:top w:val="none" w:sz="0" w:space="0" w:color="auto"/>
        <w:left w:val="none" w:sz="0" w:space="0" w:color="auto"/>
        <w:bottom w:val="none" w:sz="0" w:space="0" w:color="auto"/>
        <w:right w:val="none" w:sz="0" w:space="0" w:color="auto"/>
      </w:divBdr>
    </w:div>
    <w:div w:id="1075203417">
      <w:bodyDiv w:val="1"/>
      <w:marLeft w:val="0"/>
      <w:marRight w:val="0"/>
      <w:marTop w:val="0"/>
      <w:marBottom w:val="0"/>
      <w:divBdr>
        <w:top w:val="none" w:sz="0" w:space="0" w:color="auto"/>
        <w:left w:val="none" w:sz="0" w:space="0" w:color="auto"/>
        <w:bottom w:val="none" w:sz="0" w:space="0" w:color="auto"/>
        <w:right w:val="none" w:sz="0" w:space="0" w:color="auto"/>
      </w:divBdr>
    </w:div>
    <w:div w:id="1105535152">
      <w:bodyDiv w:val="1"/>
      <w:marLeft w:val="0"/>
      <w:marRight w:val="0"/>
      <w:marTop w:val="0"/>
      <w:marBottom w:val="0"/>
      <w:divBdr>
        <w:top w:val="none" w:sz="0" w:space="0" w:color="auto"/>
        <w:left w:val="none" w:sz="0" w:space="0" w:color="auto"/>
        <w:bottom w:val="none" w:sz="0" w:space="0" w:color="auto"/>
        <w:right w:val="none" w:sz="0" w:space="0" w:color="auto"/>
      </w:divBdr>
    </w:div>
    <w:div w:id="1452017756">
      <w:bodyDiv w:val="1"/>
      <w:marLeft w:val="0"/>
      <w:marRight w:val="0"/>
      <w:marTop w:val="0"/>
      <w:marBottom w:val="0"/>
      <w:divBdr>
        <w:top w:val="none" w:sz="0" w:space="0" w:color="auto"/>
        <w:left w:val="none" w:sz="0" w:space="0" w:color="auto"/>
        <w:bottom w:val="none" w:sz="0" w:space="0" w:color="auto"/>
        <w:right w:val="none" w:sz="0" w:space="0" w:color="auto"/>
      </w:divBdr>
    </w:div>
    <w:div w:id="1556045771">
      <w:bodyDiv w:val="1"/>
      <w:marLeft w:val="0"/>
      <w:marRight w:val="0"/>
      <w:marTop w:val="0"/>
      <w:marBottom w:val="0"/>
      <w:divBdr>
        <w:top w:val="none" w:sz="0" w:space="0" w:color="auto"/>
        <w:left w:val="none" w:sz="0" w:space="0" w:color="auto"/>
        <w:bottom w:val="none" w:sz="0" w:space="0" w:color="auto"/>
        <w:right w:val="none" w:sz="0" w:space="0" w:color="auto"/>
      </w:divBdr>
    </w:div>
    <w:div w:id="1875998884">
      <w:bodyDiv w:val="1"/>
      <w:marLeft w:val="0"/>
      <w:marRight w:val="0"/>
      <w:marTop w:val="0"/>
      <w:marBottom w:val="0"/>
      <w:divBdr>
        <w:top w:val="none" w:sz="0" w:space="0" w:color="auto"/>
        <w:left w:val="none" w:sz="0" w:space="0" w:color="auto"/>
        <w:bottom w:val="none" w:sz="0" w:space="0" w:color="auto"/>
        <w:right w:val="none" w:sz="0" w:space="0" w:color="auto"/>
      </w:divBdr>
    </w:div>
    <w:div w:id="1953706841">
      <w:bodyDiv w:val="1"/>
      <w:marLeft w:val="0"/>
      <w:marRight w:val="0"/>
      <w:marTop w:val="0"/>
      <w:marBottom w:val="0"/>
      <w:divBdr>
        <w:top w:val="none" w:sz="0" w:space="0" w:color="auto"/>
        <w:left w:val="none" w:sz="0" w:space="0" w:color="auto"/>
        <w:bottom w:val="none" w:sz="0" w:space="0" w:color="auto"/>
        <w:right w:val="none" w:sz="0" w:space="0" w:color="auto"/>
      </w:divBdr>
    </w:div>
    <w:div w:id="1970044311">
      <w:bodyDiv w:val="1"/>
      <w:marLeft w:val="0"/>
      <w:marRight w:val="0"/>
      <w:marTop w:val="0"/>
      <w:marBottom w:val="0"/>
      <w:divBdr>
        <w:top w:val="none" w:sz="0" w:space="0" w:color="auto"/>
        <w:left w:val="none" w:sz="0" w:space="0" w:color="auto"/>
        <w:bottom w:val="none" w:sz="0" w:space="0" w:color="auto"/>
        <w:right w:val="none" w:sz="0" w:space="0" w:color="auto"/>
      </w:divBdr>
    </w:div>
    <w:div w:id="2000427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7.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16D756-ED43-4B6D-A7E9-FE8B706386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1915</TotalTime>
  <Pages>17</Pages>
  <Words>2353</Words>
  <Characters>12946</Characters>
  <Application>Microsoft Office Word</Application>
  <DocSecurity>0</DocSecurity>
  <Lines>107</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15269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Julien DUVAL</dc:creator>
  <cp:keywords/>
  <dc:description/>
  <cp:lastModifiedBy>Antoine</cp:lastModifiedBy>
  <cp:revision>84</cp:revision>
  <cp:lastPrinted>2021-01-07T10:30:00Z</cp:lastPrinted>
  <dcterms:created xsi:type="dcterms:W3CDTF">2010-01-25T13:49:00Z</dcterms:created>
  <dcterms:modified xsi:type="dcterms:W3CDTF">2021-01-07T10:31:00Z</dcterms:modified>
</cp:coreProperties>
</file>