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28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  <w:t>Application du RGDP</w:t>
      </w:r>
    </w:p>
    <w:p>
      <w:pPr>
        <w:pStyle w:val="NormalWeb"/>
        <w:spacing w:before="28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1544320" cy="1759585"/>
            <wp:effectExtent l="0" t="0" r="0" b="0"/>
            <wp:docPr id="1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630680" cy="1854835"/>
            <wp:effectExtent l="0" t="0" r="0" b="0"/>
            <wp:docPr id="2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280" w:after="0"/>
        <w:jc w:val="center"/>
        <w:rPr/>
      </w:pPr>
      <w:r>
        <w:rPr>
          <w:b/>
          <w:bCs/>
          <w:color w:val="D34817"/>
        </w:rPr>
        <w:t>JBA-Soft</w:t>
      </w:r>
    </w:p>
    <w:p>
      <w:pPr>
        <w:pStyle w:val="NormalWeb"/>
        <w:spacing w:lineRule="auto" w:line="276" w:before="280" w:after="0"/>
        <w:jc w:val="center"/>
        <w:rPr/>
      </w:pPr>
      <w:r>
        <w:rPr/>
      </w:r>
    </w:p>
    <w:tbl>
      <w:tblPr>
        <w:tblStyle w:val="Grilledutableau"/>
        <w:tblW w:w="9322" w:type="dxa"/>
        <w:jc w:val="left"/>
        <w:tblInd w:w="-55" w:type="dxa"/>
        <w:tblLayout w:type="fixed"/>
        <w:tblCellMar>
          <w:top w:w="0" w:type="dxa"/>
          <w:left w:w="53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2"/>
        <w:gridCol w:w="4817"/>
      </w:tblGrid>
      <w:tr>
        <w:trPr/>
        <w:tc>
          <w:tcPr>
            <w:tcW w:w="1384" w:type="dxa"/>
            <w:tcBorders/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Créée par</w:t>
            </w:r>
          </w:p>
        </w:tc>
        <w:tc>
          <w:tcPr>
            <w:tcW w:w="1558" w:type="dxa"/>
            <w:tcBorders/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2" w:type="dxa"/>
            <w:tcBorders/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bookmarkStart w:id="0" w:name="__DdeLink__730_268521358"/>
            <w:bookmarkEnd w:id="0"/>
            <w:r>
              <w:rPr>
                <w:kern w:val="0"/>
                <w:lang w:val="fr-FR" w:bidi="ar-SA"/>
              </w:rPr>
              <w:t>06/09/2021</w:t>
            </w:r>
          </w:p>
        </w:tc>
        <w:tc>
          <w:tcPr>
            <w:tcW w:w="4817" w:type="dxa"/>
            <w:tcBorders/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i/>
                <w:i/>
                <w:color w:val="404040" w:themeColor="text1" w:themeTint="bf"/>
              </w:rPr>
            </w:pPr>
            <w:r>
              <w:rPr>
                <w:i/>
                <w:color w:val="404040" w:themeColor="text1" w:themeTint="bf"/>
                <w:kern w:val="0"/>
                <w:lang w:val="fr-FR" w:bidi="ar-SA"/>
              </w:rPr>
            </w:r>
          </w:p>
        </w:tc>
      </w:tr>
      <w:tr>
        <w:trPr/>
        <w:tc>
          <w:tcPr>
            <w:tcW w:w="1384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58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  <w:tr>
        <w:trPr/>
        <w:tc>
          <w:tcPr>
            <w:tcW w:w="1384" w:type="dxa"/>
            <w:tcBorders>
              <w:top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58" w:type="dxa"/>
            <w:tcBorders>
              <w:top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>
              <w:top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>
              <w:top w:val="nil"/>
            </w:tcBorders>
            <w:shd w:color="auto" w:fill="auto" w:val="clear"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58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58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/>
          </w:tcPr>
          <w:p>
            <w:pPr>
              <w:pStyle w:val="NormalWeb"/>
              <w:widowControl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itreprincipal"/>
            <w:rPr/>
          </w:pPr>
          <w:r>
            <w:rPr>
              <w:color w:val="0070C0"/>
            </w:rPr>
            <w:t>Table des matières</w:t>
          </w:r>
        </w:p>
        <w:p>
          <w:pPr>
            <w:pStyle w:val="Tabledesmatiresniveau1"/>
            <w:tabs>
              <w:tab w:val="clear" w:pos="708"/>
              <w:tab w:val="right" w:pos="9630" w:leader="dot"/>
            </w:tabs>
            <w:rPr>
              <w:rFonts w:eastAsia="" w:eastAsiaTheme="minorEastAsia"/>
              <w:color w:val="auto"/>
              <w:lang w:eastAsia="fr-FR"/>
            </w:rPr>
          </w:pPr>
          <w:r>
            <w:fldChar w:fldCharType="begin"/>
          </w:r>
          <w:r>
            <w:rPr>
              <w:webHidden/>
              <w:rStyle w:val="Sautdindex"/>
            </w:rPr>
            <w:instrText xml:space="preserve"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Toc81930691">
            <w:r>
              <w:rPr>
                <w:webHidden/>
                <w:rStyle w:val="Sautdindex"/>
              </w:rPr>
              <w:t>Introduction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1"/>
            <w:tabs>
              <w:tab w:val="clear" w:pos="708"/>
              <w:tab w:val="right" w:pos="9630" w:leader="dot"/>
            </w:tabs>
            <w:rPr>
              <w:rFonts w:eastAsia="" w:eastAsiaTheme="minorEastAsia"/>
              <w:color w:val="auto"/>
              <w:lang w:eastAsia="fr-FR"/>
            </w:rPr>
          </w:pPr>
          <w:hyperlink w:anchor="_Toc81930692">
            <w:r>
              <w:rPr>
                <w:webHidden/>
                <w:rStyle w:val="Sautdindex"/>
              </w:rPr>
              <w:t>Les contraintes pour les agents de la collectivité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9630" w:leader="dot"/>
            </w:tabs>
            <w:rPr/>
          </w:pPr>
          <w:hyperlink w:anchor="_Toc81930693">
            <w:r>
              <w:rPr>
                <w:webHidden/>
                <w:rStyle w:val="Sautdindex"/>
              </w:rPr>
              <w:t>Formation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9630" w:leader="dot"/>
            </w:tabs>
            <w:rPr/>
          </w:pPr>
          <w:hyperlink w:anchor="_Toc81930694">
            <w:r>
              <w:rPr>
                <w:webHidden/>
                <w:rStyle w:val="Sautdindex"/>
              </w:rPr>
              <w:t>Gérer le consentement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9630" w:leader="dot"/>
            </w:tabs>
            <w:rPr/>
          </w:pPr>
          <w:hyperlink w:anchor="_Toc81930695">
            <w:r>
              <w:rPr>
                <w:webHidden/>
                <w:rStyle w:val="Sautdindex"/>
              </w:rPr>
              <w:t>Protéger les documents avec données personnelles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1"/>
            <w:tabs>
              <w:tab w:val="clear" w:pos="708"/>
              <w:tab w:val="right" w:pos="9630" w:leader="dot"/>
            </w:tabs>
            <w:rPr>
              <w:rFonts w:eastAsia="" w:eastAsiaTheme="minorEastAsia"/>
              <w:color w:val="auto"/>
              <w:lang w:eastAsia="fr-FR"/>
            </w:rPr>
          </w:pPr>
          <w:hyperlink w:anchor="_Toc81930696">
            <w:r>
              <w:rPr>
                <w:webHidden/>
                <w:rStyle w:val="Sautdindex"/>
              </w:rPr>
              <w:t>Configuration technique des machines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9630" w:leader="dot"/>
            </w:tabs>
            <w:rPr/>
          </w:pPr>
          <w:hyperlink w:anchor="_Toc81930697">
            <w:r>
              <w:rPr>
                <w:webHidden/>
                <w:rStyle w:val="Sautdindex"/>
              </w:rPr>
              <w:t>Activation du cryptage interne PHASEO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abledesmatiresniveau2"/>
            <w:tabs>
              <w:tab w:val="clear" w:pos="708"/>
              <w:tab w:val="right" w:pos="9630" w:leader="dot"/>
            </w:tabs>
            <w:rPr/>
          </w:pPr>
          <w:hyperlink w:anchor="_Toc81930698">
            <w:r>
              <w:rPr>
                <w:webHidden/>
                <w:rStyle w:val="Sautdindex"/>
              </w:rPr>
              <w:t>Stockage des données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_Toc81930698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365F91" w:themeColor="accent1" w:themeShade="bf"/>
          <w:sz w:val="36"/>
          <w:szCs w:val="28"/>
          <w:u w:val="single"/>
        </w:rPr>
      </w:pPr>
      <w:r>
        <w:rPr>
          <w:rFonts w:eastAsia="" w:cs="" w:cstheme="majorBidi" w:eastAsiaTheme="majorEastAsia" w:ascii="Cambria" w:hAnsi="Cambria"/>
          <w:b/>
          <w:bCs/>
          <w:color w:val="365F91" w:themeColor="accent1" w:themeShade="bf"/>
          <w:sz w:val="36"/>
          <w:szCs w:val="28"/>
          <w:u w:val="single"/>
        </w:rPr>
      </w:r>
      <w:r>
        <w:br w:type="page"/>
      </w:r>
    </w:p>
    <w:p>
      <w:pPr>
        <w:pStyle w:val="Normal"/>
        <w:rPr>
          <w:sz w:val="36"/>
          <w:szCs w:val="36"/>
        </w:rPr>
      </w:pPr>
      <w:bookmarkStart w:id="1" w:name="_Toc81930691"/>
      <w:r>
        <w:rPr>
          <w:sz w:val="36"/>
          <w:szCs w:val="36"/>
        </w:rPr>
        <w:t>Introduction</w:t>
      </w:r>
      <w:bookmarkEnd w:id="1"/>
    </w:p>
    <w:p>
      <w:pPr>
        <w:pStyle w:val="Normal"/>
        <w:rPr/>
      </w:pPr>
      <w:r>
        <w:rPr/>
        <w:t>La protection des données des abonnés est un sujet de plus en plus sensible et qui impose des contraintes pour les collectivités et leurs éditeurs.</w:t>
        <w:br/>
        <w:br/>
        <w:t>Ce document vous informe sur ces contraintes et propose des solutions.</w:t>
        <w:br/>
      </w:r>
    </w:p>
    <w:p>
      <w:pPr>
        <w:pStyle w:val="Normal"/>
        <w:rPr/>
      </w:pPr>
      <w:bookmarkStart w:id="2" w:name="_Toc81930692"/>
      <w:r>
        <w:rPr>
          <w:rStyle w:val="Titre1Car1"/>
        </w:rPr>
        <w:t>Les contraintes pour les agents de la collectivité</w:t>
      </w:r>
      <w:bookmarkEnd w:id="2"/>
      <w:r>
        <w:rPr>
          <w:rStyle w:val="Titre1Car1"/>
        </w:rPr>
        <w:br/>
      </w:r>
      <w:r>
        <w:rPr/>
        <w:br/>
        <w:t>Pour la collectivité, vos agents doivent être formés pour répondre aux demandes des usagers.</w:t>
        <w:br/>
        <w:t>Nos formations sont adaptées pour intégrer ces nouvelles contraintes.</w:t>
      </w:r>
    </w:p>
    <w:p>
      <w:pPr>
        <w:pStyle w:val="ListParagraph"/>
        <w:numPr>
          <w:ilvl w:val="0"/>
          <w:numId w:val="2"/>
        </w:numPr>
        <w:rPr/>
      </w:pPr>
      <w:r>
        <w:rPr/>
        <w:t>ils ne doivent pas communiquer les données personnes collectés</w:t>
      </w:r>
    </w:p>
    <w:p>
      <w:pPr>
        <w:pStyle w:val="ListParagraph"/>
        <w:numPr>
          <w:ilvl w:val="0"/>
          <w:numId w:val="2"/>
        </w:numPr>
        <w:rPr/>
      </w:pPr>
      <w:r>
        <w:rPr/>
        <w:t>ils doivent répondre aux usagers pour « leur consentement éclairé » sur l’utilisation de leurs données</w:t>
      </w:r>
    </w:p>
    <w:p>
      <w:pPr>
        <w:pStyle w:val="ListParagraph"/>
        <w:numPr>
          <w:ilvl w:val="0"/>
          <w:numId w:val="2"/>
        </w:numPr>
        <w:rPr/>
      </w:pPr>
      <w:r>
        <w:rPr/>
        <w:t>Ils doivent éditer un rapport sur l’utilisation des données personnelles sur demande</w:t>
      </w:r>
    </w:p>
    <w:p>
      <w:pPr>
        <w:pStyle w:val="ListParagraph"/>
        <w:numPr>
          <w:ilvl w:val="0"/>
          <w:numId w:val="2"/>
        </w:numPr>
        <w:rPr/>
      </w:pPr>
      <w:r>
        <w:rPr/>
        <w:t>Ils doivent appliquer le droit à l’oubli si l’usager le demande.</w:t>
      </w:r>
    </w:p>
    <w:p>
      <w:pPr>
        <w:pStyle w:val="Titre2"/>
        <w:rPr/>
      </w:pPr>
      <w:bookmarkStart w:id="3" w:name="_Toc81930693"/>
      <w:r>
        <w:rPr/>
        <w:t>Formation</w:t>
      </w:r>
      <w:bookmarkEnd w:id="3"/>
    </w:p>
    <w:p>
      <w:pPr>
        <w:pStyle w:val="Normal"/>
        <w:rPr/>
      </w:pPr>
      <w:r>
        <w:rPr/>
        <w:t>Un temps de 1 heure est intégré par défaut dans nos plannings de formation pour les agents chargé de clientèle.</w:t>
        <w:br/>
      </w:r>
      <w:r>
        <w:rPr>
          <w:b/>
        </w:rPr>
        <w:t>Si vous souhaitez une formation plus complète, nous proposons une formation spécifique d’une 1/2 journée. Un support RGDP sera fourni aux participants.</w:t>
      </w:r>
    </w:p>
    <w:p>
      <w:pPr>
        <w:pStyle w:val="Titre2"/>
        <w:rPr/>
      </w:pPr>
      <w:bookmarkStart w:id="4" w:name="_Toc81930694"/>
      <w:r>
        <w:rPr/>
        <w:t>Gérer le consentement</w:t>
      </w:r>
      <w:bookmarkEnd w:id="4"/>
    </w:p>
    <w:p>
      <w:pPr>
        <w:pStyle w:val="Normal"/>
        <w:rPr/>
      </w:pPr>
      <w:r>
        <w:rPr/>
        <w:t>Les usagers doivent donner leur consentement sur leurs données personnelles.</w:t>
        <w:br/>
        <w:t>Vous devez mettre à disposition un document de présentation de l’utilisation des données personnelles. Ce document peut être mis à disposition sur le portail.</w:t>
        <w:br/>
        <w:br/>
      </w:r>
      <w:r>
        <w:rPr>
          <w:b/>
        </w:rPr>
        <w:t>Afin de simplifier la gestion du consentement de l’usager, nous proposons d’installer une nouvelle fonction sur le portail PHASEO (si vous disposez de cette option).</w:t>
      </w:r>
      <w:r>
        <w:rPr/>
        <w:br/>
        <w:t xml:space="preserve">L’usager doit impérativement donner son consentement pour accéder aux services du portail. </w:t>
        <w:br/>
        <w:t>La date et l’heure de consentement sont stockées dans son dossier.</w:t>
      </w:r>
    </w:p>
    <w:p>
      <w:pPr>
        <w:pStyle w:val="Titre2"/>
        <w:rPr/>
      </w:pPr>
      <w:bookmarkStart w:id="5" w:name="_Toc81930695"/>
      <w:r>
        <w:rPr/>
        <w:t>Protéger les documents avec données personnelles</w:t>
      </w:r>
      <w:bookmarkEnd w:id="5"/>
    </w:p>
    <w:p>
      <w:pPr>
        <w:pStyle w:val="Normal"/>
        <w:keepNext w:val="true"/>
        <w:keepLines/>
        <w:rPr/>
      </w:pPr>
      <w:r>
        <w:rPr/>
        <w:t>Pour générer la facturation des données, vous devez générer plusieurs fichiers.</w:t>
        <w:br/>
        <w:t>- des imprimés de facture générés au format PDF dans PHASEO</w:t>
        <w:br/>
        <w:t>- des fichiers ORMC ou des titres individuelles (si l’encaissement est fait le trésor public)</w:t>
        <w:br/>
        <w:t>- des fichiers de prélèvement et virement pour les collectivités gérant l’encaissement.</w:t>
        <w:br/>
        <w:br/>
        <w:t>Certaines collectivités et/ou certaines trésoreries demandent des extractions de listes d’abonnés.</w:t>
        <w:br/>
        <w:t xml:space="preserve">D’autres documents reçus par la collectivité peuvent aussi contenir des informations personnelles comme des mails, téléphones et surtout coordonnées bancaires. </w:t>
      </w:r>
    </w:p>
    <w:p>
      <w:pPr>
        <w:pStyle w:val="Normal"/>
        <w:keepNext w:val="true"/>
        <w:keepLines/>
        <w:rPr/>
      </w:pPr>
      <w:r>
        <w:rPr/>
        <w:t>Les comptes bancaires, figurent, en particulier sur</w:t>
      </w:r>
    </w:p>
    <w:p>
      <w:pPr>
        <w:pStyle w:val="ListParagraph"/>
        <w:keepNext w:val="true"/>
        <w:keepLines/>
        <w:numPr>
          <w:ilvl w:val="0"/>
          <w:numId w:val="3"/>
        </w:numPr>
        <w:rPr/>
      </w:pPr>
      <w:r>
        <w:rPr/>
        <w:t>Sur les factures PDF qui sont payés par TIP</w:t>
      </w:r>
    </w:p>
    <w:p>
      <w:pPr>
        <w:pStyle w:val="ListParagraph"/>
        <w:keepNext w:val="true"/>
        <w:keepLines/>
        <w:numPr>
          <w:ilvl w:val="0"/>
          <w:numId w:val="3"/>
        </w:numPr>
        <w:rPr/>
      </w:pPr>
      <w:r>
        <w:rPr/>
        <w:t>Dans les fichiers ORMC pour les factures prélevées (encaissement par le TP)</w:t>
      </w:r>
    </w:p>
    <w:p>
      <w:pPr>
        <w:pStyle w:val="ListParagraph"/>
        <w:keepNext w:val="true"/>
        <w:keepLines/>
        <w:numPr>
          <w:ilvl w:val="0"/>
          <w:numId w:val="3"/>
        </w:numPr>
        <w:rPr/>
      </w:pPr>
      <w:r>
        <w:rPr/>
        <w:t>Dans les fichiers de prélèvement et de virement  (collectivités en régie)</w:t>
      </w:r>
    </w:p>
    <w:p>
      <w:pPr>
        <w:pStyle w:val="ListParagraph"/>
        <w:keepNext w:val="true"/>
        <w:keepLines/>
        <w:numPr>
          <w:ilvl w:val="0"/>
          <w:numId w:val="3"/>
        </w:numPr>
        <w:rPr/>
      </w:pPr>
      <w:r>
        <w:rPr/>
        <w:t xml:space="preserve">Sur le mandat SEPA renvoyé par l’abonné </w:t>
      </w:r>
    </w:p>
    <w:p>
      <w:pPr>
        <w:pStyle w:val="Normal"/>
        <w:keepNext w:val="true"/>
        <w:keepLines/>
        <w:rPr/>
      </w:pPr>
      <w:r>
        <w:rPr/>
        <w:t>Vos agents doivent s’assurer de la suppression de ces éléments temporaires liés à la génération de la facturation.</w:t>
      </w:r>
    </w:p>
    <w:p>
      <w:pPr>
        <w:pStyle w:val="Normal"/>
        <w:rPr>
          <w:b/>
          <w:b/>
        </w:rPr>
      </w:pPr>
      <w:r>
        <w:rPr>
          <w:b/>
        </w:rPr>
        <w:t>Nous proposons une option de suppression automatique des données générées au bout d’une certaine durée. Cette suppression permet de nettoyer, au fur et à mesure, les données provisoires générées dans PHASEO.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rPr/>
      </w:pPr>
      <w:bookmarkStart w:id="6" w:name="_Toc81930696"/>
      <w:r>
        <w:rPr/>
        <w:t>G</w:t>
      </w:r>
      <w:bookmarkEnd w:id="6"/>
      <w:r>
        <w:rPr/>
        <w:t>estion du RGPD par JBA-Soft</w:t>
      </w:r>
    </w:p>
    <w:p>
      <w:pPr>
        <w:pStyle w:val="Normal"/>
        <w:rPr/>
      </w:pPr>
      <w:r>
        <w:rPr/>
      </w:r>
    </w:p>
    <w:p>
      <w:pPr>
        <w:pStyle w:val="Titre2"/>
        <w:rPr/>
      </w:pPr>
      <w:bookmarkStart w:id="7" w:name="_Toc81930697"/>
      <w:r>
        <w:rPr/>
        <w:t>Activation du cryptage interne PHASEO</w:t>
      </w:r>
      <w:bookmarkEnd w:id="7"/>
    </w:p>
    <w:p>
      <w:pPr>
        <w:pStyle w:val="Normal"/>
        <w:rPr/>
      </w:pPr>
      <w:r>
        <w:rPr/>
        <w:br/>
        <w:t>PHASEO traite 2 sortes de données</w:t>
        <w:br/>
        <w:t>- des données générées sous forme de fichier pour les agents</w:t>
        <w:br/>
        <w:t>- des données internes à PHASEO qui doivent aussi être protégées.</w:t>
      </w:r>
    </w:p>
    <w:p>
      <w:pPr>
        <w:pStyle w:val="Normal"/>
        <w:rPr/>
      </w:pPr>
      <w:r>
        <w:rPr/>
        <w:br/>
        <w:t>Concernant les données PHASEO, nous avons effectué plusieurs modifications concernant les comptes bancaires et les documents.</w:t>
        <w:br/>
        <w:t>- nous avons développé des traitements pour crypter les données alphanumériques sur les comptes bancaires et les documents</w:t>
        <w:br/>
        <w:t>- nous avons développé des outils pour pouvoir décrypter et recrypter des données sans interruption pour les utilisateurs afin d’effectuer des opérations de maintenance</w:t>
        <w:br/>
        <w:br/>
      </w:r>
      <w:r>
        <w:rPr>
          <w:b/>
        </w:rPr>
        <w:t>Nous proposons une option pour activer le cryptage des infos pour les prochaines saisies ainsi qu’une prestation pour crypter les informations existantes.</w:t>
      </w:r>
      <w:r>
        <w:rPr/>
        <w:br/>
        <w:br/>
        <w:t>Par ailleurs, les sauvegardes de PHASEO sont automatiquement protégées par mot de passe.</w:t>
      </w:r>
    </w:p>
    <w:p>
      <w:pPr>
        <w:pStyle w:val="Titre2"/>
        <w:rPr/>
      </w:pPr>
      <w:r>
        <w:rPr/>
        <w:br/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color w:val="4F81BD" w:themeColor="accent1"/>
          <w:sz w:val="26"/>
          <w:szCs w:val="26"/>
        </w:rPr>
      </w:pPr>
      <w:r>
        <w:rPr>
          <w:rFonts w:eastAsia="" w:cs="" w:cstheme="majorBidi" w:eastAsiaTheme="majorEastAsia" w:ascii="Cambria" w:hAnsi="Cambria"/>
          <w:color w:val="4F81BD" w:themeColor="accent1"/>
          <w:sz w:val="26"/>
          <w:szCs w:val="26"/>
        </w:rPr>
      </w:r>
      <w:r>
        <w:br w:type="page"/>
      </w:r>
    </w:p>
    <w:p>
      <w:pPr>
        <w:pStyle w:val="Titre2"/>
        <w:rPr/>
      </w:pPr>
      <w:bookmarkStart w:id="8" w:name="_Toc81930698"/>
      <w:r>
        <w:rPr/>
        <w:t>Stockage des données</w:t>
      </w:r>
      <w:bookmarkEnd w:id="8"/>
    </w:p>
    <w:p>
      <w:pPr>
        <w:pStyle w:val="Normal"/>
        <w:spacing w:before="0" w:after="240"/>
        <w:rPr>
          <w:b/>
          <w:b/>
        </w:rPr>
      </w:pPr>
      <w:r>
        <w:rPr/>
        <w:t>PHASEO gère des données internes qui doivent être protégées. PHASEO permet de générer aux agents de générer des documents qu’il faut aussi protéger.</w:t>
        <w:br/>
        <w:br/>
        <w:t>Si vous hébergez l’application PHASEO, nous recommandons de séparer les 2 aspects en installant PHASEO sur 2 machines (qui peuvent être virtuelles).</w:t>
        <w:br/>
        <w:t>Le but est d’isoler les données interne PHASEO sur une machine à part. L’accès à cette machine doit être strictement contrôlé pour éviter les risques de piratage.</w:t>
        <w:br/>
        <w:t>Les machines déjà installées avec PHASEO peuvent être conservées quasiment à l’identique. Seul l’accès aux données doit être reconfiguré.</w:t>
        <w:br/>
        <w:br/>
      </w:r>
      <w:r>
        <w:rPr>
          <w:b/>
        </w:rPr>
        <w:t>Une réinstallation concernant les données est à prévoir et nous pouvons nous en charger.</w:t>
        <w:br/>
      </w:r>
    </w:p>
    <w:p>
      <w:pPr>
        <w:pStyle w:val="Normal"/>
        <w:spacing w:before="0" w:after="240"/>
        <w:rPr/>
      </w:pPr>
      <w:r>
        <w:rPr>
          <w:b/>
        </w:rPr>
        <w:t>Si vous profitez de nos services d’hébergement, nous proposons de faire évoluer votre hébergement pour cette modification.</w:t>
      </w:r>
    </w:p>
    <w:p>
      <w:pPr>
        <w:pStyle w:val="Normal"/>
        <w:spacing w:before="0" w:after="240"/>
        <w:rPr/>
      </w:pPr>
      <w:r>
        <w:rPr/>
        <w:t>Par ailleurs, concernant notre hébergement, nous proposons également une option de réplication, qui n’est pas liée directement au RGDP.</w:t>
        <w:br/>
        <w:t>En cas de défaillance complète de notre site d’hébergement, nos prestations intègrent un redémarrage en moins de 48 heures avec utilisation des sauvegardes journalières.</w:t>
        <w:br/>
        <w:t>Cette option vous permet un redémarrage complètement automatisée en moins de 2 heures sur un autre site. Aucune action n’est requise de votre part.</w:t>
        <w:br/>
        <w:t>Cette proposition fait suite à l’incendie OVH.</w:t>
      </w:r>
    </w:p>
    <w:p>
      <w:pPr>
        <w:pStyle w:val="Normal"/>
        <w:spacing w:before="0" w:after="240"/>
        <w:rPr/>
      </w:pPr>
      <w:r>
        <w:rPr/>
      </w:r>
    </w:p>
    <w:p>
      <w:pPr>
        <w:pStyle w:val="Corpsdetexte"/>
        <w:rPr/>
      </w:pPr>
      <w:r>
        <w:rPr/>
      </w:r>
      <w:r>
        <w:br w:type="page"/>
      </w:r>
    </w:p>
    <w:p>
      <w:pPr>
        <w:pStyle w:val="Titre2"/>
        <w:rPr/>
      </w:pPr>
      <w:r>
        <w:rPr/>
        <w:t>Gestion du RGPD par les salariés JBA-Soft</w:t>
      </w:r>
    </w:p>
    <w:p>
      <w:pPr>
        <w:pStyle w:val="Corpsdetext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rpsdetexte"/>
        <w:rPr>
          <w:rFonts w:ascii="Calibri" w:hAnsi="Calibri"/>
        </w:rPr>
      </w:pPr>
      <w:r>
        <w:rPr>
          <w:rFonts w:ascii="Calibri" w:hAnsi="Calibri"/>
        </w:rPr>
        <w:t>Les salariés sont informés de leur obligations dans le cadre de la gestion du RGPD.</w:t>
      </w:r>
    </w:p>
    <w:p>
      <w:pPr>
        <w:pStyle w:val="Corpsdetexte"/>
        <w:widowControl/>
        <w:numPr>
          <w:ilvl w:val="0"/>
          <w:numId w:val="4"/>
        </w:numPr>
        <w:bidi w:val="0"/>
        <w:spacing w:lineRule="auto" w:line="288" w:before="0" w:after="140"/>
        <w:ind w:left="340" w:right="0" w:hanging="340"/>
        <w:jc w:val="left"/>
        <w:rPr>
          <w:rFonts w:ascii="Calibri" w:hAnsi="Calibri"/>
        </w:rPr>
      </w:pPr>
      <w:r>
        <w:rPr>
          <w:rFonts w:cs="Century Gothic" w:ascii="Calibri" w:hAnsi="Calibri"/>
          <w:lang w:eastAsia="ja-JP"/>
        </w:rPr>
        <w:t xml:space="preserve">Lors de l’embauche du collaborateur, celui-ci s’engage à respecter le règlement intérieur, la charte informatique et la politique de sécurité de l’information. Chaque contrat </w:t>
      </w:r>
      <w:r>
        <w:rPr>
          <w:rFonts w:ascii="Calibri" w:hAnsi="Calibri"/>
        </w:rPr>
        <w:t>des personnes susceptibles d'intervenir dans le traitement des données</w:t>
      </w:r>
      <w:r>
        <w:rPr>
          <w:rFonts w:cs="Century Gothic" w:ascii="Calibri" w:hAnsi="Calibri"/>
          <w:lang w:eastAsia="ja-JP"/>
        </w:rPr>
        <w:t xml:space="preserve"> comporte une clause de confidentialité et une clause liée au Règlement Général sur la Protection des données (RGPD). </w:t>
      </w:r>
    </w:p>
    <w:p>
      <w:pPr>
        <w:pStyle w:val="Corpsdetexte"/>
        <w:widowControl/>
        <w:numPr>
          <w:ilvl w:val="0"/>
          <w:numId w:val="4"/>
        </w:numPr>
        <w:bidi w:val="0"/>
        <w:spacing w:lineRule="auto" w:line="288" w:before="0" w:after="140"/>
        <w:ind w:left="340" w:right="0" w:hanging="340"/>
        <w:jc w:val="left"/>
        <w:rPr>
          <w:rFonts w:ascii="Calibri" w:hAnsi="Calibri"/>
        </w:rPr>
      </w:pPr>
      <w:r>
        <w:rPr>
          <w:rFonts w:ascii="Calibri" w:hAnsi="Calibri"/>
        </w:rPr>
        <w:t>Seuls les personnels du sous-traitant, habilités aux procédures de traitement sécurisé des données personnelles et disposant d'une connaissance technique suffisante en matière de sécurité informatique sont autorisés à réaliser des traitements de maintenance, de support et d'hébergement.</w:t>
      </w:r>
    </w:p>
    <w:p>
      <w:pPr>
        <w:pStyle w:val="Corpsdetexte"/>
        <w:widowControl/>
        <w:numPr>
          <w:ilvl w:val="0"/>
          <w:numId w:val="4"/>
        </w:numPr>
        <w:bidi w:val="0"/>
        <w:spacing w:lineRule="auto" w:line="288" w:before="0" w:after="140"/>
        <w:ind w:left="340" w:right="0" w:hanging="340"/>
        <w:jc w:val="left"/>
        <w:rPr>
          <w:rFonts w:ascii="Calibri" w:hAnsi="Calibri"/>
        </w:rPr>
      </w:pPr>
      <w:r>
        <w:rPr>
          <w:rFonts w:ascii="Calibri" w:hAnsi="Calibri"/>
        </w:rPr>
        <w:t>À la fin d'un contrat, des procédures sont suivies pour révoquer l'accès aux systèmes et installations du sous-traitant et du responsable de traitement en temps opportun.</w:t>
      </w:r>
    </w:p>
    <w:p>
      <w:pPr>
        <w:pStyle w:val="ListParagraph"/>
        <w:widowControl/>
        <w:numPr>
          <w:ilvl w:val="0"/>
          <w:numId w:val="4"/>
        </w:numPr>
        <w:shd w:val="clear" w:color="auto" w:fill="FFFFFF"/>
        <w:bidi w:val="0"/>
        <w:spacing w:lineRule="auto" w:line="276" w:before="0" w:after="165"/>
        <w:ind w:left="340" w:right="0" w:hanging="340"/>
        <w:contextualSpacing/>
        <w:jc w:val="both"/>
        <w:rPr>
          <w:rFonts w:ascii="Calibri" w:hAnsi="Calibri"/>
          <w:color w:val="auto"/>
          <w:highlight w:val="none"/>
          <w:shd w:fill="auto" w:val="clear"/>
        </w:rPr>
      </w:pPr>
      <w:r>
        <w:rPr>
          <w:rFonts w:ascii="Calibri" w:hAnsi="Calibri"/>
          <w:color w:val="000000"/>
          <w:shd w:fill="auto" w:val="clear"/>
        </w:rPr>
        <w:t>L’ensemble des documents de références liés à la sécurité de l’information sont mis à disposition des collaborateurs.</w:t>
      </w:r>
    </w:p>
    <w:p>
      <w:pPr>
        <w:pStyle w:val="ListParagraph"/>
        <w:widowControl/>
        <w:numPr>
          <w:ilvl w:val="0"/>
          <w:numId w:val="4"/>
        </w:numPr>
        <w:shd w:val="clear" w:color="auto" w:fill="FFFFFF"/>
        <w:bidi w:val="0"/>
        <w:spacing w:lineRule="auto" w:line="288" w:before="0" w:after="165"/>
        <w:ind w:left="340" w:right="0" w:hanging="340"/>
        <w:contextualSpacing/>
        <w:jc w:val="both"/>
        <w:rPr>
          <w:rFonts w:ascii="Calibri" w:hAnsi="Calibri"/>
          <w:color w:val="auto"/>
          <w:highlight w:val="none"/>
          <w:shd w:fill="auto" w:val="clear"/>
        </w:rPr>
      </w:pPr>
      <w:r>
        <w:rPr>
          <w:rFonts w:ascii="Calibri" w:hAnsi="Calibri"/>
          <w:color w:val="000000"/>
          <w:shd w:fill="auto" w:val="clear"/>
        </w:rPr>
        <w:t>Des formations internes régulières sont dispensées à la protection des données et la sécurité informatique.</w:t>
      </w:r>
    </w:p>
    <w:p>
      <w:pPr>
        <w:pStyle w:val="Normal"/>
        <w:spacing w:before="0" w:after="240"/>
        <w:rPr/>
      </w:pPr>
      <w:r>
        <w:rPr/>
        <w:t>Les prestataires d’hébergement n’ont pas d’accès aux fonctions permettant de gérer les informations personnelles gérées dans notre applicatif PHASEO.</w:t>
        <w:br/>
        <w:t xml:space="preserve">Seul le personnel habilité </w:t>
      </w:r>
      <w:r>
        <w:rPr/>
        <w:t xml:space="preserve">de </w:t>
      </w:r>
      <w:r>
        <w:rPr/>
        <w:t>JBA-Soft a le droit d’effectuer des traitements de données liées au RGPD.</w:t>
        <w:br/>
      </w:r>
      <w:r>
        <w:rPr/>
        <w:br/>
        <w:br/>
        <w:br/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4"/>
      <w:type w:val="nextPage"/>
      <w:pgSz w:w="11906" w:h="16838"/>
      <w:pgMar w:left="1417" w:right="849" w:gutter="0" w:header="0" w:top="543" w:footer="845" w:bottom="1417"/>
      <w:pgNumType w:fmt="decimal"/>
      <w:formProt w:val="false"/>
      <w:textDirection w:val="lrTb"/>
      <w:docGrid w:type="default" w:linePitch="360" w:charSpace="42949650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  <w:drawing>
        <wp:inline distT="0" distB="0" distL="0" distR="0">
          <wp:extent cx="520065" cy="400050"/>
          <wp:effectExtent l="0" t="0" r="0" b="0"/>
          <wp:docPr id="3" name="Image4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Document confidentiel                         Propriété exclusive de JBA-Soft       </w:t>
    </w:r>
    <w:r>
      <mc:AlternateContent>
        <mc:Choice Requires="wps">
          <w:drawing>
            <wp:anchor behindDoc="0" distT="0" distB="0" distL="114300" distR="114300" simplePos="0" locked="0" layoutInCell="0" allowOverlap="1" relativeHeight="17">
              <wp:simplePos x="0" y="0"/>
              <wp:positionH relativeFrom="column">
                <wp:posOffset>5882005</wp:posOffset>
              </wp:positionH>
              <wp:positionV relativeFrom="paragraph">
                <wp:posOffset>178435</wp:posOffset>
              </wp:positionV>
              <wp:extent cx="374015" cy="280035"/>
              <wp:effectExtent l="0" t="0" r="0" b="0"/>
              <wp:wrapSquare wrapText="bothSides"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280035"/>
                      </a:xfrm>
                      <a:prstGeom prst="rect"/>
                      <a:solidFill>
                        <a:srgbClr val="FFFFFF"/>
                      </a:solidFill>
                      <a:ln w="3175">
                        <a:solidFill>
                          <a:srgbClr val="80808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808080" strokeweight="0pt" style="position:absolute;rotation:-0;width:29.45pt;height:22.05pt;mso-wrap-distance-left:9pt;mso-wrap-distance-right:9pt;mso-wrap-distance-top:0pt;mso-wrap-distance-bottom:0pt;margin-top:14.05pt;mso-position-vertical-relative:text;margin-left:463.15pt;mso-position-horizontal-relative:text"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color w:val="000000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0"/>
  <w:defaultTabStop w:val="708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 w:customStyle="1">
    <w:name w:val="Heading 1"/>
    <w:basedOn w:val="Normal"/>
    <w:next w:val="Normal"/>
    <w:link w:val="Titre1Car"/>
    <w:uiPriority w:val="9"/>
    <w:qFormat/>
    <w:rsid w:val="00f471ca"/>
    <w:pPr>
      <w:keepNext w:val="true"/>
      <w:keepLines/>
      <w:spacing w:lineRule="auto" w:line="240" w:before="480" w:after="0"/>
      <w:ind w:left="360" w:hanging="3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paragraph" w:styleId="Titre2" w:customStyle="1">
    <w:name w:val="Heading 2"/>
    <w:basedOn w:val="Normal"/>
    <w:next w:val="Normal"/>
    <w:link w:val="Titre2Car"/>
    <w:uiPriority w:val="9"/>
    <w:unhideWhenUsed/>
    <w:qFormat/>
    <w:rsid w:val="00b96c02"/>
    <w:pPr>
      <w:keepNext w:val="true"/>
      <w:keepLines/>
      <w:spacing w:before="200" w:after="0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paragraph" w:styleId="Titre3" w:customStyle="1">
    <w:name w:val="Heading 3"/>
    <w:basedOn w:val="Normal"/>
    <w:next w:val="Normal"/>
    <w:link w:val="Titre3Car"/>
    <w:uiPriority w:val="9"/>
    <w:unhideWhenUsed/>
    <w:qFormat/>
    <w:rsid w:val="000d3277"/>
    <w:pPr>
      <w:keepNext w:val="true"/>
      <w:keepLines/>
      <w:spacing w:before="200" w:after="0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F79646" w:themeColor="accent6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uiPriority w:val="9"/>
    <w:qFormat/>
    <w:rsid w:val="00f471ca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character" w:styleId="Titre2Car" w:customStyle="1">
    <w:name w:val="Titre 2 Car"/>
    <w:basedOn w:val="DefaultParagraphFont"/>
    <w:uiPriority w:val="9"/>
    <w:qFormat/>
    <w:rsid w:val="00b96c02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character" w:styleId="Titre3Car" w:customStyle="1">
    <w:name w:val="Titre 3 Car"/>
    <w:basedOn w:val="DefaultParagraphFont"/>
    <w:uiPriority w:val="9"/>
    <w:qFormat/>
    <w:rsid w:val="000d3277"/>
    <w:rPr>
      <w:rFonts w:ascii="Cambria" w:hAnsi="Cambria" w:eastAsia="" w:cs="" w:asciiTheme="majorHAnsi" w:cstheme="majorBidi" w:eastAsiaTheme="majorEastAsia" w:hAnsiTheme="majorHAnsi"/>
      <w:b/>
      <w:bCs/>
      <w:i/>
      <w:color w:val="F79646" w:themeColor="accent6"/>
      <w:sz w:val="24"/>
    </w:rPr>
  </w:style>
  <w:style w:type="character" w:styleId="LienInternet">
    <w:name w:val="Lien Internet"/>
    <w:basedOn w:val="DefaultParagraphFont"/>
    <w:uiPriority w:val="99"/>
    <w:unhideWhenUsed/>
    <w:rsid w:val="003d7372"/>
    <w:rPr>
      <w:color w:val="0000FF"/>
      <w:u w:val="single"/>
    </w:rPr>
  </w:style>
  <w:style w:type="character" w:styleId="Appleconvertedspace" w:customStyle="1">
    <w:name w:val="apple-converted-space"/>
    <w:basedOn w:val="DefaultParagraphFont"/>
    <w:qFormat/>
    <w:rsid w:val="00ce57ac"/>
    <w:rPr/>
  </w:style>
  <w:style w:type="character" w:styleId="Spelle" w:customStyle="1">
    <w:name w:val="spelle"/>
    <w:basedOn w:val="DefaultParagraphFont"/>
    <w:qFormat/>
    <w:rsid w:val="00ce57ac"/>
    <w:rPr/>
  </w:style>
  <w:style w:type="character" w:styleId="NotedebasdepageCar" w:customStyle="1">
    <w:name w:val="Note de bas de page Car"/>
    <w:basedOn w:val="DefaultParagraphFont"/>
    <w:uiPriority w:val="99"/>
    <w:semiHidden/>
    <w:qFormat/>
    <w:rsid w:val="00866eda"/>
    <w:rPr>
      <w:sz w:val="20"/>
      <w:szCs w:val="20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66eda"/>
    <w:rPr>
      <w:vertAlign w:val="superscript"/>
    </w:rPr>
  </w:style>
  <w:style w:type="character" w:styleId="Puces" w:customStyle="1">
    <w:name w:val="Puces"/>
    <w:qFormat/>
    <w:rsid w:val="001115c3"/>
    <w:rPr>
      <w:rFonts w:ascii="OpenSymbol" w:hAnsi="OpenSymbol" w:eastAsia="OpenSymbol" w:cs="OpenSymbol"/>
    </w:rPr>
  </w:style>
  <w:style w:type="character" w:styleId="EntteCar1" w:customStyle="1">
    <w:name w:val="En-tête Car1"/>
    <w:basedOn w:val="DefaultParagraphFont"/>
    <w:uiPriority w:val="99"/>
    <w:semiHidden/>
    <w:qFormat/>
    <w:rsid w:val="00c35338"/>
    <w:rPr>
      <w:color w:val="00000A"/>
      <w:sz w:val="22"/>
    </w:rPr>
  </w:style>
  <w:style w:type="character" w:styleId="PieddepageCar1" w:customStyle="1">
    <w:name w:val="Pied de page Car1"/>
    <w:basedOn w:val="DefaultParagraphFont"/>
    <w:uiPriority w:val="99"/>
    <w:semiHidden/>
    <w:qFormat/>
    <w:rsid w:val="00c35338"/>
    <w:rPr>
      <w:color w:val="00000A"/>
      <w:sz w:val="22"/>
    </w:rPr>
  </w:style>
  <w:style w:type="character" w:styleId="Titre2Car1" w:customStyle="1">
    <w:name w:val="Titre 2 Car1"/>
    <w:basedOn w:val="DefaultParagraphFont"/>
    <w:uiPriority w:val="9"/>
    <w:qFormat/>
    <w:rsid w:val="0062273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itre1Car1" w:customStyle="1">
    <w:name w:val="Titre 1 Car1"/>
    <w:basedOn w:val="DefaultParagraphFont"/>
    <w:uiPriority w:val="9"/>
    <w:qFormat/>
    <w:rsid w:val="001a26d3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rsid w:val="001115c3"/>
    <w:pPr>
      <w:spacing w:lineRule="auto" w:line="288" w:before="0" w:after="140"/>
    </w:pPr>
    <w:rPr/>
  </w:style>
  <w:style w:type="paragraph" w:styleId="Liste">
    <w:name w:val="List"/>
    <w:basedOn w:val="Corpsdetexte"/>
    <w:rsid w:val="001115c3"/>
    <w:pPr/>
    <w:rPr>
      <w:rFonts w:cs="Arial"/>
    </w:rPr>
  </w:style>
  <w:style w:type="paragraph" w:styleId="Lgende" w:customStyle="1">
    <w:name w:val="Caption"/>
    <w:basedOn w:val="Normal"/>
    <w:qFormat/>
    <w:rsid w:val="001115c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1115c3"/>
    <w:pPr>
      <w:suppressLineNumbers/>
    </w:pPr>
    <w:rPr>
      <w:rFonts w:cs="Arial"/>
    </w:rPr>
  </w:style>
  <w:style w:type="paragraph" w:styleId="Titreprincipal">
    <w:name w:val="Title"/>
    <w:basedOn w:val="Normal"/>
    <w:next w:val="Corpsdetexte"/>
    <w:qFormat/>
    <w:rsid w:val="001115c3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1"/>
    <w:uiPriority w:val="99"/>
    <w:semiHidden/>
    <w:unhideWhenUsed/>
    <w:rsid w:val="00c3533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1"/>
    <w:uiPriority w:val="99"/>
    <w:semiHidden/>
    <w:unhideWhenUsed/>
    <w:rsid w:val="00c3533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unhideWhenUsed/>
    <w:qFormat/>
    <w:rsid w:val="008e44f1"/>
    <w:pPr>
      <w:spacing w:lineRule="auto" w:line="276"/>
    </w:pPr>
    <w:rPr>
      <w:sz w:val="28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1b48e5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671d41"/>
    <w:pPr>
      <w:spacing w:before="0" w:after="100"/>
      <w:ind w:left="220" w:hanging="0"/>
    </w:pPr>
    <w:rPr/>
  </w:style>
  <w:style w:type="paragraph" w:styleId="Tabledesmatiresniveau3" w:customStyle="1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 w:hanging="0"/>
    </w:pPr>
    <w:rPr/>
  </w:style>
  <w:style w:type="paragraph" w:styleId="ListParagraph">
    <w:name w:val="List Paragraph"/>
    <w:basedOn w:val="Normal"/>
    <w:uiPriority w:val="34"/>
    <w:qFormat/>
    <w:rsid w:val="007a4e6f"/>
    <w:pPr>
      <w:spacing w:before="0" w:after="200"/>
      <w:ind w:left="720" w:hanging="0"/>
      <w:contextualSpacing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sid w:val="00866eda"/>
    <w:pPr>
      <w:spacing w:lineRule="auto" w:line="240" w:before="0" w:after="0"/>
    </w:pPr>
    <w:rPr>
      <w:sz w:val="20"/>
      <w:szCs w:val="20"/>
    </w:rPr>
  </w:style>
  <w:style w:type="paragraph" w:styleId="Contenudecadre" w:customStyle="1">
    <w:name w:val="Contenu de cadre"/>
    <w:basedOn w:val="Normal"/>
    <w:qFormat/>
    <w:rsid w:val="001115c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6DFF4-EC1C-4242-A601-FBDEC454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Application>LibreOffice/7.3.0.3$Windows_X86_64 LibreOffice_project/0f246aa12d0eee4a0f7adcefbf7c878fc2238db3</Application>
  <AppVersion>15.0000</AppVersion>
  <DocSecurity>0</DocSecurity>
  <Pages>7</Pages>
  <Words>1033</Words>
  <Characters>5921</Characters>
  <CharactersWithSpaces>6942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2010-01-25T13:49:00Z</dcterms:created>
  <dc:creator>Julien DUVAL</dc:creator>
  <dc:description/>
  <dc:language>fr-FR</dc:language>
  <cp:lastModifiedBy/>
  <cp:lastPrinted>2021-07-20T09:18:00Z</cp:lastPrinted>
  <dcterms:modified xsi:type="dcterms:W3CDTF">2025-02-10T14:34:27Z</dcterms:modified>
  <cp:revision>161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