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9.jpeg" ContentType="image/jpe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</w:r>
    </w:p>
    <w:p>
      <w:pPr>
        <w:pStyle w:val="NormalWeb"/>
        <w:spacing w:before="280" w:after="0"/>
        <w:jc w:val="center"/>
        <w:rPr/>
      </w:pPr>
      <w:r>
        <w:rPr>
          <w:rFonts w:ascii="Franklin Gothic Book" w:hAnsi="Franklin Gothic Book"/>
          <w:color w:val="B84700"/>
          <w:sz w:val="72"/>
          <w:szCs w:val="72"/>
        </w:rPr>
        <w:t>Marques, modèles et infos métrologiques</w:t>
      </w:r>
    </w:p>
    <w:p>
      <w:pPr>
        <w:pStyle w:val="NormalWeb"/>
        <w:spacing w:before="280" w:after="0"/>
        <w:ind w:left="567"/>
        <w:jc w:val="center"/>
        <w:rPr/>
      </w:pPr>
      <w:r>
        <w:rPr>
          <w:rFonts w:ascii="Arial Narrow" w:hAnsi="Arial Narrow"/>
          <w:b/>
          <w:bCs/>
          <w:sz w:val="27"/>
          <w:szCs w:val="27"/>
        </w:rPr>
        <w:t>Mode opératoire PHASEO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08" w:left="1416"/>
        <w:rPr/>
      </w:pPr>
      <w:r>
        <w:rPr/>
        <w:drawing>
          <wp:inline distT="0" distB="0" distL="0" distR="0">
            <wp:extent cx="1544320" cy="1759585"/>
            <wp:effectExtent l="0" t="0" r="0" b="0"/>
            <wp:docPr id="1" name="Image 88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8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75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       </w:t>
      </w:r>
      <w:r>
        <w:rPr/>
        <w:drawing>
          <wp:inline distT="0" distB="0" distL="0" distR="0">
            <wp:extent cx="1630680" cy="1854835"/>
            <wp:effectExtent l="0" t="0" r="0" b="0"/>
            <wp:docPr id="2" name="Image 89" descr="Boite_Phaseo_Dech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9" descr="Boite_Phaseo_Dechet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85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08" w:left="1416"/>
        <w:rPr/>
      </w:pPr>
      <w:r>
        <w:rPr/>
      </w:r>
    </w:p>
    <w:p>
      <w:pPr>
        <w:pStyle w:val="Normal"/>
        <w:ind w:firstLine="708" w:left="708"/>
        <w:rPr/>
      </w:pPr>
      <w:r>
        <w:rPr/>
      </w:r>
    </w:p>
    <w:p>
      <w:pPr>
        <w:pStyle w:val="Normal"/>
        <w:ind w:firstLine="708" w:left="708"/>
        <w:rPr/>
      </w:pPr>
      <w:r>
        <w:rPr/>
      </w:r>
    </w:p>
    <w:p>
      <w:pPr>
        <w:pStyle w:val="Normal"/>
        <w:ind w:firstLine="708" w:left="708"/>
        <w:rPr/>
      </w:pPr>
      <w:r>
        <w:rPr/>
      </w:r>
    </w:p>
    <w:p>
      <w:pPr>
        <w:pStyle w:val="Normal"/>
        <w:ind w:firstLine="708" w:left="708"/>
        <w:rPr/>
      </w:pPr>
      <w:r>
        <w:rPr/>
      </w:r>
    </w:p>
    <w:p>
      <w:pPr>
        <w:pStyle w:val="Normal"/>
        <w:ind w:firstLine="708" w:left="708"/>
        <w:rPr/>
      </w:pPr>
      <w:r>
        <w:rPr/>
      </w:r>
    </w:p>
    <w:tbl>
      <w:tblPr>
        <w:tblStyle w:val="Grilledutableau"/>
        <w:tblW w:w="1059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384"/>
        <w:gridCol w:w="1559"/>
        <w:gridCol w:w="1560"/>
        <w:gridCol w:w="6095"/>
      </w:tblGrid>
      <w:tr>
        <w:trPr/>
        <w:tc>
          <w:tcPr>
            <w:tcW w:w="1384" w:type="dxa"/>
            <w:tcBorders/>
          </w:tcPr>
          <w:p>
            <w:pPr>
              <w:pStyle w:val="NormalWeb"/>
              <w:widowControl/>
              <w:suppressAutoHyphens w:val="true"/>
              <w:spacing w:before="0" w:after="119"/>
              <w:jc w:val="left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Créée par</w:t>
            </w:r>
          </w:p>
        </w:tc>
        <w:tc>
          <w:tcPr>
            <w:tcW w:w="1559" w:type="dxa"/>
            <w:tcBorders/>
          </w:tcPr>
          <w:p>
            <w:pPr>
              <w:pStyle w:val="NormalWeb"/>
              <w:widowControl/>
              <w:suppressAutoHyphens w:val="true"/>
              <w:spacing w:before="0" w:after="119"/>
              <w:jc w:val="left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Bertrand MEDINA</w:t>
            </w:r>
          </w:p>
        </w:tc>
        <w:tc>
          <w:tcPr>
            <w:tcW w:w="1560" w:type="dxa"/>
            <w:tcBorders/>
          </w:tcPr>
          <w:p>
            <w:pPr>
              <w:pStyle w:val="NormalWeb"/>
              <w:widowControl/>
              <w:suppressAutoHyphens w:val="true"/>
              <w:spacing w:before="0" w:after="119"/>
              <w:jc w:val="left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13 mars 2012</w:t>
            </w:r>
          </w:p>
        </w:tc>
        <w:tc>
          <w:tcPr>
            <w:tcW w:w="6095" w:type="dxa"/>
            <w:tcBorders/>
          </w:tcPr>
          <w:p>
            <w:pPr>
              <w:pStyle w:val="NormalWeb"/>
              <w:widowControl/>
              <w:suppressAutoHyphens w:val="true"/>
              <w:spacing w:before="0" w:after="119"/>
              <w:jc w:val="left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Création de document</w:t>
            </w:r>
          </w:p>
        </w:tc>
      </w:tr>
      <w:tr>
        <w:trPr/>
        <w:tc>
          <w:tcPr>
            <w:tcW w:w="1384" w:type="dxa"/>
            <w:tcBorders/>
          </w:tcPr>
          <w:p>
            <w:pPr>
              <w:pStyle w:val="NormalWeb"/>
              <w:widowControl/>
              <w:suppressAutoHyphens w:val="true"/>
              <w:spacing w:before="0" w:after="119"/>
              <w:jc w:val="left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Modifié par</w:t>
            </w:r>
          </w:p>
        </w:tc>
        <w:tc>
          <w:tcPr>
            <w:tcW w:w="1559" w:type="dxa"/>
            <w:tcBorders/>
          </w:tcPr>
          <w:p>
            <w:pPr>
              <w:pStyle w:val="NormalWeb"/>
              <w:widowControl/>
              <w:suppressAutoHyphens w:val="true"/>
              <w:spacing w:before="0" w:after="119"/>
              <w:jc w:val="left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Web"/>
              <w:widowControl/>
              <w:suppressAutoHyphens w:val="true"/>
              <w:spacing w:before="0" w:after="119"/>
              <w:jc w:val="left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6095" w:type="dxa"/>
            <w:tcBorders/>
          </w:tcPr>
          <w:p>
            <w:pPr>
              <w:pStyle w:val="NormalWeb"/>
              <w:widowControl/>
              <w:suppressAutoHyphens w:val="true"/>
              <w:spacing w:before="0" w:after="119"/>
              <w:jc w:val="left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</w:tr>
    </w:tbl>
    <w:p>
      <w:pPr>
        <w:pStyle w:val="Normal"/>
        <w:ind w:firstLine="708" w:left="708" w:right="1"/>
        <w:rPr/>
      </w:pPr>
      <w:r>
        <w:rPr/>
      </w:r>
    </w:p>
    <w:p>
      <w:pPr>
        <w:pStyle w:val="Normal"/>
        <w:ind w:firstLine="708" w:left="708" w:right="1"/>
        <w:rPr/>
      </w:pPr>
      <w:r>
        <w:rPr/>
      </w:r>
    </w:p>
    <w:p>
      <w:pPr>
        <w:pStyle w:val="Normal"/>
        <w:ind w:firstLine="708" w:left="708" w:right="1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numPr>
              <w:ilvl w:val="0"/>
              <w:numId w:val="1"/>
            </w:numPr>
            <w:ind w:hanging="360" w:left="0"/>
            <w:rPr/>
          </w:pPr>
          <w:r>
            <w:rPr/>
            <w:t>Sommaire</w:t>
          </w:r>
        </w:p>
        <w:p>
          <w:pPr>
            <w:pStyle w:val="TOC1"/>
            <w:tabs>
              <w:tab w:val="clear" w:pos="440"/>
              <w:tab w:val="clear" w:pos="10456"/>
              <w:tab w:val="right" w:pos="10465" w:leader="dot"/>
            </w:tabs>
            <w:rPr/>
          </w:pPr>
          <w:r>
            <w:fldChar w:fldCharType="begin"/>
          </w:r>
          <w:r>
            <w:rPr>
              <w:rStyle w:val="Sautdindexuser"/>
              <w:vanish w:val="false"/>
            </w:rPr>
            <w:instrText xml:space="preserve"> TOC \z \o "1-3" \u \h</w:instrText>
          </w:r>
          <w:r>
            <w:rPr>
              <w:rStyle w:val="Sautdindexuser"/>
              <w:vanish w:val="false"/>
            </w:rPr>
            <w:fldChar w:fldCharType="separate"/>
          </w:r>
          <w:r>
            <w:rPr>
              <w:rStyle w:val="Sautdindexuser"/>
              <w:vanish w:val="false"/>
            </w:rPr>
            <w:t>2. Gestion des marques</w:t>
          </w:r>
          <w:r>
            <w:rPr>
              <w:vanish w:val="false"/>
            </w:rPr>
            <w:tab/>
            <w:t>3</w:t>
          </w:r>
        </w:p>
        <w:p>
          <w:pPr>
            <w:pStyle w:val="TOC1"/>
            <w:tabs>
              <w:tab w:val="clear" w:pos="440"/>
              <w:tab w:val="clear" w:pos="10456"/>
              <w:tab w:val="right" w:pos="10465" w:leader="dot"/>
            </w:tabs>
            <w:rPr/>
          </w:pPr>
          <w:r>
            <w:rPr>
              <w:vanish w:val="false"/>
            </w:rPr>
            <w:t>3. Modèles de compteur</w:t>
            <w:tab/>
            <w:t>6</w:t>
          </w:r>
        </w:p>
        <w:p>
          <w:pPr>
            <w:pStyle w:val="TOC1"/>
            <w:tabs>
              <w:tab w:val="clear" w:pos="440"/>
              <w:tab w:val="clear" w:pos="10456"/>
              <w:tab w:val="right" w:pos="10465" w:leader="dot"/>
            </w:tabs>
            <w:rPr/>
          </w:pPr>
          <w:r>
            <w:rPr>
              <w:vanish w:val="false"/>
            </w:rPr>
            <w:t>4. Informations métrologiques</w:t>
            <w:tab/>
            <w:t>8</w:t>
          </w:r>
        </w:p>
        <w:p>
          <w:pPr>
            <w:pStyle w:val="TOC1"/>
            <w:tabs>
              <w:tab w:val="clear" w:pos="440"/>
              <w:tab w:val="clear" w:pos="10456"/>
              <w:tab w:val="right" w:pos="10465" w:leader="dot"/>
            </w:tabs>
            <w:rPr/>
          </w:pPr>
          <w:r>
            <w:rPr>
              <w:vanish w:val="false"/>
            </w:rPr>
            <w:t>5. Informations métrologiques en double</w:t>
            <w:tab/>
            <w:t>9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numPr>
          <w:ilvl w:val="0"/>
          <w:numId w:val="1"/>
        </w:numPr>
        <w:spacing w:before="480" w:after="240"/>
        <w:ind w:hanging="357" w:left="714"/>
        <w:rPr/>
      </w:pPr>
      <w:bookmarkStart w:id="0" w:name="__RefHeading___Toc3415_2754674448"/>
      <w:bookmarkStart w:id="1" w:name="_Toc421009179"/>
      <w:bookmarkEnd w:id="0"/>
      <w:r>
        <w:rPr/>
        <w:t>G</w:t>
      </w:r>
      <w:bookmarkEnd w:id="1"/>
      <w:r>
        <w:rPr/>
        <w:t>estion des marques</w:t>
      </w:r>
    </w:p>
    <w:p>
      <w:pPr>
        <w:pStyle w:val="Normal"/>
        <w:spacing w:before="480" w:after="240"/>
        <w:ind w:hanging="357" w:left="714"/>
        <w:rPr/>
      </w:pPr>
      <w:r>
        <w:rPr/>
        <w:tab/>
        <w:t>Rendez-vous sur la fenêtre de gestion des marques :</w:t>
      </w:r>
    </w:p>
    <w:p>
      <w:pPr>
        <w:pStyle w:val="Normal"/>
        <w:rPr>
          <w:lang w:eastAsia="fr-FR"/>
        </w:rPr>
      </w:pPr>
      <w: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167005</wp:posOffset>
            </wp:positionV>
            <wp:extent cx="6379845" cy="398907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45" cy="398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fr-FR"/>
        </w:rPr>
        <w:br/>
        <w:t>Cette liste présente le nombre de modèles associé à chaque marque.</w:t>
        <w:br/>
        <w:t>Elle présente également le nombre de compteurs posés associé à la marque.</w:t>
      </w:r>
    </w:p>
    <w:p>
      <w:pPr>
        <w:pStyle w:val="Normal"/>
        <w:rPr>
          <w:lang w:eastAsia="fr-FR"/>
        </w:rPr>
      </w:pPr>
      <w:r>
        <w:rPr>
          <w:lang w:eastAsia="fr-FR"/>
        </w:rPr>
        <w:t>Dans cette fenêtre vous pouvez ajouter, modifier, supprimer ou fusionner deux marques.</w:t>
      </w:r>
    </w:p>
    <w:p>
      <w:pPr>
        <w:pStyle w:val="Normal"/>
        <w:rPr>
          <w:lang w:eastAsia="fr-FR"/>
        </w:rPr>
      </w:pPr>
      <w:r>
        <w:rPr>
          <w:lang w:eastAsia="fr-FR"/>
        </w:rPr>
        <w:t>Le bouton « Ajouter » créer une nouvelle marque qui n’est lié à aucun modèle ou compteur.</w:t>
      </w:r>
    </w:p>
    <w:p>
      <w:pPr>
        <w:pStyle w:val="Normal"/>
        <w:rPr>
          <w:lang w:eastAsia="fr-FR"/>
        </w:rPr>
      </w:pPr>
      <w:r>
        <w:rPr>
          <w:lang w:eastAsia="fr-FR"/>
        </w:rPr>
        <w:t>Le bouton « Modifier » permet de modifier une marque existante afin de corriger l’orthographe d’une marque par exemple.</w:t>
      </w:r>
    </w:p>
    <w:p>
      <w:pPr>
        <w:pStyle w:val="Normal"/>
        <w:rPr>
          <w:lang w:eastAsia="fr-FR"/>
        </w:rPr>
      </w:pPr>
      <w:r>
        <w:rPr>
          <w:lang w:eastAsia="fr-FR"/>
        </w:rPr>
        <w:t>Ces 2 options permettent d’accéder à l’écran suivant.</w:t>
      </w:r>
    </w:p>
    <w:p>
      <w:pPr>
        <w:pStyle w:val="Normal"/>
        <w:rPr>
          <w:lang w:eastAsia="fr-FR"/>
        </w:rPr>
      </w:pPr>
      <w:r>
        <w:rPr>
          <w:lang w:eastAsia="fr-FR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-121920</wp:posOffset>
            </wp:positionH>
            <wp:positionV relativeFrom="paragraph">
              <wp:posOffset>-67945</wp:posOffset>
            </wp:positionV>
            <wp:extent cx="1837690" cy="15900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59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eastAsia="fr-FR"/>
        </w:rPr>
      </w:pPr>
      <w:r>
        <w:rPr>
          <w:lang w:eastAsia="fr-FR"/>
        </w:rPr>
      </w:r>
      <w:r>
        <w:br w:type="page"/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  <w:t>Le bouton « Supprimer » permet de supprimer une marque, en revanche si la marque que vous désirez supprimer et lié à des compteurs ou/et des modèles, vous ne pourrez pas la supprimer. Dans ce cas la vous devez transférer les modèles ainsi que les compteurs attachés à une autre marque grâce au bouton « fusionner 2 marques ».</w:t>
      </w:r>
    </w:p>
    <w:p>
      <w:pPr>
        <w:pStyle w:val="Normal"/>
        <w:rPr>
          <w:lang w:eastAsia="fr-FR"/>
        </w:rPr>
      </w:pPr>
      <w:r>
        <w:rPr>
          <w:lang w:eastAsia="fr-FR"/>
        </w:rPr>
        <w:t xml:space="preserve">Le bouton « Changer la marque des compteurs associés » permet de transférer les compteurs et les modèles d’une marque vers une autre marque. </w:t>
        <w:br/>
        <w:br/>
        <w:t>Attention : certains informations métrologiques sont peut-être déjà associées aux compteurs. Reportez-vous au paragraphe 5 pour tenir compte de ces informations avant de procéder à des modifications.</w:t>
        <w:br/>
      </w:r>
    </w:p>
    <w:p>
      <w:pPr>
        <w:pStyle w:val="Normal"/>
        <w:rPr>
          <w:lang w:eastAsia="fr-FR"/>
        </w:rPr>
      </w:pPr>
      <w:r>
        <w:rPr>
          <w:lang w:eastAsia="fr-FR"/>
        </w:rPr>
        <w:t>Exemple : nous voulons transférer les modèles et les compteurs de la marque « WOLTMANN » vers la marque « REGARD CLASSIQUE » .</w:t>
      </w:r>
    </w:p>
    <w:p>
      <w:pPr>
        <w:pStyle w:val="Normal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Sélectionnez la marque « WOLTMANN » puis cliquez sur « Changer la marque des compteurs associés  »</w:t>
      </w:r>
    </w:p>
    <w:p>
      <w:pPr>
        <w:pStyle w:val="Normal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Une nouvelle fenêtre s’ouvre comme ci-dessous</w:t>
      </w:r>
    </w:p>
    <w:p>
      <w:pPr>
        <w:pStyle w:val="Normal"/>
        <w:rPr>
          <w:lang w:eastAsia="fr-FR"/>
        </w:rPr>
      </w:pPr>
      <w:r>
        <w:rPr>
          <w:lang w:eastAsia="fr-FR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909320</wp:posOffset>
            </wp:positionH>
            <wp:positionV relativeFrom="paragraph">
              <wp:posOffset>-40005</wp:posOffset>
            </wp:positionV>
            <wp:extent cx="2265045" cy="280098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Cliquez sur « Valider »</w:t>
      </w:r>
    </w:p>
    <w:p>
      <w:pPr>
        <w:pStyle w:val="Normal"/>
        <w:rPr>
          <w:lang w:eastAsia="fr-FR"/>
        </w:rPr>
      </w:pPr>
      <w:r>
        <w:rPr>
          <w:lang w:eastAsia="fr-FR"/>
        </w:rPr>
        <w:t>Toutes les marques et compteurs associés à la marque « WOLTMANN » sont maintenant transférés dans la marque « REGARD CLASSIQUE » et la marque « WOLTMANN » est supprimée .</w:t>
      </w:r>
    </w:p>
    <w:p>
      <w:pPr>
        <w:pStyle w:val="Normal"/>
        <w:rPr>
          <w:lang w:eastAsia="fr-FR"/>
        </w:rPr>
      </w:pPr>
      <w:r>
        <w:rPr>
          <w:lang w:eastAsia="fr-FR"/>
        </w:rPr>
        <w:t>Les modèles de la marque supprimée sont reportée sur la marque conservée.</w:t>
        <w:br/>
        <w:t>On obtient ainsi un cumul de tous les modèles connus pour la nouvelle marque.</w:t>
        <w:br/>
        <w:t>Si un modèle identique existait dans les 2 marques, le modèle du compteur sera celui de la nouvelle marque.</w:t>
      </w:r>
    </w:p>
    <w:p>
      <w:pPr>
        <w:pStyle w:val="Normal"/>
        <w:rPr>
          <w:lang w:eastAsia="fr-FR"/>
        </w:rPr>
      </w:pPr>
      <w: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6645910" cy="1771015"/>
            <wp:effectExtent l="0" t="0" r="0" b="0"/>
            <wp:wrapSquare wrapText="largest"/>
            <wp:docPr id="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7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fr-FR"/>
        </w:rPr>
        <w:t>Cas particulier : gestion des compteurs sans marque</w:t>
        <w:br/>
      </w:r>
    </w:p>
    <w:p>
      <w:pPr>
        <w:pStyle w:val="Normal"/>
        <w:rPr>
          <w:lang w:eastAsia="fr-FR"/>
        </w:rPr>
      </w:pPr>
      <w:r>
        <w:rPr>
          <w:lang w:eastAsia="fr-FR"/>
        </w:rPr>
        <w:t>Pour affecter une marque aux compteurs sans marques, utilisez également le bouton « Changer la marque des compteurs associés ».</w:t>
        <w:br/>
        <w:t>Dans ce cas, la liste des compteurs sans marque est présentée.</w:t>
        <w:br/>
        <w:br/>
        <w:t>On peut sélectionner les compteurs en fonction de leur année de fabrication, de leur diamètre et de commune de pose.</w:t>
        <w:br/>
        <w:t>Effectuez une multi-sélection pour changer la marque de tous les compteurs sélectionnés.</w:t>
        <w:br/>
        <w:t>Utilisez pour cela le bouton « Assigner à un marque et un modèle... ».</w:t>
        <w:b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227"/>
        <w:ind w:hanging="360" w:left="0"/>
        <w:rPr/>
      </w:pPr>
      <w:bookmarkStart w:id="2" w:name="__RefHeading___Toc3695_2754674448"/>
      <w:bookmarkEnd w:id="2"/>
      <w:r>
        <w:rPr/>
        <w:t>Modèles de compteur</w:t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  <w:t>Pour accéder aux modèles d’une marque, double-cliquez sur un marque.</w:t>
      </w:r>
    </w:p>
    <w:p>
      <w:pPr>
        <w:pStyle w:val="Normal"/>
        <w:rPr>
          <w:lang w:eastAsia="fr-FR"/>
        </w:rPr>
      </w:pPr>
      <w:r>
        <w:rPr>
          <w:lang w:eastAsia="fr-FR"/>
        </w:rP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63500</wp:posOffset>
            </wp:positionH>
            <wp:positionV relativeFrom="paragraph">
              <wp:posOffset>2436495</wp:posOffset>
            </wp:positionV>
            <wp:extent cx="6645910" cy="342582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t>Vous pouvez aussi utilisez l’icône « Modèles des compteurs » présente dans le ruban d’entête du module Tournée.</w:t>
        <w:br/>
      </w:r>
      <w: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20955</wp:posOffset>
            </wp:positionH>
            <wp:positionV relativeFrom="paragraph">
              <wp:posOffset>3881120</wp:posOffset>
            </wp:positionV>
            <wp:extent cx="2877820" cy="92837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00" t="-619" r="-200" b="-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fr-FR"/>
        </w:rPr>
        <w:tab/>
        <w:tab/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  <w:t>Cet écran présente les informations des modèles et plusieurs informations complémentaires.</w:t>
      </w:r>
    </w:p>
    <w:p>
      <w:pPr>
        <w:pStyle w:val="Normal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Le nombre de compteurs correspond au nombre de compteurs actuellement posés.</w:t>
      </w:r>
    </w:p>
    <w:p>
      <w:pPr>
        <w:pStyle w:val="Normal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Le nombre de roues permet d’avoir une valeur par défaut lors de la création des compteurs. Cette information servira ensuite à gérer le retour des 0 des compteurs.</w:t>
      </w:r>
    </w:p>
    <w:p>
      <w:pPr>
        <w:pStyle w:val="Normal"/>
        <w:numPr>
          <w:ilvl w:val="0"/>
          <w:numId w:val="3"/>
        </w:numPr>
        <w:rPr>
          <w:lang w:eastAsia="fr-FR"/>
        </w:rPr>
      </w:pPr>
      <w:r>
        <w:rPr>
          <w:lang w:eastAsia="fr-FR"/>
        </w:rPr>
        <w:t>Le nombre « métrologie » permet de savoir des si des informations métrologiques sont connues pour le modèle de compteur.</w:t>
        <w:br/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  <w:t>Les boutons Ajouter, Modifier et Supprimer vous permettent de gérer les informations des modèles.</w:t>
        <w:br/>
        <w:t>Les boutons Ajouter et Modifier permettent d’accéder à l’écran suivant :</w:t>
      </w:r>
    </w:p>
    <w:p>
      <w:pPr>
        <w:pStyle w:val="Normal"/>
        <w:rPr>
          <w:lang w:eastAsia="fr-FR"/>
        </w:rPr>
      </w:pPr>
      <w: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posOffset>55880</wp:posOffset>
            </wp:positionH>
            <wp:positionV relativeFrom="paragraph">
              <wp:posOffset>635</wp:posOffset>
            </wp:positionV>
            <wp:extent cx="2628265" cy="260731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265" cy="260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fr-FR"/>
        </w:rPr>
        <w:br/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  <w:t>Cet écran permet également de changer en masse le modèle de certains compteurs.</w:t>
        <w:br/>
        <w:t>Pour cela, sélectionnez un modèle et utilisez le bouton « Changer le modèle des compteurs associés » en base de la fenêtre à droite.</w:t>
      </w:r>
    </w:p>
    <w:p>
      <w:pPr>
        <w:pStyle w:val="Normal"/>
        <w:rPr>
          <w:lang w:eastAsia="fr-FR"/>
        </w:rPr>
      </w:pPr>
      <w:r>
        <w:rPr>
          <w:lang w:eastAsia="fr-FR"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posOffset>10795</wp:posOffset>
            </wp:positionH>
            <wp:positionV relativeFrom="paragraph">
              <wp:posOffset>6985</wp:posOffset>
            </wp:positionV>
            <wp:extent cx="2506980" cy="163703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63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  <w:t>Vous pouvez aussi attribuer un modèle à des compteurs de la même marque qui n’ont pas encore de modèle.</w:t>
        <w:br/>
        <w:t>Sélectionnez la ligne des compteurs sans marque et utilisez le bouton « Changer le modèle des compteurs associés ».</w:t>
      </w:r>
    </w:p>
    <w:p>
      <w:pPr>
        <w:pStyle w:val="Normal"/>
        <w:rPr>
          <w:lang w:eastAsia="fr-FR"/>
        </w:rPr>
      </w:pPr>
      <w:r>
        <w:rPr>
          <w:u w:val="single"/>
          <w:lang w:eastAsia="fr-FR"/>
        </w:rPr>
        <w:t>Cas particuliers : affecter plusieurs modèles techniques pour les compteurs d’un marque commerciale.</w:t>
      </w:r>
    </w:p>
    <w:p>
      <w:pPr>
        <w:pStyle w:val="Normal"/>
        <w:rPr>
          <w:lang w:eastAsia="fr-FR"/>
        </w:rPr>
      </w:pPr>
      <w: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posOffset>-8255</wp:posOffset>
            </wp:positionH>
            <wp:positionV relativeFrom="paragraph">
              <wp:posOffset>842010</wp:posOffset>
            </wp:positionV>
            <wp:extent cx="6645910" cy="52197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fr-FR"/>
        </w:rPr>
        <w:t>PHASEO intègre maintenant la gestion d’un modèle commercial et d’un modèle technique.</w:t>
        <w:br/>
        <w:t>En effet, un nom commercial peut correspondre à un modèle qui évolue techniquement au cours du temps.</w:t>
        <w:br/>
        <w:t>Vous pouvez ainsi préciser un modèle technique plus précis que le modèle commercial.</w:t>
      </w:r>
    </w:p>
    <w:p>
      <w:pPr>
        <w:pStyle w:val="Normal"/>
        <w:rPr>
          <w:lang w:eastAsia="fr-FR"/>
        </w:rPr>
      </w:pPr>
      <w:r>
        <w:rPr>
          <w:lang w:eastAsia="fr-FR"/>
        </w:rPr>
        <w:t>Dans cet exemple, le modèle commercial « Altair V4 » correspond à plusieurs modèles techniques.</w:t>
        <w:br/>
        <w:t>Ici, on précise un modèle technique pour les compteurs fabriqués avant 2018.</w:t>
        <w:br/>
        <w:br/>
        <w:t>Les compteurs Altair V4 fabriqués jusqu’en 2018 sont maintenant associés au modèle « Altair V4 AL2018849 ».</w:t>
        <w:br/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Heading1"/>
        <w:numPr>
          <w:ilvl w:val="0"/>
          <w:numId w:val="1"/>
        </w:numPr>
        <w:ind w:hanging="360" w:left="0"/>
        <w:rPr/>
      </w:pPr>
      <w:bookmarkStart w:id="3" w:name="__RefHeading___Toc3697_2754674448"/>
      <w:bookmarkEnd w:id="3"/>
      <w:r>
        <w:rPr/>
        <w:t>Informations métrologiques</w:t>
      </w:r>
    </w:p>
    <w:p>
      <w:pPr>
        <w:pStyle w:val="Normal"/>
        <w:rPr>
          <w:lang w:eastAsia="fr-FR"/>
        </w:rPr>
      </w:pPr>
      <w:r>
        <w:rPr>
          <w:lang w:eastAsia="fr-FR"/>
        </w:rPr>
        <w:t>PHASEO permet de saisir les informations de métrologie associé à un modèle de compteur.</w:t>
        <w:br/>
        <w:br/>
        <w:t>Choisissez un modèle et cliquez sur « Métrologie » pour accéder aux infos.</w:t>
      </w:r>
    </w:p>
    <w:p>
      <w:pPr>
        <w:pStyle w:val="Normal"/>
        <w:rPr>
          <w:lang w:eastAsia="fr-FR"/>
        </w:rPr>
      </w:pPr>
      <w: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157605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5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fr-FR"/>
        </w:rPr>
        <w:br/>
        <w:t>Utilisez les boutons Ajouter, Modifier et Supprimer pour gérer les informations métrologiques conformément aux informations données par le constructeur de compteurs.</w:t>
        <w:br/>
        <w:t>Vous devez définir une ligne pour chaque diamètre de compteur.</w:t>
        <w:br/>
        <w:br/>
        <w:t>Ces informations seront utilisées lors de l’édition du carnet métrologique.</w:t>
      </w:r>
    </w:p>
    <w:p>
      <w:pPr>
        <w:pStyle w:val="Normal"/>
        <w:rPr>
          <w:lang w:eastAsia="fr-FR"/>
        </w:rPr>
      </w:pPr>
      <w:r>
        <w:rPr>
          <w:lang w:eastAsia="fr-FR"/>
        </w:rP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posOffset>-22225</wp:posOffset>
            </wp:positionH>
            <wp:positionV relativeFrom="paragraph">
              <wp:posOffset>-3175</wp:posOffset>
            </wp:positionV>
            <wp:extent cx="4563745" cy="2277745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227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  <w:r>
        <w:br w:type="page"/>
      </w:r>
    </w:p>
    <w:p>
      <w:pPr>
        <w:pStyle w:val="Heading2"/>
        <w:numPr>
          <w:ilvl w:val="0"/>
          <w:numId w:val="1"/>
        </w:numPr>
        <w:rPr>
          <w:lang w:eastAsia="fr-FR"/>
        </w:rPr>
      </w:pPr>
      <w:r>
        <w:rPr>
          <w:lang w:eastAsia="fr-FR"/>
        </w:rPr>
      </w:r>
      <w:r>
        <w:br w:type="page"/>
      </w:r>
    </w:p>
    <w:p>
      <w:pPr>
        <w:pStyle w:val="Heading1"/>
        <w:numPr>
          <w:ilvl w:val="0"/>
          <w:numId w:val="1"/>
        </w:numPr>
        <w:ind w:left="0"/>
        <w:rPr/>
      </w:pPr>
      <w:r>
        <w:rPr/>
        <w:t>Edition du carnet métrologique</w:t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  <w:t>Le module Analyse contient une liste des informations  permettant de réaliser l’extraction de données destinées aux carnet métrologique.</w:t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  <w:t>L</w:t>
      </w:r>
      <w:r>
        <w:rPr>
          <w:lang w:eastAsia="fr-FR"/>
        </w:rPr>
        <w:t>a requête</w:t>
      </w:r>
      <w:r>
        <w:rPr>
          <w:lang w:eastAsia="fr-FR"/>
        </w:rPr>
        <w:t xml:space="preserve"> « Carnet métrologique » est fourni par JBA-Soft.</w:t>
        <w:br/>
      </w:r>
      <w: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31115</wp:posOffset>
            </wp:positionH>
            <wp:positionV relativeFrom="paragraph">
              <wp:posOffset>254635</wp:posOffset>
            </wp:positionV>
            <wp:extent cx="6046470" cy="2477135"/>
            <wp:effectExtent l="0" t="0" r="0" b="0"/>
            <wp:wrapSquare wrapText="largest"/>
            <wp:docPr id="1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92" t="-224" r="-92" b="-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70" cy="24771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eastAsia="fr-FR"/>
        </w:rPr>
        <w:br/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  <w:t>Cette requête contient l’adresse de l’emplacement ainsi que la dernière intervention réalisée sur site</w:t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posOffset>-5715</wp:posOffset>
            </wp:positionH>
            <wp:positionV relativeFrom="paragraph">
              <wp:posOffset>-115570</wp:posOffset>
            </wp:positionV>
            <wp:extent cx="6108065" cy="294449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93" t="-192" r="-93" b="-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29444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  <w:r>
        <w:br w:type="page"/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  <w:t>Vous pouvez modifier ou créer une autre extraction.</w:t>
        <w:br/>
        <w:br/>
        <w:t>Pour créer un autre extraction, cliquez sur « Nouvelle requête... » en haut à gauche de la fenêtre.</w:t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posOffset>8890</wp:posOffset>
            </wp:positionH>
            <wp:positionV relativeFrom="paragraph">
              <wp:posOffset>-81915</wp:posOffset>
            </wp:positionV>
            <wp:extent cx="4166870" cy="330835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70" cy="330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  <w:br/>
      </w:r>
      <w:r>
        <w:br w:type="page"/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  <w:t>Voici les informations disponibles pour faire vos extractions</w:t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posOffset>30480</wp:posOffset>
            </wp:positionH>
            <wp:positionV relativeFrom="paragraph">
              <wp:posOffset>-134620</wp:posOffset>
            </wp:positionV>
            <wp:extent cx="6456680" cy="553783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680" cy="553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numPr>
          <w:ilvl w:val="0"/>
          <w:numId w:val="0"/>
        </w:numPr>
        <w:ind w:hanging="0" w:left="720"/>
        <w:rPr>
          <w:u w:val="single"/>
        </w:rPr>
      </w:pPr>
      <w:bookmarkStart w:id="4" w:name="__RefHeading___Toc3699_2754674448"/>
      <w:bookmarkEnd w:id="4"/>
      <w:r>
        <w:rPr>
          <w:u w:val="single"/>
        </w:rPr>
        <w:t xml:space="preserve">Informations métrologiques </w:t>
      </w:r>
      <w:r>
        <w:rPr>
          <w:u w:val="single"/>
        </w:rPr>
        <w:t>du compteur et du modèlle</w:t>
      </w:r>
    </w:p>
    <w:p>
      <w:pPr>
        <w:pStyle w:val="Normal"/>
        <w:rPr>
          <w:lang w:eastAsia="fr-FR"/>
        </w:rPr>
      </w:pPr>
      <w:r>
        <w:rPr>
          <w:lang w:eastAsia="fr-FR"/>
        </w:rPr>
        <w:t>Dans ce document, on présente les informations métrologiques associées au modèle de compteur mais à l’initialisation de la base PHASEO, certains logiciels stockaient des informations métrologiques directement pour les compteurs.</w:t>
        <w:br/>
        <w:br/>
      </w:r>
      <w:r>
        <w:rPr>
          <w:lang w:eastAsia="fr-FR"/>
        </w:rPr>
        <w:t>Les informations disponibles pour le carnet métrologique permettent d’accéder à la fois aux valeurs stockées pour le compteur et aux valeurs stockés pour le modèle.</w:t>
      </w:r>
    </w:p>
    <w:p>
      <w:pPr>
        <w:pStyle w:val="Normal"/>
        <w:rPr>
          <w:lang w:eastAsia="fr-FR"/>
        </w:rPr>
      </w:pPr>
      <w: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posOffset>-13970</wp:posOffset>
            </wp:positionH>
            <wp:positionV relativeFrom="paragraph">
              <wp:posOffset>-63500</wp:posOffset>
            </wp:positionV>
            <wp:extent cx="2609850" cy="132397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fr-FR"/>
        </w:rPr>
        <w:br/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  <w:t>Il arrive souvent que les informations du compteurs ne soient pas cohérentes avec celle du modèle.</w:t>
        <w:br/>
        <w:t>Il est possible que les informations métrologiques du compteur soient fausses mais il est aussi possible que le modèle associé associé au compteur qui soit faux.</w:t>
        <w:br/>
        <w:br/>
      </w:r>
      <w:r>
        <w:rPr>
          <w:lang w:eastAsia="fr-FR"/>
        </w:rPr>
        <w:t>Les données présentes pour le compteur</w:t>
      </w:r>
      <w:r>
        <w:rPr>
          <w:lang w:eastAsia="fr-FR"/>
        </w:rPr>
        <w:t xml:space="preserve"> </w:t>
      </w:r>
      <w:r>
        <w:rPr>
          <w:lang w:eastAsia="fr-FR"/>
        </w:rPr>
        <w:t>permettent</w:t>
      </w:r>
      <w:r>
        <w:rPr>
          <w:lang w:eastAsia="fr-FR"/>
        </w:rPr>
        <w:t xml:space="preserve"> de guider les agents pour choisir le bon modèle et les bonnes infos métrologiques.</w:t>
        <w:br/>
        <w:br/>
        <w:t>Attention : le carnet métrologique n’utilise aucune des données propres au compteurs.</w:t>
        <w:br/>
        <w:t>On se limite aux informations métrologiques associés aux modèles de compteurs  dont la saisie est expliquées= dans ce document.</w:t>
      </w:r>
    </w:p>
    <w:p>
      <w:pPr>
        <w:pStyle w:val="Normal"/>
        <w:spacing w:before="0" w:after="200"/>
        <w:rPr>
          <w:lang w:eastAsia="fr-FR"/>
        </w:rPr>
      </w:pPr>
      <w:r>
        <w:rPr>
          <w:lang w:eastAsia="fr-FR"/>
        </w:rPr>
      </w:r>
    </w:p>
    <w:sectPr>
      <w:footerReference w:type="even" r:id="rId20"/>
      <w:footerReference w:type="default" r:id="rId21"/>
      <w:footerReference w:type="first" r:id="rId22"/>
      <w:type w:val="nextPage"/>
      <w:pgSz w:w="11906" w:h="16838"/>
      <w:pgMar w:left="720" w:right="720" w:gutter="0" w:header="0" w:top="720" w:footer="845" w:bottom="90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Franklin Gothic Book">
    <w:charset w:val="00"/>
    <w:family w:val="swiss"/>
    <w:pitch w:val="variable"/>
  </w:font>
  <w:font w:name="Arial Narrow">
    <w:charset w:val="00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mc:AlternateContent>
        <mc:Choice Requires="wps">
          <w:drawing>
            <wp:anchor behindDoc="1" distT="1905" distB="1905" distL="1905" distR="2540" simplePos="0" locked="0" layoutInCell="0" allowOverlap="1" relativeHeight="26">
              <wp:simplePos x="0" y="0"/>
              <wp:positionH relativeFrom="rightMargin">
                <wp:posOffset>-292735</wp:posOffset>
              </wp:positionH>
              <wp:positionV relativeFrom="bottomMargin">
                <wp:posOffset>178435</wp:posOffset>
              </wp:positionV>
              <wp:extent cx="368300" cy="274320"/>
              <wp:effectExtent l="1905" t="1905" r="2540" b="1905"/>
              <wp:wrapNone/>
              <wp:docPr id="19" name="For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8280" cy="274320"/>
                      </a:xfrm>
                      <a:prstGeom prst="foldedCorner">
                        <a:avLst>
                          <a:gd name="adj" fmla="val 34560"/>
                        </a:avLst>
                      </a:prstGeom>
                      <a:solidFill>
                        <a:srgbClr val="ffffff"/>
                      </a:solidFill>
                      <a:ln w="3240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20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65" coordsize="21600,21600" o:spt="65" adj="3600" path="m,l21600,l21600@4l@2,21600l,21600xnsem@2,21600l@3@5l21600@4xnsem@2,21600l@3@5l21600@4l@2,21600l,21600l,l21600,l21600@4nfe">
              <v:stroke joinstyle="miter"/>
              <v:formulas>
                <v:f eqn="val #0"/>
                <v:f eqn="prod @0 1 5"/>
                <v:f eqn="sum width 0 @0"/>
                <v:f eqn="sum @2 @1 0"/>
                <v:f eqn="sum height 0 @0"/>
                <v:f eqn="sum @4 @1 0"/>
              </v:formulas>
              <v:path gradientshapeok="t" o:connecttype="rect" textboxrect="0,0,21600,@4"/>
              <v:handles>
                <v:h position="@2,21600"/>
              </v:handles>
            </v:shapetype>
            <v:shape id="shape_0" ID="Forme1" path="m0,0l-2147483631,0l-2147483631,-2147483637l-2147483640,-2147483634l0,-2147483634xel-2147483638,-2147483635l-2147483631,-2147483637xel-2147483638,-2147483635l-2147483631,-2147483637l-2147483640,-2147483634l0,-2147483634l0,0l-2147483631,0l-2147483631,-2147483637e" fillcolor="white" stroked="t" o:allowincell="f" style="position:absolute;margin-left:-23.05pt;margin-top:14.05pt;width:28.95pt;height:21.55pt;mso-wrap-style:square;v-text-anchor:top;mso-position-horizontal-relative:page" type="_x0000_t65">
              <v:fill o:detectmouseclick="t" type="solid" color2="black"/>
              <v:stroke color="gray" weight="3240" joinstyle="round" endcap="flat"/>
              <v:textbox>
                <w:txbxContent>
                  <w:p>
                    <w:pPr>
                      <w:pStyle w:val="Contenudecadre"/>
                      <w:spacing w:before="0" w:after="200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inline distT="0" distB="0" distL="0" distR="0">
          <wp:extent cx="520065" cy="400050"/>
          <wp:effectExtent l="0" t="0" r="0" b="0"/>
          <wp:docPr id="20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 xml:space="preserve">                   </w:t>
    </w:r>
    <w:r>
      <w:rPr/>
      <w:t xml:space="preserve">Document confidentiel                         Propriété exclusive de JBA-Soft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mc:AlternateContent>
        <mc:Choice Requires="wps">
          <w:drawing>
            <wp:anchor behindDoc="1" distT="1905" distB="1905" distL="1905" distR="2540" simplePos="0" locked="0" layoutInCell="0" allowOverlap="1" relativeHeight="26">
              <wp:simplePos x="0" y="0"/>
              <wp:positionH relativeFrom="rightMargin">
                <wp:posOffset>-292735</wp:posOffset>
              </wp:positionH>
              <wp:positionV relativeFrom="bottomMargin">
                <wp:posOffset>178435</wp:posOffset>
              </wp:positionV>
              <wp:extent cx="368300" cy="274320"/>
              <wp:effectExtent l="1905" t="1905" r="2540" b="1905"/>
              <wp:wrapNone/>
              <wp:docPr id="21" name="For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8280" cy="274320"/>
                      </a:xfrm>
                      <a:prstGeom prst="foldedCorner">
                        <a:avLst>
                          <a:gd name="adj" fmla="val 34560"/>
                        </a:avLst>
                      </a:prstGeom>
                      <a:solidFill>
                        <a:srgbClr val="ffffff"/>
                      </a:solidFill>
                      <a:ln w="3240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20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1" path="m0,0l-2147483631,0l-2147483631,-2147483637l-2147483640,-2147483634l0,-2147483634xel-2147483638,-2147483635l-2147483631,-2147483637xel-2147483638,-2147483635l-2147483631,-2147483637l-2147483640,-2147483634l0,-2147483634l0,0l-2147483631,0l-2147483631,-2147483637e" fillcolor="white" stroked="t" o:allowincell="f" style="position:absolute;margin-left:-23.05pt;margin-top:14.05pt;width:28.95pt;height:21.55pt;mso-wrap-style:square;v-text-anchor:top;mso-position-horizontal-relative:page" type="_x0000_t65">
              <v:fill o:detectmouseclick="t" type="solid" color2="black"/>
              <v:stroke color="gray" weight="3240" joinstyle="round" endcap="flat"/>
              <v:textbox>
                <w:txbxContent>
                  <w:p>
                    <w:pPr>
                      <w:pStyle w:val="Contenudecadre"/>
                      <w:spacing w:before="0" w:after="200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inline distT="0" distB="0" distL="0" distR="0">
          <wp:extent cx="520065" cy="400050"/>
          <wp:effectExtent l="0" t="0" r="0" b="0"/>
          <wp:docPr id="2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 xml:space="preserve">                   </w:t>
    </w:r>
    <w:r>
      <w:rPr/>
      <w:t xml:space="preserve">Document confidentiel                         Propriété exclusive de JBA-Soft      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477"/>
        </w:tabs>
        <w:ind w:left="147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837"/>
        </w:tabs>
        <w:ind w:left="183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97"/>
        </w:tabs>
        <w:ind w:left="219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57"/>
        </w:tabs>
        <w:ind w:left="255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637"/>
        </w:tabs>
        <w:ind w:left="363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997"/>
        </w:tabs>
        <w:ind w:left="399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357"/>
        </w:tabs>
        <w:ind w:left="4357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d2a6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2c541d"/>
    <w:pPr>
      <w:keepNext w:val="true"/>
      <w:keepLines/>
      <w:numPr>
        <w:ilvl w:val="0"/>
        <w:numId w:val="1"/>
      </w:numPr>
      <w:spacing w:lineRule="auto" w:line="240" w:before="482" w:after="227"/>
      <w:ind w:hanging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465A4"/>
      <w:sz w:val="36"/>
      <w:szCs w:val="28"/>
      <w:u w:val="single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cb39f5"/>
    <w:pPr>
      <w:keepNext w:val="true"/>
      <w:keepLines/>
      <w:spacing w:before="200" w:after="120"/>
      <w:ind w:left="108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3465A4"/>
      <w:sz w:val="28"/>
      <w:szCs w:val="24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0d3277"/>
    <w:pPr>
      <w:keepNext w:val="true"/>
      <w:keepLines/>
      <w:spacing w:before="200" w:after="0"/>
      <w:ind w:left="708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i/>
      <w:color w:val="3465A4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styleId="En-tteCar" w:customStyle="1">
    <w:name w:val="En-tête Car"/>
    <w:basedOn w:val="DefaultParagraphFont"/>
    <w:uiPriority w:val="99"/>
    <w:semiHidden/>
    <w:qFormat/>
    <w:rsid w:val="000e65d1"/>
    <w:rPr/>
  </w:style>
  <w:style w:type="character" w:styleId="PieddepageCar" w:customStyle="1">
    <w:name w:val="Pied de page Car"/>
    <w:basedOn w:val="DefaultParagraphFont"/>
    <w:uiPriority w:val="99"/>
    <w:semiHidden/>
    <w:qFormat/>
    <w:rsid w:val="000e65d1"/>
    <w:rPr/>
  </w:style>
  <w:style w:type="character" w:styleId="Titre1Car" w:customStyle="1">
    <w:name w:val="Titre 1 Car"/>
    <w:basedOn w:val="DefaultParagraphFont"/>
    <w:uiPriority w:val="9"/>
    <w:qFormat/>
    <w:rsid w:val="002c541d"/>
    <w:rPr>
      <w:rFonts w:ascii="Cambria" w:hAnsi="Cambria" w:eastAsia="" w:cs="" w:asciiTheme="majorHAnsi" w:cstheme="majorBidi" w:eastAsiaTheme="majorEastAsia" w:hAnsiTheme="majorHAnsi"/>
      <w:b/>
      <w:bCs/>
      <w:color w:themeColor="accent6" w:val="F79646"/>
      <w:sz w:val="36"/>
      <w:szCs w:val="28"/>
      <w:u w:val="single"/>
    </w:rPr>
  </w:style>
  <w:style w:type="character" w:styleId="Titre2Car" w:customStyle="1">
    <w:name w:val="Titre 2 Car"/>
    <w:basedOn w:val="DefaultParagraphFont"/>
    <w:uiPriority w:val="9"/>
    <w:qFormat/>
    <w:rsid w:val="00cb39f5"/>
    <w:rPr>
      <w:rFonts w:ascii="Cambria" w:hAnsi="Cambria" w:eastAsia="" w:cs="" w:asciiTheme="majorHAnsi" w:cstheme="majorBidi" w:eastAsiaTheme="majorEastAsia" w:hAnsiTheme="majorHAnsi"/>
      <w:b/>
      <w:bCs/>
      <w:color w:themeColor="accent6" w:val="F79646"/>
      <w:sz w:val="28"/>
      <w:szCs w:val="24"/>
    </w:rPr>
  </w:style>
  <w:style w:type="character" w:styleId="Titre3Car" w:customStyle="1">
    <w:name w:val="Titre 3 Car"/>
    <w:basedOn w:val="DefaultParagraphFont"/>
    <w:uiPriority w:val="9"/>
    <w:qFormat/>
    <w:rsid w:val="000d3277"/>
    <w:rPr>
      <w:rFonts w:ascii="Cambria" w:hAnsi="Cambria" w:eastAsia="" w:cs="" w:asciiTheme="majorHAnsi" w:cstheme="majorBidi" w:eastAsiaTheme="majorEastAsia" w:hAnsiTheme="majorHAnsi"/>
      <w:b/>
      <w:bCs/>
      <w:i/>
      <w:color w:themeColor="accent6" w:val="F79646"/>
      <w:sz w:val="24"/>
    </w:rPr>
  </w:style>
  <w:style w:type="character" w:styleId="Hyperlink">
    <w:name w:val="Hyperlink"/>
    <w:basedOn w:val="DefaultParagraphFont"/>
    <w:uiPriority w:val="99"/>
    <w:unhideWhenUsed/>
    <w:rsid w:val="008e44f1"/>
    <w:rPr>
      <w:color w:themeColor="hyperlink" w:val="0000FF"/>
      <w:u w:val="single"/>
    </w:rPr>
  </w:style>
  <w:style w:type="character" w:styleId="Sous-titreCar" w:customStyle="1">
    <w:name w:val="Sous-titre Car"/>
    <w:basedOn w:val="DefaultParagraphFont"/>
    <w:uiPriority w:val="11"/>
    <w:qFormat/>
    <w:rsid w:val="00741bbb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autdindex">
    <w:name w:val="Saut d'index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Sautdindexuser">
    <w:name w:val="Saut d'index (user)"/>
    <w:qFormat/>
    <w:rPr/>
  </w:style>
  <w:style w:type="character" w:styleId="Caractresdenumrotationuser">
    <w:name w:val="Caractères de numérotation (user)"/>
    <w:qFormat/>
    <w:rPr/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5733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-tteetpieddepage">
    <w:name w:val="En-tête et pied de page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unhideWhenUsed/>
    <w:rsid w:val="000e65d1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0e65d1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e44f1"/>
    <w:pPr>
      <w:spacing w:lineRule="auto" w:line="276"/>
      <w:outlineLvl w:val="9"/>
    </w:pPr>
    <w:rPr>
      <w:color w:themeColor="accent1" w:themeShade="bf" w:val="365F91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7961ba"/>
    <w:pPr>
      <w:tabs>
        <w:tab w:val="clear" w:pos="708"/>
        <w:tab w:val="left" w:pos="440" w:leader="none"/>
        <w:tab w:val="right" w:pos="10456" w:leader="dot"/>
      </w:tabs>
      <w:spacing w:before="240" w:after="120"/>
    </w:pPr>
    <w:rPr/>
  </w:style>
  <w:style w:type="paragraph" w:styleId="TOC2">
    <w:name w:val="toc 2"/>
    <w:basedOn w:val="Normal"/>
    <w:next w:val="Normal"/>
    <w:autoRedefine/>
    <w:uiPriority w:val="39"/>
    <w:unhideWhenUsed/>
    <w:rsid w:val="008e44f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0c1d69"/>
    <w:pPr>
      <w:spacing w:before="0" w:after="100"/>
      <w:ind w:left="440"/>
    </w:pPr>
    <w:rPr/>
  </w:style>
  <w:style w:type="paragraph" w:styleId="ListParagraph">
    <w:name w:val="List Paragraph"/>
    <w:basedOn w:val="Normal"/>
    <w:uiPriority w:val="34"/>
    <w:qFormat/>
    <w:rsid w:val="00a37a5c"/>
    <w:pPr>
      <w:spacing w:before="0" w:after="200"/>
      <w:ind w:left="720"/>
      <w:contextualSpacing/>
    </w:pPr>
    <w:rPr/>
  </w:style>
  <w:style w:type="paragraph" w:styleId="Subtitle">
    <w:name w:val="Subtitle"/>
    <w:basedOn w:val="Normal"/>
    <w:next w:val="Normal"/>
    <w:link w:val="Sous-titreCar"/>
    <w:uiPriority w:val="11"/>
    <w:qFormat/>
    <w:rsid w:val="00741bbb"/>
    <w:pPr>
      <w:spacing w:before="0" w:after="0"/>
    </w:pPr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Contenudecadre">
    <w:name w:val="Contenu de cadre"/>
    <w:basedOn w:val="Normal"/>
    <w:qFormat/>
    <w:pPr/>
    <w:rPr/>
  </w:style>
  <w:style w:type="paragraph" w:styleId="Contenudecadreuser">
    <w:name w:val="Contenu de cadre (user)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fc1e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9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9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50348-85EC-4A06-A529-4C0F1C190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2074</TotalTime>
  <Application>LibreOffice/25.8.2.2$Windows_X86_64 LibreOffice_project/d401f2107ccab8f924a8e2df40f573aab7605b6f</Application>
  <AppVersion>15.0000</AppVersion>
  <Pages>13</Pages>
  <Words>1087</Words>
  <Characters>5806</Characters>
  <CharactersWithSpaces>6961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2012-03-13T13:59:00Z</dcterms:created>
  <dc:creator>Julien DUVAL</dc:creator>
  <dc:description/>
  <dc:language>fr-FR</dc:language>
  <cp:lastModifiedBy/>
  <cp:lastPrinted>2015-06-02T09:51:00Z</cp:lastPrinted>
  <dcterms:modified xsi:type="dcterms:W3CDTF">2025-12-01T17:39:36Z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