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reprincipal"/>
        <w:rPr/>
      </w:pPr>
      <w:r>
        <w:rPr/>
      </w:r>
    </w:p>
    <w:p>
      <w:pPr>
        <w:pStyle w:val="Titreprincipal"/>
        <w:rPr/>
      </w:pPr>
      <w:r>
        <w:rPr/>
        <w:t>Facturation PHASEO</w:t>
      </w:r>
    </w:p>
    <w:p>
      <w:pPr>
        <w:pStyle w:val="Titreprincipal"/>
        <w:rPr/>
      </w:pPr>
      <w:r>
        <w:rPr/>
        <w:t>Paramétrer un nouveau contexte d’assainissement</w:t>
      </w:r>
    </w:p>
    <w:p>
      <w:pPr>
        <w:pStyle w:val="NormalWeb"/>
        <w:spacing w:before="280" w:after="0"/>
        <w:ind w:left="567" w:hanging="0"/>
        <w:rPr>
          <w:rFonts w:ascii="Arial Narrow" w:hAnsi="Arial Narrow"/>
          <w:b/>
          <w:b/>
          <w:bCs/>
          <w:sz w:val="27"/>
          <w:szCs w:val="27"/>
        </w:rPr>
      </w:pPr>
      <w:r>
        <w:rPr>
          <w:rFonts w:ascii="Arial Narrow" w:hAnsi="Arial Narrow"/>
          <w:b/>
          <w:bCs/>
          <w:sz w:val="27"/>
          <w:szCs w:val="27"/>
        </w:rPr>
        <w:t>Mode opératoire PHASEO</w:t>
      </w:r>
    </w:p>
    <w:p>
      <w:pPr>
        <w:pStyle w:val="NormalWeb"/>
        <w:spacing w:before="280" w:after="0"/>
        <w:ind w:left="567" w:hanging="0"/>
        <w:jc w:val="center"/>
        <w:rPr>
          <w:rFonts w:ascii="Arial Narrow" w:hAnsi="Arial Narrow"/>
          <w:b/>
          <w:b/>
          <w:bCs/>
          <w:sz w:val="27"/>
          <w:szCs w:val="27"/>
        </w:rPr>
      </w:pPr>
      <w:r>
        <w:rPr>
          <w:rFonts w:ascii="Arial Narrow" w:hAnsi="Arial Narrow"/>
          <w:b/>
          <w:bCs/>
          <w:sz w:val="27"/>
          <w:szCs w:val="27"/>
        </w:rPr>
      </w:r>
    </w:p>
    <w:p>
      <w:pPr>
        <w:pStyle w:val="NormalWeb"/>
        <w:spacing w:before="280" w:after="0"/>
        <w:ind w:left="567" w:hanging="0"/>
        <w:jc w:val="center"/>
        <w:rPr>
          <w:rFonts w:ascii="Arial Narrow" w:hAnsi="Arial Narrow"/>
          <w:b/>
          <w:b/>
          <w:bCs/>
          <w:sz w:val="27"/>
          <w:szCs w:val="27"/>
        </w:rPr>
      </w:pPr>
      <w:r>
        <w:rPr>
          <w:rFonts w:ascii="Arial Narrow" w:hAnsi="Arial Narrow"/>
          <w:b/>
          <w:bCs/>
          <w:sz w:val="27"/>
          <w:szCs w:val="27"/>
        </w:rPr>
      </w:r>
    </w:p>
    <w:p>
      <w:pPr>
        <w:pStyle w:val="NormalWeb"/>
        <w:spacing w:before="280" w:after="0"/>
        <w:ind w:left="567" w:hanging="0"/>
        <w:jc w:val="center"/>
        <w:rPr>
          <w:rFonts w:ascii="Arial Narrow" w:hAnsi="Arial Narrow"/>
          <w:b/>
          <w:b/>
          <w:bCs/>
          <w:sz w:val="27"/>
          <w:szCs w:val="27"/>
        </w:rPr>
      </w:pPr>
      <w:r>
        <w:rPr>
          <w:rFonts w:ascii="Arial Narrow" w:hAnsi="Arial Narrow"/>
          <w:b/>
          <w:bCs/>
          <w:sz w:val="27"/>
          <w:szCs w:val="27"/>
        </w:rPr>
      </w:r>
    </w:p>
    <w:p>
      <w:pPr>
        <w:pStyle w:val="NormalWeb"/>
        <w:spacing w:before="280" w:after="0"/>
        <w:ind w:left="567" w:hanging="0"/>
        <w:jc w:val="center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left="1416" w:firstLine="708"/>
        <w:rPr/>
      </w:pPr>
      <w:r>
        <w:rPr/>
        <w:drawing>
          <wp:inline distT="0" distB="0" distL="0" distR="0">
            <wp:extent cx="1913255" cy="2251710"/>
            <wp:effectExtent l="0" t="0" r="0" b="0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3255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ind w:left="708" w:firstLine="708"/>
        <w:rPr/>
      </w:pPr>
      <w:r>
        <w:rPr/>
      </w:r>
    </w:p>
    <w:p>
      <w:pPr>
        <w:pStyle w:val="NormalWeb"/>
        <w:spacing w:lineRule="auto" w:line="276" w:before="280" w:after="0"/>
        <w:jc w:val="center"/>
        <w:rPr/>
      </w:pPr>
      <w:r>
        <w:rPr>
          <w:b/>
          <w:bCs/>
          <w:color w:val="D34817"/>
        </w:rPr>
        <w:t>JBA-Soft</w:t>
      </w:r>
    </w:p>
    <w:p>
      <w:pPr>
        <w:pStyle w:val="Normal"/>
        <w:ind w:left="708" w:right="1" w:firstLine="708"/>
        <w:rPr/>
      </w:pPr>
      <w:r>
        <w:rPr/>
      </w:r>
    </w:p>
    <w:p>
      <w:pPr>
        <w:pStyle w:val="Normal"/>
        <w:ind w:left="708" w:right="1" w:firstLine="708"/>
        <w:rPr/>
      </w:pPr>
      <w:r>
        <w:rPr/>
      </w:r>
    </w:p>
    <w:p>
      <w:pPr>
        <w:pStyle w:val="Normal"/>
        <w:ind w:left="708" w:right="1" w:firstLine="708"/>
        <w:rPr/>
      </w:pPr>
      <w:r>
        <w:rPr/>
      </w:r>
    </w:p>
    <w:tbl>
      <w:tblPr>
        <w:tblStyle w:val="Grilledutableau"/>
        <w:tblW w:w="932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384"/>
        <w:gridCol w:w="1558"/>
        <w:gridCol w:w="1561"/>
        <w:gridCol w:w="4818"/>
      </w:tblGrid>
      <w:tr>
        <w:trPr/>
        <w:tc>
          <w:tcPr>
            <w:tcW w:w="1384" w:type="dxa"/>
            <w:tcBorders/>
          </w:tcPr>
          <w:p>
            <w:pPr>
              <w:pStyle w:val="NormalWeb"/>
              <w:widowControl w:val="false"/>
              <w:suppressAutoHyphens w:val="true"/>
              <w:spacing w:lineRule="auto" w:line="276" w:before="0" w:after="0"/>
              <w:jc w:val="center"/>
              <w:rPr>
                <w:kern w:val="0"/>
                <w:lang w:val="fr-FR" w:bidi="ar-SA"/>
              </w:rPr>
            </w:pPr>
            <w:r>
              <w:rPr>
                <w:kern w:val="0"/>
                <w:lang w:val="fr-FR" w:bidi="ar-SA"/>
              </w:rPr>
              <w:t>Créée par</w:t>
            </w:r>
          </w:p>
        </w:tc>
        <w:tc>
          <w:tcPr>
            <w:tcW w:w="1558" w:type="dxa"/>
            <w:tcBorders/>
          </w:tcPr>
          <w:p>
            <w:pPr>
              <w:pStyle w:val="NormalWeb"/>
              <w:widowControl w:val="false"/>
              <w:suppressAutoHyphens w:val="true"/>
              <w:spacing w:lineRule="auto" w:line="276" w:before="0" w:after="0"/>
              <w:jc w:val="center"/>
              <w:rPr>
                <w:kern w:val="0"/>
                <w:lang w:val="fr-FR" w:bidi="ar-SA"/>
              </w:rPr>
            </w:pPr>
            <w:r>
              <w:rPr>
                <w:kern w:val="0"/>
                <w:lang w:val="fr-FR" w:bidi="ar-SA"/>
              </w:rPr>
              <w:t>Bertrand MEDINA</w:t>
            </w:r>
          </w:p>
        </w:tc>
        <w:tc>
          <w:tcPr>
            <w:tcW w:w="1561" w:type="dxa"/>
            <w:tcBorders/>
          </w:tcPr>
          <w:p>
            <w:pPr>
              <w:pStyle w:val="NormalWeb"/>
              <w:widowControl w:val="false"/>
              <w:suppressAutoHyphens w:val="true"/>
              <w:spacing w:lineRule="auto" w:line="276" w:before="0" w:after="0"/>
              <w:jc w:val="center"/>
              <w:rPr>
                <w:kern w:val="0"/>
                <w:lang w:val="fr-FR" w:bidi="ar-SA"/>
              </w:rPr>
            </w:pPr>
            <w:r>
              <w:rPr>
                <w:kern w:val="0"/>
                <w:lang w:val="fr-FR" w:bidi="ar-SA"/>
              </w:rPr>
              <w:t>06 octobre 2013</w:t>
            </w:r>
          </w:p>
        </w:tc>
        <w:tc>
          <w:tcPr>
            <w:tcW w:w="4818" w:type="dxa"/>
            <w:tcBorders/>
          </w:tcPr>
          <w:p>
            <w:pPr>
              <w:pStyle w:val="NormalWeb"/>
              <w:widowControl w:val="false"/>
              <w:suppressAutoHyphens w:val="true"/>
              <w:spacing w:lineRule="auto" w:line="276" w:before="0" w:after="0"/>
              <w:jc w:val="center"/>
              <w:rPr>
                <w:i/>
                <w:i/>
                <w:color w:val="404040" w:themeColor="text1" w:themeTint="bf"/>
              </w:rPr>
            </w:pPr>
            <w:r>
              <w:rPr>
                <w:i/>
                <w:color w:val="404040" w:themeColor="text1" w:themeTint="bf"/>
                <w:kern w:val="0"/>
                <w:lang w:val="fr-FR" w:bidi="ar-SA"/>
              </w:rPr>
              <w:t>Modification effectuée</w:t>
            </w:r>
          </w:p>
        </w:tc>
      </w:tr>
      <w:tr>
        <w:trPr/>
        <w:tc>
          <w:tcPr>
            <w:tcW w:w="1384" w:type="dxa"/>
            <w:tcBorders/>
          </w:tcPr>
          <w:p>
            <w:pPr>
              <w:pStyle w:val="NormalWeb"/>
              <w:widowControl w:val="false"/>
              <w:suppressAutoHyphens w:val="true"/>
              <w:spacing w:lineRule="auto" w:line="276" w:before="0" w:after="0"/>
              <w:jc w:val="center"/>
              <w:rPr>
                <w:kern w:val="0"/>
                <w:lang w:val="fr-FR" w:bidi="ar-SA"/>
              </w:rPr>
            </w:pPr>
            <w:r>
              <w:rPr>
                <w:kern w:val="0"/>
                <w:lang w:val="fr-FR" w:bidi="ar-SA"/>
              </w:rPr>
              <w:t>Mise à jour</w:t>
            </w:r>
          </w:p>
        </w:tc>
        <w:tc>
          <w:tcPr>
            <w:tcW w:w="1558" w:type="dxa"/>
            <w:tcBorders/>
          </w:tcPr>
          <w:p>
            <w:pPr>
              <w:pStyle w:val="NormalWeb"/>
              <w:widowControl w:val="false"/>
              <w:suppressAutoHyphens w:val="true"/>
              <w:spacing w:lineRule="auto" w:line="276" w:before="0" w:after="0"/>
              <w:jc w:val="center"/>
              <w:rPr>
                <w:kern w:val="0"/>
                <w:lang w:val="fr-FR" w:bidi="ar-SA"/>
              </w:rPr>
            </w:pPr>
            <w:r>
              <w:rPr>
                <w:kern w:val="0"/>
                <w:lang w:val="fr-FR" w:bidi="ar-SA"/>
              </w:rPr>
              <w:t>Bertrand MEDINA</w:t>
            </w:r>
          </w:p>
        </w:tc>
        <w:tc>
          <w:tcPr>
            <w:tcW w:w="1561" w:type="dxa"/>
            <w:tcBorders/>
          </w:tcPr>
          <w:p>
            <w:pPr>
              <w:pStyle w:val="NormalWeb"/>
              <w:widowControl w:val="false"/>
              <w:suppressAutoHyphens w:val="true"/>
              <w:spacing w:lineRule="auto" w:line="276" w:before="0" w:after="0"/>
              <w:jc w:val="center"/>
              <w:rPr>
                <w:kern w:val="0"/>
                <w:lang w:val="fr-FR" w:bidi="ar-SA"/>
              </w:rPr>
            </w:pPr>
            <w:r>
              <w:rPr>
                <w:kern w:val="0"/>
                <w:lang w:val="fr-FR" w:bidi="ar-SA"/>
              </w:rPr>
              <w:t>16 juillet 2014</w:t>
            </w:r>
          </w:p>
        </w:tc>
        <w:tc>
          <w:tcPr>
            <w:tcW w:w="4818" w:type="dxa"/>
            <w:tcBorders/>
          </w:tcPr>
          <w:p>
            <w:pPr>
              <w:pStyle w:val="NormalWeb"/>
              <w:widowControl w:val="false"/>
              <w:suppressAutoHyphens w:val="true"/>
              <w:spacing w:lineRule="auto" w:line="276" w:before="0" w:after="0"/>
              <w:jc w:val="center"/>
              <w:rPr>
                <w:kern w:val="0"/>
                <w:lang w:val="fr-FR" w:bidi="ar-SA"/>
              </w:rPr>
            </w:pPr>
            <w:r>
              <w:rPr>
                <w:kern w:val="0"/>
                <w:lang w:val="fr-FR" w:bidi="ar-SA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Web"/>
        <w:spacing w:lineRule="auto" w:line="276" w:before="280" w:after="0"/>
        <w:jc w:val="center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Titreprincipal"/>
        <w:rPr/>
      </w:pPr>
      <w:r>
        <w:rPr/>
        <w:t>Introduction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Dans la facturation de l’assainissement, la facturation peut être paramétrée sur plusieurs contextes</w:t>
        <w:br/>
        <w:t>- SPANC</w:t>
      </w:r>
    </w:p>
    <w:p>
      <w:pPr>
        <w:pStyle w:val="Normal"/>
        <w:rPr/>
      </w:pPr>
      <w:r>
        <w:rPr/>
        <w:t>- PFAC</w:t>
      </w:r>
    </w:p>
    <w:p>
      <w:pPr>
        <w:pStyle w:val="Normal"/>
        <w:rPr/>
      </w:pPr>
      <w:r>
        <w:rPr/>
        <w:t>- Travaux d’assainissement</w:t>
      </w:r>
    </w:p>
    <w:p>
      <w:pPr>
        <w:pStyle w:val="Normal"/>
        <w:rPr/>
      </w:pPr>
      <w:r>
        <w:rPr/>
        <w:t>- Facturation des ventes</w:t>
      </w:r>
    </w:p>
    <w:p>
      <w:pPr>
        <w:pStyle w:val="Normal"/>
        <w:rPr/>
      </w:pPr>
      <w:r>
        <w:rPr/>
      </w:r>
    </w:p>
    <w:p>
      <w:pPr>
        <w:pStyle w:val="Normal"/>
        <w:keepNext w:val="true"/>
        <w:rPr/>
      </w:pPr>
      <w:r>
        <w:rPr/>
        <w:t>PHASEO permet de séparer ces différents contextes et de les isoler.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Les agents sont limités aux redevances déclarées pour un contexte donné.</w:t>
        <w:br/>
      </w:r>
      <w:r>
        <w:rPr/>
        <w:t>Lors de l’envoi en trésorerie, chaque contexte peut avoir des éléments de prise en charge spécifique.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Ce mode opératoire explique comment mettre en place un nouveau contexte de facturation.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Titre1"/>
        <w:keepNext w:val="true"/>
        <w:keepLines/>
        <w:numPr>
          <w:ilvl w:val="0"/>
          <w:numId w:val="1"/>
        </w:numPr>
        <w:spacing w:lineRule="auto" w:line="240" w:before="480" w:after="0"/>
        <w:rPr/>
      </w:pPr>
      <w:bookmarkStart w:id="0" w:name="__RefHeading___Toc3107_3987557473"/>
      <w:bookmarkEnd w:id="0"/>
      <w:r>
        <w:rPr/>
        <w:t>Création des redevances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Dans le module de facturation, créez les nouvelles redevances à facturer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67">
            <wp:simplePos x="0" y="0"/>
            <wp:positionH relativeFrom="column">
              <wp:posOffset>8890</wp:posOffset>
            </wp:positionH>
            <wp:positionV relativeFrom="paragraph">
              <wp:posOffset>34290</wp:posOffset>
            </wp:positionV>
            <wp:extent cx="4349115" cy="291655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115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Titre1"/>
        <w:keepLines/>
        <w:widowControl/>
        <w:numPr>
          <w:ilvl w:val="0"/>
          <w:numId w:val="0"/>
        </w:numPr>
        <w:suppressAutoHyphens w:val="true"/>
        <w:spacing w:lineRule="auto" w:line="24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bookmarkStart w:id="1" w:name="__RefHeading___Toc3109_3987557473"/>
      <w:bookmarkEnd w:id="1"/>
      <w:r>
        <w:rPr/>
        <w:t>Choisissez bien « Facturation des rubriques travaux » pour le mode de facturation.</w:t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bookmarkStart w:id="2" w:name="__RefHeading___Toc3111_3987557473"/>
      <w:bookmarkEnd w:id="2"/>
      <w:r>
        <w:rPr>
          <w:u w:val="single"/>
        </w:rPr>
        <w:t>Remarque</w:t>
      </w:r>
      <w:r>
        <w:rPr/>
        <w:br/>
        <w:t>Il faut souvent définir une imputation spécifique pour ces redevances.</w:t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bookmarkStart w:id="3" w:name="__RefHeading___Toc3113_3987557473"/>
      <w:bookmarkEnd w:id="3"/>
      <w:r>
        <w:rPr/>
        <w:t>Utiliser l’option « Tarifs/Liste des imputations » dans le menu en haut de la fenêtre.</w:t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bookmarkStart w:id="4" w:name="__RefHeading___Toc3115_3987557473"/>
      <w:bookmarkEnd w:id="4"/>
      <w:r>
        <w:rPr/>
        <w:t>Créer votre redevance et saisissez son prix.</w:t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bookmarkStart w:id="5" w:name="__RefHeading___Toc3117_3987557473"/>
      <w:bookmarkEnd w:id="5"/>
      <w:r>
        <w:rPr/>
        <w:t>Le prix est indispensable. Une redevance sans prix ne pourra pas être sélectionnée lors de la constitution de la facture.</w:t>
        <w:br/>
        <w:t>Si vous souhaitez afficher un libellé très long, utiliser la zone prévu dans l’onglet « Travaux »</w:t>
      </w:r>
      <w:r>
        <w:br w:type="page"/>
      </w:r>
    </w:p>
    <w:p>
      <w:pPr>
        <w:pStyle w:val="Titre1"/>
        <w:numPr>
          <w:ilvl w:val="0"/>
          <w:numId w:val="1"/>
        </w:numPr>
        <w:rPr/>
      </w:pPr>
      <w:bookmarkStart w:id="6" w:name="__RefHeading___Toc3119_3987557473"/>
      <w:bookmarkEnd w:id="6"/>
      <w:r>
        <w:rPr/>
        <w:t>Nouveau contexte de facturation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Dans les modèles de contrats, créer un nouveau modèle.</w:t>
        <w:br/>
        <w:t>Attention :</w:t>
      </w:r>
    </w:p>
    <w:p>
      <w:pPr>
        <w:pStyle w:val="Normal"/>
        <w:rPr/>
      </w:pPr>
      <w:r>
        <w:rPr/>
        <w:t>vous devez renseigner toutes les informations pour la prise en charge des factures pour ce nouveau contexte. Recopiez les informations d’un contexte existant.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L’édition est généralement commune à tous les contextes d’assainissement.</w:t>
        <w:br/>
        <w:t>Des modèle d’édition particuliers peuvent être réalisés sur demande.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68">
            <wp:simplePos x="0" y="0"/>
            <wp:positionH relativeFrom="column">
              <wp:posOffset>106680</wp:posOffset>
            </wp:positionH>
            <wp:positionV relativeFrom="paragraph">
              <wp:posOffset>47625</wp:posOffset>
            </wp:positionV>
            <wp:extent cx="3895090" cy="2658110"/>
            <wp:effectExtent l="0" t="0" r="0" b="0"/>
            <wp:wrapSquare wrapText="largest"/>
            <wp:docPr id="3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09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Titre1"/>
        <w:keepLines/>
        <w:widowControl/>
        <w:numPr>
          <w:ilvl w:val="0"/>
          <w:numId w:val="0"/>
        </w:numPr>
        <w:suppressAutoHyphens w:val="true"/>
        <w:spacing w:lineRule="auto" w:line="240"/>
        <w:jc w:val="left"/>
        <w:rPr/>
      </w:pPr>
      <w:r>
        <w:rPr/>
      </w:r>
      <w:r>
        <w:br w:type="page"/>
      </w:r>
    </w:p>
    <w:p>
      <w:pPr>
        <w:pStyle w:val="Titre1"/>
        <w:numPr>
          <w:ilvl w:val="0"/>
          <w:numId w:val="1"/>
        </w:numPr>
        <w:rPr/>
      </w:pPr>
      <w:bookmarkStart w:id="7" w:name="__RefHeading___Toc3121_3987557473"/>
      <w:bookmarkEnd w:id="7"/>
      <w:r>
        <w:rPr/>
        <w:t>Préparation d’un rôle de facturation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Lors de création de votre rôle, précisez le modèle de contrat créé précédemment.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69">
            <wp:simplePos x="0" y="0"/>
            <wp:positionH relativeFrom="column">
              <wp:posOffset>43180</wp:posOffset>
            </wp:positionH>
            <wp:positionV relativeFrom="paragraph">
              <wp:posOffset>635</wp:posOffset>
            </wp:positionV>
            <wp:extent cx="4389755" cy="2110740"/>
            <wp:effectExtent l="0" t="0" r="0" b="0"/>
            <wp:wrapSquare wrapText="largest"/>
            <wp:docPr id="4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755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itre1"/>
        <w:keepLines/>
        <w:widowControl/>
        <w:numPr>
          <w:ilvl w:val="0"/>
          <w:numId w:val="0"/>
        </w:numPr>
        <w:suppressAutoHyphens w:val="true"/>
        <w:spacing w:lineRule="auto" w:line="24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bookmarkStart w:id="8" w:name="__RefHeading___Toc3123_3987557473"/>
      <w:bookmarkEnd w:id="8"/>
      <w:r>
        <w:rPr/>
        <w:t>La ligne sélection vous permet d’indiquer si le rôle doit contenir des devis ou des factures.</w:t>
        <w:br/>
        <w:br/>
        <w:t>Vous devez limiter, dans ce rôle, les redevances autorisés.</w:t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bookmarkStart w:id="9" w:name="__RefHeading___Toc3125_3987557473"/>
      <w:bookmarkEnd w:id="9"/>
      <w:r>
        <w:rPr/>
        <w:t>Si vous ajouter de nouvelles redevances, vous devrez compléter la liste des redevances autorisées.</w:t>
      </w:r>
      <w:r>
        <w:rPr/>
        <w:br/>
        <w:br/>
        <w:t xml:space="preserve">Pour cela, sélectionner votre ligne de rôle en bas à gauche et cliques sur « Détail de la </w:t>
      </w:r>
      <w:r>
        <w:rPr/>
        <w:t>s</w:t>
      </w:r>
      <w:r>
        <w:rPr/>
        <w:t>élection ».</w:t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bookmarkStart w:id="10" w:name="__RefHeading___Toc3127_3987557473"/>
      <w:bookmarkEnd w:id="10"/>
      <w:r>
        <w:rPr/>
        <w:t>Les redevances sont indiquées à droite.</w:t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bookmarkStart w:id="11" w:name="__RefHeading___Toc3129_3987557473"/>
      <w:bookmarkEnd w:id="11"/>
      <w:r>
        <w:rPr/>
        <w:drawing>
          <wp:anchor behindDoc="0" distT="0" distB="0" distL="0" distR="0" simplePos="0" locked="0" layoutInCell="0" allowOverlap="1" relativeHeight="71">
            <wp:simplePos x="0" y="0"/>
            <wp:positionH relativeFrom="column">
              <wp:posOffset>47625</wp:posOffset>
            </wp:positionH>
            <wp:positionV relativeFrom="paragraph">
              <wp:posOffset>128905</wp:posOffset>
            </wp:positionV>
            <wp:extent cx="4814570" cy="2496185"/>
            <wp:effectExtent l="0" t="0" r="0" b="0"/>
            <wp:wrapSquare wrapText="largest"/>
            <wp:docPr id="5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98" t="-189" r="-98" b="-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570" cy="2496185"/>
                    </a:xfrm>
                    <a:prstGeom prst="rect">
                      <a:avLst/>
                    </a:prstGeom>
                    <a:ln w="63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</w:r>
      <w:r>
        <w:br w:type="page"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bookmarkStart w:id="12" w:name="__RefHeading___Toc3131_3987557473"/>
      <w:bookmarkEnd w:id="12"/>
      <w:r>
        <w:rPr/>
        <w:t>Cliquez sur « Modifier » et « Filtrer les articles facturés » pour accéder à la iste de redevances utilisées.</w:t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  <w:drawing>
          <wp:anchor behindDoc="0" distT="0" distB="0" distL="0" distR="0" simplePos="0" locked="0" layoutInCell="0" allowOverlap="1" relativeHeight="70">
            <wp:simplePos x="0" y="0"/>
            <wp:positionH relativeFrom="column">
              <wp:posOffset>42545</wp:posOffset>
            </wp:positionH>
            <wp:positionV relativeFrom="paragraph">
              <wp:posOffset>77470</wp:posOffset>
            </wp:positionV>
            <wp:extent cx="4486910" cy="2263775"/>
            <wp:effectExtent l="0" t="0" r="0" b="0"/>
            <wp:wrapSquare wrapText="largest"/>
            <wp:docPr id="6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95" t="-190" r="-95" b="-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910" cy="2263775"/>
                    </a:xfrm>
                    <a:prstGeom prst="rect">
                      <a:avLst/>
                    </a:prstGeom>
                    <a:ln w="63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bookmarkStart w:id="13" w:name="__RefHeading___Toc3133_3987557473"/>
      <w:bookmarkEnd w:id="13"/>
      <w:r>
        <w:rPr/>
        <w:t>Pour sélectionner une redevance, double-cliquez sur la ligne.</w:t>
        <w:br/>
        <w:t>Le libellé de redevance est colorié en orange lorsque la redevance est sélectionnée.</w:t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bookmarkStart w:id="14" w:name="__RefHeading___Toc3135_3987557473"/>
      <w:bookmarkEnd w:id="14"/>
      <w:r>
        <w:rPr/>
        <w:t>Utilisez le bouton « Valider » pour confirmer votre sélection. Les redevances apparaissent dans tableau de la sélection de rôle.</w:t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bookmarkStart w:id="15" w:name="__RefHeading___Toc3137_3987557473"/>
      <w:bookmarkEnd w:id="15"/>
      <w:r>
        <w:rPr>
          <w:u w:val="single"/>
        </w:rPr>
        <w:t>Autres utilisations du filtrage</w:t>
      </w:r>
      <w:r>
        <w:rPr/>
        <w:b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bookmarkStart w:id="16" w:name="__RefHeading___Toc3139_3987557473"/>
      <w:bookmarkEnd w:id="16"/>
      <w:r>
        <w:rPr/>
        <w:t>Si vous n’effectuez aucune sélection de redevance, toutes els redevances seront autorisées lors de la génération du devis ou de la facture.</w:t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0"/>
        <w:jc w:val="left"/>
        <w:outlineLvl w:val="0"/>
        <w:rPr/>
      </w:pPr>
      <w:bookmarkStart w:id="17" w:name="__RefHeading___Toc3141_3987557473"/>
      <w:bookmarkEnd w:id="17"/>
      <w:r>
        <w:rPr/>
        <w:t>Vous pouvez aussi définir des sous-contexte.</w:t>
        <w:br/>
        <w:t>Si on facture du SPANC par exemple, le filtrage permet d’avoir des rôles séparés pour les vidanges et les contrôles de conformité.</w:t>
        <w:br/>
        <w:t>Le modèle de contrat permet d’indiquer que les paramètres de transfert en trésorerie seront identiques.</w:t>
      </w:r>
      <w:r>
        <w:br w:type="page"/>
      </w:r>
    </w:p>
    <w:p>
      <w:pPr>
        <w:pStyle w:val="Titre1"/>
        <w:numPr>
          <w:ilvl w:val="0"/>
          <w:numId w:val="1"/>
        </w:numPr>
        <w:rPr/>
      </w:pPr>
      <w:bookmarkStart w:id="18" w:name="__RefHeading___Toc3143_3987557473"/>
      <w:bookmarkEnd w:id="18"/>
      <w:r>
        <w:rPr/>
        <w:t>Filtrage</w:t>
      </w:r>
      <w:r>
        <w:rPr/>
        <w:t xml:space="preserve"> lors de création de la facture unitaire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72">
            <wp:simplePos x="0" y="0"/>
            <wp:positionH relativeFrom="column">
              <wp:posOffset>25400</wp:posOffset>
            </wp:positionH>
            <wp:positionV relativeFrom="paragraph">
              <wp:posOffset>445770</wp:posOffset>
            </wp:positionV>
            <wp:extent cx="5377180" cy="2195830"/>
            <wp:effectExtent l="0" t="0" r="0" b="0"/>
            <wp:wrapSquare wrapText="largest"/>
            <wp:docPr id="7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18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Au moment de la création du devis ou de la facture ponctuelle, vous devrez choisir votre rôle de facturation.</w:t>
        <w:br/>
      </w:r>
    </w:p>
    <w:p>
      <w:pPr>
        <w:pStyle w:val="Normal"/>
        <w:rPr/>
      </w:pPr>
      <w:r>
        <w:rPr/>
        <w:b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Le choix du rôle permet</w:t>
        <w:br/>
        <w:t>- de connaître le modèle de contrat (contexte de facturation)</w:t>
      </w:r>
    </w:p>
    <w:p>
      <w:pPr>
        <w:pStyle w:val="Normal"/>
        <w:rPr/>
      </w:pPr>
      <w:r>
        <w:rPr/>
        <w:t>- de limiter la liste des redevance autorisées pour rôle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73">
            <wp:simplePos x="0" y="0"/>
            <wp:positionH relativeFrom="column">
              <wp:posOffset>-8890</wp:posOffset>
            </wp:positionH>
            <wp:positionV relativeFrom="paragraph">
              <wp:posOffset>148590</wp:posOffset>
            </wp:positionV>
            <wp:extent cx="5160645" cy="2004695"/>
            <wp:effectExtent l="0" t="0" r="0" b="0"/>
            <wp:wrapSquare wrapText="largest"/>
            <wp:docPr id="8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07" t="-266" r="-107" b="-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645" cy="2004695"/>
                    </a:xfrm>
                    <a:prstGeom prst="rect">
                      <a:avLst/>
                    </a:prstGeom>
                    <a:ln w="63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Les redevances sélectionnables sont limités au filtrage effectu » dans le rôle.</w:t>
      </w:r>
      <w:r>
        <w:br w:type="page"/>
      </w:r>
    </w:p>
    <w:p>
      <w:pPr>
        <w:pStyle w:val="Titre1"/>
        <w:numPr>
          <w:ilvl w:val="0"/>
          <w:numId w:val="5"/>
        </w:numPr>
        <w:rPr/>
      </w:pPr>
      <w:bookmarkStart w:id="19" w:name="__RefHeading___Toc5548_3407000129"/>
      <w:bookmarkStart w:id="20" w:name="_Toc471468070"/>
      <w:bookmarkEnd w:id="19"/>
      <w:r>
        <w:rPr/>
        <w:t>Pa</w:t>
      </w:r>
      <w:bookmarkEnd w:id="20"/>
      <w:r>
        <w:rPr/>
        <w:t>ramétrage pour générer les ASAP DGFIP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Dans PHASEO, vous devez déclarer un interlocuteur pour votre collectivité et un interlocuteur pour votre Service de Gestion Comptable  (SGC).</w:t>
        <w:br/>
        <w:br/>
        <w:t>Des informations sont à saisir pour chaque interlocuteur</w:t>
      </w:r>
    </w:p>
    <w:p>
      <w:pPr>
        <w:pStyle w:val="Normal"/>
        <w:rPr/>
      </w:pPr>
      <w:r>
        <w:rPr/>
      </w:r>
    </w:p>
    <w:p>
      <w:pPr>
        <w:pStyle w:val="Titre2"/>
        <w:rPr/>
      </w:pPr>
      <w:bookmarkStart w:id="21" w:name="__RefHeading___Toc364_3987557473"/>
      <w:bookmarkEnd w:id="21"/>
      <w:r>
        <w:rPr/>
        <w:t>Saisie des informations de la collectivité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1">
            <wp:simplePos x="0" y="0"/>
            <wp:positionH relativeFrom="column">
              <wp:posOffset>-3810</wp:posOffset>
            </wp:positionH>
            <wp:positionV relativeFrom="paragraph">
              <wp:posOffset>80645</wp:posOffset>
            </wp:positionV>
            <wp:extent cx="5448300" cy="2887980"/>
            <wp:effectExtent l="0" t="0" r="0" b="0"/>
            <wp:wrapSquare wrapText="largest"/>
            <wp:docPr id="9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Sur le 1</w:t>
      </w:r>
      <w:r>
        <w:rPr>
          <w:vertAlign w:val="superscript"/>
        </w:rPr>
        <w:t>er</w:t>
      </w:r>
      <w:r>
        <w:rPr/>
        <w:t xml:space="preserve"> onglet, indiquez le téléphone, le mail et les horaires d’ouverture des bureaux dans la zone « Autres infos personnelles ».</w:t>
      </w:r>
    </w:p>
    <w:p>
      <w:pPr>
        <w:pStyle w:val="Normal"/>
        <w:rPr/>
      </w:pPr>
      <w:r>
        <w:rPr/>
        <w:t>Ces informations seront inscrites sur la facture de l’usager.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Sur l’onglet « Personne morale », indiquez le SIRET et le numéro de TVA intracommunautaire qui seront indiqiés sur la facture.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2">
            <wp:simplePos x="0" y="0"/>
            <wp:positionH relativeFrom="column">
              <wp:posOffset>48895</wp:posOffset>
            </wp:positionH>
            <wp:positionV relativeFrom="paragraph">
              <wp:posOffset>635</wp:posOffset>
            </wp:positionV>
            <wp:extent cx="3464560" cy="1835150"/>
            <wp:effectExtent l="0" t="0" r="0" b="0"/>
            <wp:wrapSquare wrapText="largest"/>
            <wp:docPr id="10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456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Sur l’onget « Comptes bancaires », vous devez définir le compte qui sera affiché sur la facture por permettre aux usagers de payer par virement.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3">
            <wp:simplePos x="0" y="0"/>
            <wp:positionH relativeFrom="column">
              <wp:posOffset>24130</wp:posOffset>
            </wp:positionH>
            <wp:positionV relativeFrom="paragraph">
              <wp:posOffset>107315</wp:posOffset>
            </wp:positionV>
            <wp:extent cx="3582670" cy="1897380"/>
            <wp:effectExtent l="0" t="0" r="0" b="0"/>
            <wp:wrapSquare wrapText="largest"/>
            <wp:docPr id="11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267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Attention : vous devez avoir un seul compte actif dans ce onglet.</w:t>
        <w:br/>
        <w:t>Si plusieurs comptes sont présents, vous devez désactiver les autres comptes.</w:t>
      </w:r>
    </w:p>
    <w:p>
      <w:pPr>
        <w:pStyle w:val="Normal"/>
        <w:rPr/>
      </w:pPr>
      <w:r>
        <w:rPr/>
        <w:br/>
      </w:r>
    </w:p>
    <w:p>
      <w:pPr>
        <w:pStyle w:val="Titre2"/>
        <w:rPr/>
      </w:pPr>
      <w:bookmarkStart w:id="22" w:name="__RefHeading___Toc366_3987557473"/>
      <w:bookmarkEnd w:id="22"/>
      <w:r>
        <w:rPr/>
        <w:t>Saisie des informations du SGC (Service de Gestion Comptable)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4">
            <wp:simplePos x="0" y="0"/>
            <wp:positionH relativeFrom="column">
              <wp:posOffset>-100965</wp:posOffset>
            </wp:positionH>
            <wp:positionV relativeFrom="paragraph">
              <wp:posOffset>66040</wp:posOffset>
            </wp:positionV>
            <wp:extent cx="5438775" cy="2880360"/>
            <wp:effectExtent l="0" t="0" r="0" b="0"/>
            <wp:wrapSquare wrapText="largest"/>
            <wp:docPr id="12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Saisissez les téléphones, mail et horaires qui vont figurer sur les factures.</w:t>
      </w:r>
      <w:r>
        <w:br w:type="page"/>
      </w:r>
    </w:p>
    <w:p>
      <w:pPr>
        <w:pStyle w:val="Titre2"/>
        <w:rPr/>
      </w:pPr>
      <w:bookmarkStart w:id="23" w:name="__RefHeading___Toc368_3987557473"/>
      <w:bookmarkEnd w:id="23"/>
      <w:r>
        <w:rPr/>
        <w:t>Saisie des informations sur les modèles de contrat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Beaucoup d’informations présentées sur la factures dépendent du modèle de contrat.</w:t>
        <w:br/>
        <w:t>La modification de ces informations fait l’objet de paragraphe.</w:t>
        <w:br/>
      </w:r>
    </w:p>
    <w:p>
      <w:pPr>
        <w:pStyle w:val="Normal"/>
        <w:rPr/>
      </w:pPr>
      <w:r>
        <w:rPr/>
        <w:t>Dans le module de facturation accéder à la liste des modèles de contrats (option Contrats/Modèles de contrat) et cliquer sur chaque contrat.</w:t>
      </w:r>
    </w:p>
    <w:p>
      <w:pPr>
        <w:pStyle w:val="Normal"/>
        <w:rPr/>
      </w:pPr>
      <w:r>
        <w:rPr/>
        <w:t>Si l’option ORMC ASAP XML est activé, l’onglet « Interfac » ci-dessous contiendra un seul bouton.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5">
            <wp:simplePos x="0" y="0"/>
            <wp:positionH relativeFrom="column">
              <wp:posOffset>32385</wp:posOffset>
            </wp:positionH>
            <wp:positionV relativeFrom="paragraph">
              <wp:posOffset>92075</wp:posOffset>
            </wp:positionV>
            <wp:extent cx="3446780" cy="3249930"/>
            <wp:effectExtent l="0" t="0" r="0" b="0"/>
            <wp:wrapSquare wrapText="largest"/>
            <wp:docPr id="13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78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Cliquez sur le bouton.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  <w:t>Voici l’écran de paramétrage.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6">
            <wp:simplePos x="0" y="0"/>
            <wp:positionH relativeFrom="column">
              <wp:posOffset>5080</wp:posOffset>
            </wp:positionH>
            <wp:positionV relativeFrom="paragraph">
              <wp:posOffset>77470</wp:posOffset>
            </wp:positionV>
            <wp:extent cx="5866765" cy="4548505"/>
            <wp:effectExtent l="0" t="0" r="0" b="0"/>
            <wp:wrapSquare wrapText="largest"/>
            <wp:docPr id="14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765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Définissez, sur la première ligne, la collectivité qui sera indiquée comme « émetteur de facture » ainsi que le service de gestion comptable.</w:t>
        <w:br/>
        <w:t>Vous pouvez aussi indiquer un logo qui sera affiché sur vos factures avec le bouton […] en haut du logo.</w:t>
      </w:r>
    </w:p>
    <w:p>
      <w:pPr>
        <w:pStyle w:val="Normal"/>
        <w:rPr/>
      </w:pPr>
      <w:r>
        <w:rPr/>
        <w:t>Utilisez le bouton […] pour choisir ou modifier l’interlocuteur représentant la collectivité ou le SGC.</w:t>
      </w:r>
    </w:p>
    <w:p>
      <w:pPr>
        <w:pStyle w:val="Normal"/>
        <w:rPr/>
      </w:pPr>
      <w:r>
        <w:rPr/>
        <w:br/>
        <w:t>Vous pouvez revenir sur les fiches interlocuteurs de la collectivité et du SGC en utilisant le bouton suivant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7">
            <wp:simplePos x="0" y="0"/>
            <wp:positionH relativeFrom="column">
              <wp:posOffset>-6985</wp:posOffset>
            </wp:positionH>
            <wp:positionV relativeFrom="paragraph">
              <wp:posOffset>5715</wp:posOffset>
            </wp:positionV>
            <wp:extent cx="285750" cy="304800"/>
            <wp:effectExtent l="0" t="0" r="0" b="0"/>
            <wp:wrapSquare wrapText="largest"/>
            <wp:docPr id="15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Le bouton représentant des flèches bleues permet de rafraîchir l’écran si les informations des interlocuteurs ont été changés.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Les informations saisie pour les interlocuteurs apparaissent sur fond brun sur cet écran.</w:t>
        <w:br/>
        <w:t>Ils ne sont pas modifiables. Vous devez accéder aux informations de l’interlocuteur pour modifier.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8">
            <wp:simplePos x="0" y="0"/>
            <wp:positionH relativeFrom="column">
              <wp:posOffset>0</wp:posOffset>
            </wp:positionH>
            <wp:positionV relativeFrom="paragraph">
              <wp:posOffset>93345</wp:posOffset>
            </wp:positionV>
            <wp:extent cx="2531110" cy="1986280"/>
            <wp:effectExtent l="0" t="0" r="0" b="0"/>
            <wp:wrapSquare wrapText="largest"/>
            <wp:docPr id="16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1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9">
            <wp:simplePos x="0" y="0"/>
            <wp:positionH relativeFrom="column">
              <wp:posOffset>2865755</wp:posOffset>
            </wp:positionH>
            <wp:positionV relativeFrom="paragraph">
              <wp:posOffset>97155</wp:posOffset>
            </wp:positionV>
            <wp:extent cx="2573655" cy="1978025"/>
            <wp:effectExtent l="0" t="0" r="0" b="0"/>
            <wp:wrapSquare wrapText="largest"/>
            <wp:docPr id="17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655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Cliquez sur modifier pour modifier le paramétrage de l’ASAP DGFIP.</w:t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60">
            <wp:simplePos x="0" y="0"/>
            <wp:positionH relativeFrom="column">
              <wp:posOffset>-41275</wp:posOffset>
            </wp:positionH>
            <wp:positionV relativeFrom="paragraph">
              <wp:posOffset>452755</wp:posOffset>
            </wp:positionV>
            <wp:extent cx="2601595" cy="2507615"/>
            <wp:effectExtent l="0" t="0" r="0" b="0"/>
            <wp:wrapSquare wrapText="largest"/>
            <wp:docPr id="18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-201" t="-209" r="-201" b="-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1595" cy="2507615"/>
                    </a:xfrm>
                    <a:prstGeom prst="rect">
                      <a:avLst/>
                    </a:prstGeom>
                    <a:ln w="63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1">
            <wp:simplePos x="0" y="0"/>
            <wp:positionH relativeFrom="column">
              <wp:posOffset>2820670</wp:posOffset>
            </wp:positionH>
            <wp:positionV relativeFrom="paragraph">
              <wp:posOffset>440690</wp:posOffset>
            </wp:positionV>
            <wp:extent cx="2658745" cy="2497455"/>
            <wp:effectExtent l="0" t="0" r="0" b="0"/>
            <wp:wrapSquare wrapText="largest"/>
            <wp:docPr id="19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200" t="-213" r="-200" b="-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745" cy="2497455"/>
                    </a:xfrm>
                    <a:prstGeom prst="rect">
                      <a:avLst/>
                    </a:prstGeom>
                    <a:ln w="63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/>
        <w:br/>
        <w:t>Vous accès à plusieurs zones de saisie à droite.</w:t>
        <w:br/>
      </w:r>
    </w:p>
    <w:p>
      <w:pPr>
        <w:pStyle w:val="Normal"/>
        <w:rPr/>
      </w:pPr>
      <w:r>
        <w:rPr/>
        <w:b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62">
            <wp:simplePos x="0" y="0"/>
            <wp:positionH relativeFrom="column">
              <wp:posOffset>15875</wp:posOffset>
            </wp:positionH>
            <wp:positionV relativeFrom="paragraph">
              <wp:posOffset>80645</wp:posOffset>
            </wp:positionV>
            <wp:extent cx="2558415" cy="2505075"/>
            <wp:effectExtent l="0" t="0" r="0" b="0"/>
            <wp:wrapSquare wrapText="largest"/>
            <wp:docPr id="20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841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Si vous avez la possibilité d’indiquer un signataire sur vos factures : Président de ComCom ou de syndicat, DGS, chef de services…</w:t>
        <w:br/>
        <w:t>Inscrivez ces informations dans l’onglet ci-dessus si vous souhaitez indiquer un destinataire.</w:t>
        <w:br/>
        <w:br/>
        <w:t>Pour les URL de sites internet, cliquez sur l’icône pour tester l’accès au site.</w:t>
        <w:br/>
      </w:r>
    </w:p>
    <w:p>
      <w:pPr>
        <w:pStyle w:val="Normal"/>
        <w:rPr/>
      </w:pPr>
      <w:r>
        <w:rPr/>
        <w:t>Si vous voulez changer les informations de paramétrage indiquées à droite, vous devez cliquer sur le cadenas pour déverrouiller la section à modifier.</w:t>
      </w:r>
    </w:p>
    <w:p>
      <w:pPr>
        <w:pStyle w:val="Normal"/>
        <w:rPr/>
      </w:pPr>
      <w:r>
        <w:rPr/>
        <w:t>Confirmez la demande modification pour avoir accès aux codes.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63">
            <wp:simplePos x="0" y="0"/>
            <wp:positionH relativeFrom="column">
              <wp:posOffset>11430</wp:posOffset>
            </wp:positionH>
            <wp:positionV relativeFrom="paragraph">
              <wp:posOffset>26035</wp:posOffset>
            </wp:positionV>
            <wp:extent cx="2614930" cy="1196975"/>
            <wp:effectExtent l="0" t="0" r="0" b="0"/>
            <wp:wrapSquare wrapText="largest"/>
            <wp:docPr id="21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93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Utilisez le bouton « Valider » en bas de la fenêtre pour confirmer vos modifications.</w:t>
        <w:br/>
      </w:r>
    </w:p>
    <w:p>
      <w:pPr>
        <w:pStyle w:val="Normal"/>
        <w:rPr>
          <w:u w:val="single"/>
        </w:rPr>
      </w:pPr>
      <w:r>
        <w:rPr>
          <w:u w:val="single"/>
        </w:rPr>
        <w:t>Validation de la configuration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PHASEO effectue des contrôle sur les éléments saisis.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Si des erreurs sont détectées, l’icône en haut à droite change. Déplacez le curseur souris sur l’icône voir le problèmes rencontrés.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6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1400" cy="1106805"/>
            <wp:effectExtent l="0" t="0" r="0" b="0"/>
            <wp:wrapSquare wrapText="largest"/>
            <wp:docPr id="22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  <w:t>Si tous les éléments nécessaires sont présent, l’icône suivante est présentée.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65">
            <wp:simplePos x="0" y="0"/>
            <wp:positionH relativeFrom="column">
              <wp:posOffset>31750</wp:posOffset>
            </wp:positionH>
            <wp:positionV relativeFrom="paragraph">
              <wp:posOffset>91440</wp:posOffset>
            </wp:positionV>
            <wp:extent cx="4819650" cy="889635"/>
            <wp:effectExtent l="0" t="0" r="0" b="0"/>
            <wp:wrapSquare wrapText="largest"/>
            <wp:docPr id="23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u w:val="single"/>
        </w:rPr>
      </w:pPr>
      <w:r>
        <w:rPr>
          <w:u w:val="single"/>
        </w:rPr>
        <w:t>Tests d’édition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66">
            <wp:simplePos x="0" y="0"/>
            <wp:positionH relativeFrom="column">
              <wp:posOffset>0</wp:posOffset>
            </wp:positionH>
            <wp:positionV relativeFrom="paragraph">
              <wp:posOffset>196215</wp:posOffset>
            </wp:positionV>
            <wp:extent cx="6121400" cy="523875"/>
            <wp:effectExtent l="0" t="0" r="0" b="0"/>
            <wp:wrapSquare wrapText="largest"/>
            <wp:docPr id="24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En bas de la fenêtre, pouvez faire des tests pour voir une facture générée à partir de votre configuration.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PHASEO met à disposition un modèle qui intègre un présentation proche de l’ASAP-DGFIP et l’ASAP-PC.</w:t>
        <w:br/>
        <w:t>Vous aurez ainsi un aperçu complet de la facture reçue par l’usager.</w:t>
        <w:br/>
        <w:t>Renseignez la facture de test et indiquez le modèle facture dans le champ « Modèle pour réédition ».</w:t>
        <w:br/>
        <w:t>Cliquez ensuite sur « Test la réédition ».</w:t>
      </w:r>
    </w:p>
    <w:p>
      <w:pPr>
        <w:pStyle w:val="Normal"/>
        <w:rPr/>
      </w:pPr>
      <w:r>
        <w:rPr/>
        <w:br/>
        <w:t>Le modèle d’édition de facture doit être modifié lors de la mise en place de l’ASAP ORMC XML.</w:t>
        <w:br/>
        <w:t>Le modèle correspond maintenant à la pièce complémentaire (PC).</w:t>
        <w:br/>
        <w:t>Indiquez le nom dans le champ « Modèle de la PJ de facture ».</w:t>
        <w:br/>
        <w:t>Vous pouvez voir l’ASAP-PC en cliquant sur « Tester l’édition ».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Titre1"/>
        <w:numPr>
          <w:ilvl w:val="0"/>
          <w:numId w:val="1"/>
        </w:numPr>
        <w:rPr/>
      </w:pPr>
      <w:bookmarkStart w:id="24" w:name="__RefHeading___Toc370_3987557473"/>
      <w:bookmarkEnd w:id="24"/>
      <w:r>
        <w:rPr/>
        <w:t>Envoyer un rôle en trésorerie</w:t>
      </w:r>
    </w:p>
    <w:p>
      <w:pPr>
        <w:pStyle w:val="Normal"/>
        <w:rPr/>
      </w:pPr>
      <w:r>
        <w:rPr/>
      </w:r>
    </w:p>
    <w:p>
      <w:pPr>
        <w:pStyle w:val="Titre1"/>
        <w:keepLines/>
        <w:widowControl/>
        <w:numPr>
          <w:ilvl w:val="0"/>
          <w:numId w:val="0"/>
        </w:numPr>
        <w:suppressAutoHyphens w:val="true"/>
        <w:spacing w:lineRule="auto" w:line="240"/>
        <w:ind w:left="0" w:hanging="0"/>
        <w:jc w:val="left"/>
        <w:rPr/>
      </w:pPr>
      <w:r>
        <w:rPr/>
      </w:r>
    </w:p>
    <w:p>
      <w:pPr>
        <w:pStyle w:val="Titre1"/>
        <w:keepLines/>
        <w:widowControl/>
        <w:numPr>
          <w:ilvl w:val="0"/>
          <w:numId w:val="0"/>
        </w:numPr>
        <w:suppressAutoHyphens w:val="true"/>
        <w:spacing w:lineRule="auto" w:line="240"/>
        <w:ind w:left="0" w:hanging="0"/>
        <w:jc w:val="left"/>
        <w:rPr/>
      </w:pPr>
      <w:r>
        <w:rPr/>
      </w:r>
      <w:r>
        <w:br w:type="page"/>
      </w:r>
    </w:p>
    <w:p>
      <w:pPr>
        <w:pStyle w:val="Titre1"/>
        <w:numPr>
          <w:ilvl w:val="0"/>
          <w:numId w:val="1"/>
        </w:numPr>
        <w:rPr/>
      </w:pPr>
      <w:bookmarkStart w:id="25" w:name="__RefHeading___Toc372_3987557473"/>
      <w:bookmarkEnd w:id="25"/>
      <w:r>
        <w:rPr/>
        <w:t>Réédition de factures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Pour pouvoir faire le réédition, PHASEO mettra à disposition un modèle de facture qui génère dans un seul document</w:t>
        <w:br/>
        <w:t>- une première partie qui ressemble à l’ASAP généré par la DGFIP</w:t>
        <w:br/>
        <w:t>- une 2ème partie correspond à l’ASAP PC.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Ce document vous permettra d’envoyer aux usagers des factures unitaires dans un format très proche des ASAP générés par la DGFIP.</w:t>
      </w:r>
    </w:p>
    <w:p>
      <w:pPr>
        <w:pStyle w:val="Normal"/>
        <w:rPr/>
      </w:pPr>
      <w:r>
        <w:rPr/>
        <w:br/>
        <w:t>Ce modèle sera automatiquement sélectionné en cas de réédition unitaire de factures.</w:t>
        <w:br/>
        <w:t>Par contre, pour les flux dans les rôles, seule l’ASAP PC sera envoyé sous forme PDF.</w:t>
      </w:r>
      <w:r>
        <w:br w:type="page"/>
      </w:r>
    </w:p>
    <w:p>
      <w:pPr>
        <w:pStyle w:val="Titre1"/>
        <w:numPr>
          <w:ilvl w:val="0"/>
          <w:numId w:val="1"/>
        </w:numPr>
        <w:rPr/>
      </w:pPr>
      <w:bookmarkStart w:id="26" w:name="__RefHeading___Toc5572_3407000129"/>
      <w:bookmarkStart w:id="27" w:name="_Toc471468086"/>
      <w:bookmarkEnd w:id="26"/>
      <w:r>
        <w:rPr/>
        <w:t>M</w:t>
      </w:r>
      <w:bookmarkEnd w:id="27"/>
      <w:r>
        <w:rPr/>
        <w:t>ise en place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Voici les étapes de mise en place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 Vous devrez vérifier et compléter votre paramétrage afin d’avoir toutes les informations requises pour générer l’ASAP DGFIP.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 JBA-Soft effectuera le formatage de l’ASAP PC en reprenant les informations spécifiques Eau ou Déchets de votre factures.</w:t>
        <w:br/>
        <w:t>Pour pouvoir faire le réédition, PHASEO metttra à disposition un modèle de facture complet qui ressemble à l’ASAP généré par la DGFIP. Ce document vous permettra d’envoyer aux usagers des factures unitaires dans un format très proche des ASAP générés par la DGFIP.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Vous devrez valider ces nouvelle pièce d’édition.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 JBA-Soft effectuera le paramétrage des infos de paiement pour chaque modèle de contrat.</w:t>
        <w:br/>
        <w:br/>
        <w:t>Une assistance est prévue pour la génération es 1</w:t>
      </w:r>
      <w:r>
        <w:rPr>
          <w:vertAlign w:val="superscript"/>
        </w:rPr>
        <w:t>ers</w:t>
      </w:r>
      <w:r>
        <w:rPr/>
        <w:t xml:space="preserve"> rôles au format ADAP ORMC XML.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Grilledutableau"/>
        <w:tblW w:w="97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809"/>
        <w:gridCol w:w="2151"/>
        <w:gridCol w:w="5820"/>
      </w:tblGrid>
      <w:tr>
        <w:trPr/>
        <w:tc>
          <w:tcPr>
            <w:tcW w:w="180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fr-FR" w:eastAsia="en-US" w:bidi="ar-SA"/>
              </w:rPr>
              <w:t>Nom du paramètre</w:t>
            </w:r>
          </w:p>
        </w:tc>
        <w:tc>
          <w:tcPr>
            <w:tcW w:w="215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fr-FR" w:eastAsia="en-US" w:bidi="ar-SA"/>
              </w:rPr>
              <w:t>Valeur par défaut</w:t>
            </w:r>
          </w:p>
        </w:tc>
        <w:tc>
          <w:tcPr>
            <w:tcW w:w="58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fr-FR" w:eastAsia="en-US" w:bidi="ar-SA"/>
              </w:rPr>
              <w:t>Signification</w:t>
            </w:r>
          </w:p>
        </w:tc>
      </w:tr>
      <w:tr>
        <w:trPr/>
        <w:tc>
          <w:tcPr>
            <w:tcW w:w="180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  <w:t>CPP</w:t>
            </w:r>
          </w:p>
        </w:tc>
        <w:tc>
          <w:tcPr>
            <w:tcW w:w="215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  <w:t>PARAM_NUM1 = 3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8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  <w:t>Activation de l’ASAP ORMC XML</w:t>
            </w:r>
          </w:p>
        </w:tc>
      </w:tr>
    </w:tbl>
    <w:p>
      <w:pPr>
        <w:pStyle w:val="Normal"/>
        <w:rPr/>
      </w:pPr>
      <w:r>
        <w:rPr/>
      </w:r>
    </w:p>
    <w:sectPr>
      <w:footerReference w:type="default" r:id="rId26"/>
      <w:type w:val="nextPage"/>
      <w:pgSz w:w="11906" w:h="16838"/>
      <w:pgMar w:left="1417" w:right="849" w:gutter="0" w:header="0" w:top="543" w:footer="845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mbria"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 Narrow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depage"/>
      <w:rPr/>
    </w:pPr>
    <w:r>
      <mc:AlternateContent>
        <mc:Choice Requires="wps">
          <w:drawing>
            <wp:anchor behindDoc="1" distT="1905" distB="1905" distL="1905" distR="2540" simplePos="0" locked="0" layoutInCell="0" allowOverlap="1" relativeHeight="32">
              <wp:simplePos x="0" y="0"/>
              <wp:positionH relativeFrom="rightMargin">
                <wp:posOffset>-292735</wp:posOffset>
              </wp:positionH>
              <wp:positionV relativeFrom="bottomMargin">
                <wp:posOffset>178435</wp:posOffset>
              </wp:positionV>
              <wp:extent cx="368300" cy="274320"/>
              <wp:effectExtent l="1905" t="1905" r="2540" b="1905"/>
              <wp:wrapNone/>
              <wp:docPr id="25" name="Imag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8280" cy="274320"/>
                      </a:xfrm>
                      <a:prstGeom prst="foldedCorner">
                        <a:avLst>
                          <a:gd name="adj" fmla="val 34560"/>
                        </a:avLst>
                      </a:prstGeom>
                      <a:solidFill>
                        <a:srgbClr val="ffffff"/>
                      </a:solidFill>
                      <a:ln w="3240">
                        <a:solidFill>
                          <a:srgbClr val="80808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16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65" coordsize="21600,21600" o:spt="65" adj="3600" path="m,l21600,l21600@4l@2,21600l,21600xnsem@2,21600l@3@5l21600@4xnsem@2,21600l@3@5l21600@4l@2,21600l,21600l,l21600,l21600@4nfe">
              <v:stroke joinstyle="miter"/>
              <v:formulas>
                <v:f eqn="val #0"/>
                <v:f eqn="prod @0 1 5"/>
                <v:f eqn="sum width 0 @0"/>
                <v:f eqn="sum @2 @1 0"/>
                <v:f eqn="sum height 0 @0"/>
                <v:f eqn="sum @4 @1 0"/>
              </v:formulas>
              <v:path gradientshapeok="t" o:connecttype="rect" textboxrect="0,0,21600,@4"/>
              <v:handles>
                <v:h position="@2,21600"/>
              </v:handles>
            </v:shapetype>
            <v:shape id="shape_0" ID="Image1" path="m0,0l-2147483631,0l-2147483631,-2147483637l-2147483640,-2147483634l0,-2147483634xel-2147483638,-2147483635l-2147483631,-2147483637xel-2147483638,-2147483635l-2147483631,-2147483637l-2147483640,-2147483634l0,-2147483634l0,0l-2147483631,0l-2147483631,-2147483637e" fillcolor="white" stroked="t" o:allowincell="f" style="position:absolute;margin-left:-23.05pt;margin-top:14.05pt;width:28.95pt;height:21.55pt;mso-wrap-style:square;v-text-anchor:top;mso-position-horizontal-relative:page" type="_x0000_t65">
              <v:fill o:detectmouseclick="t" type="solid" color2="black"/>
              <v:stroke color="gray" weight="3240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sz w:val="16"/>
                        <w:szCs w:val="16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16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w:drawing>
        <wp:inline distT="0" distB="0" distL="0" distR="0">
          <wp:extent cx="520065" cy="400050"/>
          <wp:effectExtent l="0" t="0" r="0" b="0"/>
          <wp:docPr id="27" name="Image16" descr="D:\Sources\Version en cours\Graphique\icones\JBA-Soft\jba-soft78x6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age16" descr="D:\Sources\Version en cours\Graphique\icones\JBA-Soft\jba-soft78x60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2006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                  </w:t>
    </w:r>
    <w:r>
      <w:rPr/>
      <w:t xml:space="preserve">Document confidentiel                         Propriété exclusive de JBA-Soft       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compatSetting w:name="compatibilityMode" w:uri="http://schemas.microsoft.com/office/word" w:val="12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cf0c74"/>
    <w:pPr>
      <w:widowControl/>
      <w:suppressAutoHyphens w:val="true"/>
      <w:bidi w:val="0"/>
      <w:spacing w:lineRule="auto" w:line="276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ec682f"/>
    <w:pPr>
      <w:keepNext w:val="true"/>
      <w:keepLines/>
      <w:numPr>
        <w:ilvl w:val="0"/>
        <w:numId w:val="1"/>
      </w:numPr>
      <w:spacing w:lineRule="auto" w:line="240"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3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3e82"/>
    <w:pPr>
      <w:keepNext w:val="true"/>
      <w:keepLines/>
      <w:spacing w:before="200" w:after="0"/>
      <w:ind w:left="360" w:hanging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4"/>
    </w:rPr>
  </w:style>
  <w:style w:type="paragraph" w:styleId="Titre3">
    <w:name w:val="Heading 3"/>
    <w:basedOn w:val="ListParagraph"/>
    <w:next w:val="Normal"/>
    <w:link w:val="Titre3Car"/>
    <w:uiPriority w:val="9"/>
    <w:unhideWhenUsed/>
    <w:qFormat/>
    <w:rsid w:val="00860850"/>
    <w:pPr>
      <w:numPr>
        <w:ilvl w:val="2"/>
        <w:numId w:val="2"/>
      </w:numPr>
      <w:outlineLvl w:val="2"/>
    </w:pPr>
    <w:rPr>
      <w:color w:val="365F91" w:themeColor="accent1" w:themeShade="bf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8b62cd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857333"/>
    <w:rPr>
      <w:rFonts w:ascii="Tahoma" w:hAnsi="Tahoma" w:cs="Tahoma"/>
      <w:sz w:val="16"/>
      <w:szCs w:val="16"/>
    </w:rPr>
  </w:style>
  <w:style w:type="character" w:styleId="EntteCar" w:customStyle="1">
    <w:name w:val="En-tête Car"/>
    <w:basedOn w:val="DefaultParagraphFont"/>
    <w:uiPriority w:val="99"/>
    <w:semiHidden/>
    <w:qFormat/>
    <w:rsid w:val="000e65d1"/>
    <w:rPr/>
  </w:style>
  <w:style w:type="character" w:styleId="PieddepageCar" w:customStyle="1">
    <w:name w:val="Pied de page Car"/>
    <w:basedOn w:val="DefaultParagraphFont"/>
    <w:uiPriority w:val="99"/>
    <w:semiHidden/>
    <w:qFormat/>
    <w:rsid w:val="000e65d1"/>
    <w:rPr/>
  </w:style>
  <w:style w:type="character" w:styleId="Titre1Car" w:customStyle="1">
    <w:name w:val="Titre 1 Car"/>
    <w:basedOn w:val="DefaultParagraphFont"/>
    <w:uiPriority w:val="9"/>
    <w:qFormat/>
    <w:rsid w:val="00ec682f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36"/>
      <w:szCs w:val="28"/>
      <w:u w:val="single"/>
    </w:rPr>
  </w:style>
  <w:style w:type="character" w:styleId="Titre2Car" w:customStyle="1">
    <w:name w:val="Titre 2 Car"/>
    <w:basedOn w:val="DefaultParagraphFont"/>
    <w:uiPriority w:val="9"/>
    <w:qFormat/>
    <w:rsid w:val="006f3e82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4"/>
    </w:rPr>
  </w:style>
  <w:style w:type="character" w:styleId="Titre3Car" w:customStyle="1">
    <w:name w:val="Titre 3 Car"/>
    <w:basedOn w:val="DefaultParagraphFont"/>
    <w:uiPriority w:val="9"/>
    <w:qFormat/>
    <w:rsid w:val="00860850"/>
    <w:rPr>
      <w:color w:val="365F91" w:themeColor="accent1" w:themeShade="bf"/>
    </w:rPr>
  </w:style>
  <w:style w:type="character" w:styleId="LienInternet">
    <w:name w:val="Lien Internet"/>
    <w:basedOn w:val="DefaultParagraphFont"/>
    <w:uiPriority w:val="99"/>
    <w:unhideWhenUsed/>
    <w:rsid w:val="008e44f1"/>
    <w:rPr>
      <w:color w:val="0000FF" w:themeColor="hyperlink"/>
      <w:u w:val="single"/>
    </w:rPr>
  </w:style>
  <w:style w:type="character" w:styleId="TitreCar" w:customStyle="1">
    <w:name w:val="Titre Car"/>
    <w:basedOn w:val="DefaultParagraphFont"/>
    <w:uiPriority w:val="10"/>
    <w:qFormat/>
    <w:rsid w:val="006e7cfc"/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oustitreCar" w:customStyle="1">
    <w:name w:val="Sous-titre Car"/>
    <w:basedOn w:val="DefaultParagraphFont"/>
    <w:uiPriority w:val="11"/>
    <w:qFormat/>
    <w:rsid w:val="006f587e"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Titre4Car" w:customStyle="1">
    <w:name w:val="Titre 4 Car"/>
    <w:basedOn w:val="DefaultParagraphFont"/>
    <w:uiPriority w:val="9"/>
    <w:qFormat/>
    <w:rsid w:val="008b62cd"/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OptionnelCar" w:customStyle="1">
    <w:name w:val="Optionnel Car"/>
    <w:basedOn w:val="DefaultParagraphFont"/>
    <w:link w:val="Optionnel"/>
    <w:qFormat/>
    <w:rsid w:val="00150ad4"/>
    <w:rPr>
      <w:b/>
      <w:color w:val="FF0000"/>
    </w:rPr>
  </w:style>
  <w:style w:type="character" w:styleId="Sautdindex">
    <w:name w:val="Saut d'index"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ucida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NormalWeb">
    <w:name w:val="Normal (Web)"/>
    <w:basedOn w:val="Normal"/>
    <w:uiPriority w:val="99"/>
    <w:unhideWhenUsed/>
    <w:qFormat/>
    <w:rsid w:val="00857333"/>
    <w:pPr>
      <w:spacing w:lineRule="auto" w:line="240" w:beforeAutospacing="1" w:after="119"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857333"/>
    <w:pPr>
      <w:spacing w:lineRule="auto" w:line="240"/>
    </w:pPr>
    <w:rPr>
      <w:rFonts w:ascii="Tahoma" w:hAnsi="Tahoma" w:cs="Tahoma"/>
      <w:sz w:val="16"/>
      <w:szCs w:val="16"/>
    </w:rPr>
  </w:style>
  <w:style w:type="paragraph" w:styleId="Entteetpieddepage">
    <w:name w:val="En-tête et pied de page"/>
    <w:basedOn w:val="Normal"/>
    <w:qFormat/>
    <w:pPr/>
    <w:rPr/>
  </w:style>
  <w:style w:type="paragraph" w:styleId="Entte">
    <w:name w:val="Header"/>
    <w:basedOn w:val="Normal"/>
    <w:link w:val="EntteCar"/>
    <w:uiPriority w:val="99"/>
    <w:semiHidden/>
    <w:unhideWhenUsed/>
    <w:rsid w:val="000e65d1"/>
    <w:pPr>
      <w:tabs>
        <w:tab w:val="clear" w:pos="708"/>
        <w:tab w:val="center" w:pos="4536" w:leader="none"/>
        <w:tab w:val="right" w:pos="9072" w:leader="none"/>
      </w:tabs>
      <w:spacing w:lineRule="auto" w:line="240"/>
    </w:pPr>
    <w:rPr/>
  </w:style>
  <w:style w:type="paragraph" w:styleId="Pieddepage">
    <w:name w:val="Footer"/>
    <w:basedOn w:val="Normal"/>
    <w:link w:val="PieddepageCar"/>
    <w:uiPriority w:val="99"/>
    <w:semiHidden/>
    <w:unhideWhenUsed/>
    <w:rsid w:val="000e65d1"/>
    <w:pPr>
      <w:tabs>
        <w:tab w:val="clear" w:pos="708"/>
        <w:tab w:val="center" w:pos="4536" w:leader="none"/>
        <w:tab w:val="right" w:pos="9072" w:leader="none"/>
      </w:tabs>
      <w:spacing w:lineRule="auto" w:line="240"/>
    </w:pPr>
    <w:rPr/>
  </w:style>
  <w:style w:type="paragraph" w:styleId="Indexlexicaltitre">
    <w:name w:val="Index Heading"/>
    <w:basedOn w:val="Titre"/>
    <w:pPr/>
    <w:rPr/>
  </w:style>
  <w:style w:type="paragraph" w:styleId="Titredetabledesmatires">
    <w:name w:val="TOC Heading"/>
    <w:basedOn w:val="Titre1"/>
    <w:next w:val="Normal"/>
    <w:uiPriority w:val="39"/>
    <w:unhideWhenUsed/>
    <w:qFormat/>
    <w:rsid w:val="008e44f1"/>
    <w:pPr>
      <w:spacing w:lineRule="auto" w:line="276"/>
      <w:outlineLvl w:val="9"/>
    </w:pPr>
    <w:rPr>
      <w:sz w:val="28"/>
    </w:rPr>
  </w:style>
  <w:style w:type="paragraph" w:styleId="Tabledesmatiresniveau1">
    <w:name w:val="TOC 1"/>
    <w:basedOn w:val="Normal"/>
    <w:next w:val="Normal"/>
    <w:autoRedefine/>
    <w:uiPriority w:val="39"/>
    <w:unhideWhenUsed/>
    <w:rsid w:val="00860850"/>
    <w:pPr>
      <w:tabs>
        <w:tab w:val="clear" w:pos="708"/>
        <w:tab w:val="left" w:pos="440" w:leader="none"/>
        <w:tab w:val="right" w:pos="9630" w:leader="dot"/>
      </w:tabs>
      <w:spacing w:before="0" w:after="100"/>
    </w:pPr>
    <w:rPr/>
  </w:style>
  <w:style w:type="paragraph" w:styleId="Tabledesmatiresniveau2">
    <w:name w:val="TOC 2"/>
    <w:basedOn w:val="Normal"/>
    <w:next w:val="Normal"/>
    <w:autoRedefine/>
    <w:uiPriority w:val="39"/>
    <w:unhideWhenUsed/>
    <w:rsid w:val="008e44f1"/>
    <w:pPr>
      <w:spacing w:before="0" w:after="100"/>
      <w:ind w:left="220" w:hanging="0"/>
    </w:pPr>
    <w:rPr/>
  </w:style>
  <w:style w:type="paragraph" w:styleId="Tabledesmatiresniveau3">
    <w:name w:val="TOC 3"/>
    <w:basedOn w:val="Normal"/>
    <w:next w:val="Normal"/>
    <w:autoRedefine/>
    <w:uiPriority w:val="39"/>
    <w:unhideWhenUsed/>
    <w:rsid w:val="000c1d69"/>
    <w:pPr>
      <w:spacing w:before="0" w:after="100"/>
      <w:ind w:left="440" w:hanging="0"/>
    </w:pPr>
    <w:rPr/>
  </w:style>
  <w:style w:type="paragraph" w:styleId="ListParagraph">
    <w:name w:val="List Paragraph"/>
    <w:basedOn w:val="Normal"/>
    <w:uiPriority w:val="34"/>
    <w:qFormat/>
    <w:rsid w:val="00500a14"/>
    <w:pPr>
      <w:spacing w:before="0" w:after="0"/>
      <w:ind w:left="720" w:hanging="0"/>
      <w:contextualSpacing/>
    </w:pPr>
    <w:rPr/>
  </w:style>
  <w:style w:type="paragraph" w:styleId="Titreprincipal">
    <w:name w:val="Title"/>
    <w:basedOn w:val="Normal"/>
    <w:next w:val="Normal"/>
    <w:link w:val="TitreCar"/>
    <w:uiPriority w:val="10"/>
    <w:qFormat/>
    <w:rsid w:val="006e7cfc"/>
    <w:pPr>
      <w:pBdr>
        <w:bottom w:val="single" w:sz="8" w:space="4" w:color="4F81BD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oustitre">
    <w:name w:val="Subtitle"/>
    <w:basedOn w:val="Normal"/>
    <w:next w:val="Normal"/>
    <w:link w:val="SoustitreCar"/>
    <w:uiPriority w:val="11"/>
    <w:qFormat/>
    <w:rsid w:val="006f587e"/>
    <w:pPr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Optionnel" w:customStyle="1">
    <w:name w:val="Optionnel"/>
    <w:basedOn w:val="Normal"/>
    <w:link w:val="OptionnelCar"/>
    <w:qFormat/>
    <w:rsid w:val="00150ad4"/>
    <w:pPr/>
    <w:rPr>
      <w:b/>
      <w:color w:val="FF0000"/>
    </w:rPr>
  </w:style>
  <w:style w:type="paragraph" w:styleId="Contenudecadre">
    <w:name w:val="Contenu de cadre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83003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footer" Target="footer1.xml"/><Relationship Id="rId27" Type="http://schemas.openxmlformats.org/officeDocument/2006/relationships/numbering" Target="numbering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<Relationship Id="rId31" Type="http://schemas.openxmlformats.org/officeDocument/2006/relationships/customXml" Target="../customXml/item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5.jpeg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0DFE80-3851-408F-AFA3-94016C4A3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1102</TotalTime>
  <Application>LibreOffice/7.3.0.3$Windows_X86_64 LibreOffice_project/0f246aa12d0eee4a0f7adcefbf7c878fc2238db3</Application>
  <AppVersion>15.0000</AppVersion>
  <Pages>16</Pages>
  <Words>1428</Words>
  <Characters>7621</Characters>
  <CharactersWithSpaces>9012</CharactersWithSpaces>
  <Paragraphs>105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2016-10-07T12:12:00Z</dcterms:created>
  <dc:creator>Julien DUVAL</dc:creator>
  <dc:description/>
  <dc:language>fr-FR</dc:language>
  <cp:lastModifiedBy/>
  <cp:lastPrinted>2017-01-05T15:01:00Z</cp:lastPrinted>
  <dcterms:modified xsi:type="dcterms:W3CDTF">2025-06-13T17:58:28Z</dcterms:modified>
  <cp:revision>99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