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before="100" w:beforeAutospacing="1" w:after="100" w:afterAutospacing="1" w:line="600" w:lineRule="exact"/>
        <w:jc w:val="center"/>
        <w:rPr>
          <w:rFonts w:hint="eastAsia" w:ascii="华文中宋" w:hAnsi="华文中宋" w:eastAsia="华文中宋"/>
          <w:color w:val="000000"/>
          <w:sz w:val="44"/>
          <w:szCs w:val="44"/>
        </w:rPr>
      </w:pPr>
      <w:r>
        <w:rPr>
          <w:rFonts w:hint="eastAsia" w:ascii="华文中宋" w:hAnsi="华文中宋" w:eastAsia="华文中宋"/>
          <w:sz w:val="44"/>
          <w:szCs w:val="44"/>
        </w:rPr>
        <w:t>关于印发《</w:t>
      </w:r>
      <w:r>
        <w:rPr>
          <w:rFonts w:hint="eastAsia" w:ascii="华文中宋" w:hAnsi="华文中宋" w:eastAsia="华文中宋"/>
          <w:color w:val="000000"/>
          <w:sz w:val="44"/>
          <w:szCs w:val="44"/>
        </w:rPr>
        <w:t>恩施州深化</w:t>
      </w:r>
      <w:r>
        <w:rPr>
          <w:rFonts w:hint="eastAsia" w:ascii="华文中宋" w:hAnsi="华文中宋" w:eastAsia="华文中宋"/>
          <w:color w:val="000000"/>
          <w:sz w:val="44"/>
          <w:szCs w:val="44"/>
          <w:lang w:eastAsia="zh-CN"/>
        </w:rPr>
        <w:t>“</w:t>
      </w:r>
      <w:r>
        <w:rPr>
          <w:rFonts w:hint="eastAsia" w:ascii="华文中宋" w:hAnsi="华文中宋" w:eastAsia="华文中宋"/>
          <w:color w:val="000000"/>
          <w:sz w:val="44"/>
          <w:szCs w:val="44"/>
          <w:lang w:val="en-US" w:eastAsia="zh-CN"/>
        </w:rPr>
        <w:t>753”</w:t>
      </w:r>
      <w:r>
        <w:rPr>
          <w:rFonts w:hint="eastAsia" w:ascii="华文中宋" w:hAnsi="华文中宋" w:eastAsia="华文中宋"/>
          <w:color w:val="000000"/>
          <w:sz w:val="44"/>
          <w:szCs w:val="44"/>
        </w:rPr>
        <w:t>工程建设</w:t>
      </w:r>
    </w:p>
    <w:p>
      <w:pPr>
        <w:widowControl/>
        <w:adjustRightInd w:val="0"/>
        <w:snapToGrid w:val="0"/>
        <w:spacing w:before="100" w:beforeAutospacing="1" w:after="100" w:afterAutospacing="1" w:line="600" w:lineRule="exact"/>
        <w:jc w:val="center"/>
        <w:rPr>
          <w:rFonts w:hint="eastAsia" w:ascii="华文中宋" w:hAnsi="华文中宋" w:eastAsia="华文中宋"/>
          <w:sz w:val="44"/>
          <w:szCs w:val="44"/>
        </w:rPr>
      </w:pPr>
      <w:r>
        <w:rPr>
          <w:rFonts w:hint="eastAsia" w:ascii="华文中宋" w:hAnsi="华文中宋" w:eastAsia="华文中宋"/>
          <w:color w:val="000000"/>
          <w:sz w:val="44"/>
          <w:szCs w:val="44"/>
        </w:rPr>
        <w:t>项目审批制度改革事项清单（试行）</w:t>
      </w:r>
      <w:r>
        <w:rPr>
          <w:rFonts w:hint="eastAsia" w:ascii="华文中宋" w:hAnsi="华文中宋" w:eastAsia="华文中宋"/>
          <w:sz w:val="44"/>
          <w:szCs w:val="44"/>
        </w:rPr>
        <w:t>》的</w:t>
      </w:r>
    </w:p>
    <w:p>
      <w:pPr>
        <w:widowControl/>
        <w:adjustRightInd w:val="0"/>
        <w:snapToGrid w:val="0"/>
        <w:spacing w:before="100" w:beforeAutospacing="1" w:after="100" w:afterAutospacing="1" w:line="600" w:lineRule="exact"/>
        <w:jc w:val="center"/>
        <w:rPr>
          <w:rFonts w:ascii="华文中宋" w:hAnsi="华文中宋" w:eastAsia="华文中宋"/>
          <w:sz w:val="44"/>
          <w:szCs w:val="44"/>
        </w:rPr>
      </w:pPr>
      <w:r>
        <w:rPr>
          <w:rFonts w:hint="eastAsia" w:ascii="华文中宋" w:hAnsi="华文中宋" w:eastAsia="华文中宋"/>
          <w:sz w:val="44"/>
          <w:szCs w:val="44"/>
        </w:rPr>
        <w:t>通知</w:t>
      </w:r>
    </w:p>
    <w:p>
      <w:pPr>
        <w:widowControl/>
        <w:adjustRightInd w:val="0"/>
        <w:snapToGrid w:val="0"/>
        <w:spacing w:before="100" w:beforeAutospacing="1" w:after="100" w:afterAutospacing="1" w:line="600" w:lineRule="exact"/>
        <w:jc w:val="center"/>
        <w:rPr>
          <w:rFonts w:ascii="仿宋" w:hAnsi="仿宋" w:eastAsia="仿宋" w:cs="仿宋"/>
          <w:sz w:val="32"/>
          <w:szCs w:val="32"/>
        </w:rPr>
      </w:pPr>
      <w:r>
        <w:rPr>
          <w:rFonts w:hint="eastAsia" w:ascii="仿宋_GB2312" w:eastAsia="仿宋_GB2312"/>
          <w:sz w:val="32"/>
          <w:szCs w:val="32"/>
        </w:rPr>
        <w:t xml:space="preserve">  </w:t>
      </w:r>
    </w:p>
    <w:p>
      <w:pPr>
        <w:widowControl/>
        <w:adjustRightInd w:val="0"/>
        <w:snapToGrid w:val="0"/>
        <w:spacing w:line="600" w:lineRule="exact"/>
        <w:jc w:val="left"/>
        <w:rPr>
          <w:rFonts w:ascii="仿宋_GB2312" w:eastAsia="仿宋_GB2312"/>
          <w:sz w:val="32"/>
          <w:szCs w:val="32"/>
        </w:rPr>
      </w:pPr>
    </w:p>
    <w:p>
      <w:pPr>
        <w:widowControl/>
        <w:spacing w:line="600" w:lineRule="exact"/>
        <w:rPr>
          <w:rFonts w:ascii="仿宋" w:hAnsi="仿宋" w:eastAsia="仿宋" w:cs="仿宋"/>
          <w:sz w:val="32"/>
          <w:szCs w:val="32"/>
        </w:rPr>
      </w:pPr>
      <w:r>
        <w:rPr>
          <w:rFonts w:hint="eastAsia" w:ascii="仿宋_GB2312" w:eastAsia="仿宋_GB2312"/>
          <w:sz w:val="32"/>
          <w:szCs w:val="32"/>
        </w:rPr>
        <w:t xml:space="preserve">州工程建设项目审批制度改革工作领导小组各成员单位：  </w:t>
      </w:r>
    </w:p>
    <w:p>
      <w:pPr>
        <w:widowControl/>
        <w:spacing w:line="600" w:lineRule="exact"/>
        <w:ind w:firstLine="648"/>
        <w:rPr>
          <w:rFonts w:ascii="仿宋" w:hAnsi="仿宋" w:eastAsia="仿宋" w:cs="仿宋"/>
          <w:kern w:val="0"/>
          <w:sz w:val="32"/>
          <w:szCs w:val="32"/>
          <w:lang w:bidi="ar"/>
        </w:rPr>
      </w:pPr>
      <w:r>
        <w:rPr>
          <w:rFonts w:hint="eastAsia" w:ascii="仿宋" w:hAnsi="仿宋" w:eastAsia="仿宋" w:cs="仿宋"/>
          <w:kern w:val="0"/>
          <w:sz w:val="32"/>
          <w:szCs w:val="32"/>
          <w:lang w:bidi="ar"/>
        </w:rPr>
        <w:t>为贯彻落实《国务院办公厅关于进一步优化营商环境更好服务市场主体的实施意见》（国办发[2020]24号）文件精神，</w:t>
      </w:r>
      <w:r>
        <w:rPr>
          <w:rFonts w:hint="eastAsia" w:ascii="仿宋" w:hAnsi="仿宋" w:eastAsia="仿宋" w:cs="仿宋"/>
          <w:kern w:val="0"/>
          <w:sz w:val="32"/>
          <w:szCs w:val="32"/>
          <w:lang w:val="en-US" w:eastAsia="zh-CN" w:bidi="ar"/>
        </w:rPr>
        <w:t>落实</w:t>
      </w:r>
      <w:r>
        <w:rPr>
          <w:rFonts w:hint="eastAsia" w:ascii="仿宋" w:hAnsi="仿宋" w:eastAsia="仿宋" w:cs="仿宋"/>
          <w:kern w:val="0"/>
          <w:sz w:val="32"/>
          <w:szCs w:val="32"/>
          <w:lang w:bidi="ar"/>
        </w:rPr>
        <w:t>州委州政府</w:t>
      </w:r>
      <w:r>
        <w:rPr>
          <w:rFonts w:hint="eastAsia" w:ascii="仿宋" w:hAnsi="仿宋" w:eastAsia="仿宋" w:cs="仿宋"/>
          <w:kern w:val="0"/>
          <w:sz w:val="32"/>
          <w:szCs w:val="32"/>
          <w:lang w:val="en-US" w:eastAsia="zh-CN" w:bidi="ar"/>
        </w:rPr>
        <w:t>推广</w:t>
      </w:r>
      <w:r>
        <w:rPr>
          <w:rFonts w:hint="eastAsia" w:ascii="仿宋" w:hAnsi="仿宋" w:eastAsia="仿宋" w:cs="仿宋"/>
          <w:kern w:val="0"/>
          <w:sz w:val="32"/>
          <w:szCs w:val="32"/>
          <w:lang w:bidi="ar"/>
        </w:rPr>
        <w:t>鹤峰“753”（政府投资项目70个工作日、社会投资项目50个工作日、带方案出让项目30个工作日）改革成果，</w:t>
      </w:r>
      <w:r>
        <w:rPr>
          <w:rFonts w:hint="eastAsia" w:ascii="仿宋" w:hAnsi="仿宋" w:eastAsia="仿宋" w:cs="仿宋"/>
          <w:kern w:val="0"/>
          <w:sz w:val="32"/>
          <w:szCs w:val="32"/>
          <w:lang w:val="en-US" w:eastAsia="zh-CN" w:bidi="ar"/>
        </w:rPr>
        <w:t>在</w:t>
      </w:r>
      <w:r>
        <w:rPr>
          <w:rFonts w:hint="eastAsia" w:ascii="仿宋" w:hAnsi="仿宋" w:eastAsia="仿宋" w:cs="仿宋"/>
          <w:kern w:val="0"/>
          <w:sz w:val="32"/>
          <w:szCs w:val="32"/>
          <w:lang w:eastAsia="zh-CN" w:bidi="ar"/>
        </w:rPr>
        <w:t>《关于印发恩施州工程建设项目审批事项清单、项目分类条件及流程图（试行）的通知》（恩工建审改办</w:t>
      </w:r>
      <w:r>
        <w:rPr>
          <w:rFonts w:hint="eastAsia" w:ascii="仿宋" w:hAnsi="仿宋" w:eastAsia="仿宋" w:cs="仿宋"/>
          <w:kern w:val="0"/>
          <w:sz w:val="32"/>
          <w:szCs w:val="32"/>
          <w:lang w:val="en-US" w:eastAsia="zh-CN" w:bidi="ar"/>
        </w:rPr>
        <w:t>[2019]3号</w:t>
      </w:r>
      <w:r>
        <w:rPr>
          <w:rFonts w:hint="eastAsia" w:ascii="仿宋" w:hAnsi="仿宋" w:eastAsia="仿宋" w:cs="仿宋"/>
          <w:kern w:val="0"/>
          <w:sz w:val="32"/>
          <w:szCs w:val="32"/>
          <w:lang w:eastAsia="zh-CN" w:bidi="ar"/>
        </w:rPr>
        <w:t>）</w:t>
      </w:r>
      <w:r>
        <w:rPr>
          <w:rFonts w:hint="eastAsia" w:ascii="仿宋" w:hAnsi="仿宋" w:eastAsia="仿宋" w:cs="仿宋"/>
          <w:kern w:val="0"/>
          <w:sz w:val="32"/>
          <w:szCs w:val="32"/>
          <w:lang w:val="en-US" w:eastAsia="zh-CN" w:bidi="ar"/>
        </w:rPr>
        <w:t>基础上进一步减事项、减流程，</w:t>
      </w:r>
      <w:r>
        <w:rPr>
          <w:rFonts w:hint="eastAsia" w:ascii="仿宋" w:hAnsi="仿宋" w:eastAsia="仿宋" w:cs="仿宋"/>
          <w:kern w:val="0"/>
          <w:sz w:val="32"/>
          <w:szCs w:val="32"/>
          <w:lang w:eastAsia="zh-CN" w:bidi="ar"/>
        </w:rPr>
        <w:t>经</w:t>
      </w:r>
      <w:r>
        <w:rPr>
          <w:rFonts w:hint="eastAsia" w:ascii="仿宋" w:hAnsi="仿宋" w:eastAsia="仿宋" w:cs="仿宋"/>
          <w:kern w:val="0"/>
          <w:sz w:val="32"/>
          <w:szCs w:val="32"/>
          <w:lang w:val="en-US" w:eastAsia="zh-CN" w:bidi="ar"/>
        </w:rPr>
        <w:t>与</w:t>
      </w:r>
      <w:r>
        <w:rPr>
          <w:rFonts w:hint="eastAsia" w:ascii="仿宋" w:hAnsi="仿宋" w:eastAsia="仿宋" w:cs="仿宋"/>
          <w:kern w:val="0"/>
          <w:sz w:val="32"/>
          <w:szCs w:val="32"/>
          <w:lang w:eastAsia="zh-CN" w:bidi="ar"/>
        </w:rPr>
        <w:t>各部门深入研究，现将</w:t>
      </w:r>
      <w:r>
        <w:rPr>
          <w:rFonts w:hint="eastAsia" w:ascii="仿宋" w:hAnsi="仿宋" w:eastAsia="仿宋" w:cs="仿宋"/>
          <w:kern w:val="0"/>
          <w:sz w:val="32"/>
          <w:szCs w:val="32"/>
          <w:lang w:bidi="ar"/>
        </w:rPr>
        <w:t>我州进一步深化工程建设项目审批制度改革事项清单（试行）印发你们，请认真执行。</w:t>
      </w:r>
    </w:p>
    <w:p>
      <w:pPr>
        <w:widowControl/>
        <w:spacing w:line="600" w:lineRule="exact"/>
        <w:rPr>
          <w:rFonts w:ascii="仿宋" w:hAnsi="仿宋" w:eastAsia="仿宋" w:cs="仿宋"/>
          <w:kern w:val="0"/>
          <w:sz w:val="32"/>
          <w:szCs w:val="32"/>
          <w:lang w:bidi="ar"/>
        </w:rPr>
      </w:pPr>
    </w:p>
    <w:p>
      <w:pPr>
        <w:widowControl/>
        <w:spacing w:line="600" w:lineRule="exact"/>
        <w:ind w:firstLine="640" w:firstLineChars="200"/>
        <w:rPr>
          <w:rFonts w:ascii="仿宋" w:hAnsi="仿宋" w:eastAsia="仿宋" w:cs="仿宋"/>
          <w:kern w:val="0"/>
          <w:sz w:val="32"/>
          <w:szCs w:val="32"/>
          <w:lang w:bidi="ar"/>
        </w:rPr>
      </w:pPr>
      <w:r>
        <w:rPr>
          <w:rFonts w:hint="eastAsia" w:ascii="仿宋" w:hAnsi="仿宋" w:eastAsia="仿宋" w:cs="仿宋"/>
          <w:kern w:val="0"/>
          <w:sz w:val="32"/>
          <w:szCs w:val="32"/>
          <w:lang w:bidi="ar"/>
        </w:rPr>
        <w:t>附件：恩施州进一步深化工程建设项目审批制度改革事项清单（试行）</w:t>
      </w:r>
    </w:p>
    <w:p>
      <w:pPr>
        <w:widowControl/>
        <w:spacing w:line="600" w:lineRule="exact"/>
        <w:rPr>
          <w:rFonts w:ascii="仿宋" w:hAnsi="仿宋" w:eastAsia="仿宋" w:cs="仿宋"/>
          <w:kern w:val="0"/>
          <w:sz w:val="32"/>
          <w:szCs w:val="32"/>
          <w:lang w:bidi="ar"/>
        </w:rPr>
      </w:pPr>
      <w:r>
        <w:rPr>
          <w:rFonts w:hint="eastAsia" w:ascii="仿宋" w:hAnsi="仿宋" w:eastAsia="仿宋" w:cs="仿宋"/>
          <w:kern w:val="0"/>
          <w:sz w:val="32"/>
          <w:szCs w:val="32"/>
          <w:lang w:bidi="ar"/>
        </w:rPr>
        <w:t xml:space="preserve"> </w:t>
      </w:r>
    </w:p>
    <w:p>
      <w:pPr>
        <w:widowControl/>
        <w:spacing w:line="600" w:lineRule="exact"/>
        <w:ind w:firstLine="2560" w:firstLineChars="800"/>
        <w:rPr>
          <w:rFonts w:ascii="仿宋" w:hAnsi="仿宋" w:eastAsia="仿宋" w:cs="仿宋"/>
          <w:kern w:val="0"/>
          <w:sz w:val="32"/>
          <w:szCs w:val="32"/>
          <w:lang w:bidi="ar"/>
        </w:rPr>
      </w:pPr>
      <w:r>
        <w:rPr>
          <w:rFonts w:hint="eastAsia" w:ascii="仿宋" w:hAnsi="仿宋" w:eastAsia="仿宋" w:cs="仿宋"/>
          <w:kern w:val="0"/>
          <w:sz w:val="32"/>
          <w:szCs w:val="32"/>
          <w:lang w:bidi="ar"/>
        </w:rPr>
        <w:t>恩施州工程建设项目审批制度改革工作</w:t>
      </w:r>
    </w:p>
    <w:p>
      <w:pPr>
        <w:widowControl/>
        <w:spacing w:line="600" w:lineRule="exact"/>
        <w:ind w:firstLine="4480" w:firstLineChars="1400"/>
        <w:rPr>
          <w:rFonts w:ascii="仿宋" w:hAnsi="仿宋" w:eastAsia="仿宋" w:cs="仿宋"/>
          <w:kern w:val="0"/>
          <w:sz w:val="32"/>
          <w:szCs w:val="32"/>
          <w:lang w:bidi="ar"/>
        </w:rPr>
      </w:pPr>
      <w:r>
        <w:rPr>
          <w:rFonts w:hint="eastAsia" w:ascii="仿宋" w:hAnsi="仿宋" w:eastAsia="仿宋" w:cs="仿宋"/>
          <w:kern w:val="0"/>
          <w:sz w:val="32"/>
          <w:szCs w:val="32"/>
          <w:lang w:bidi="ar"/>
        </w:rPr>
        <w:t>领导小组办公室</w:t>
      </w:r>
    </w:p>
    <w:p>
      <w:pPr>
        <w:widowControl/>
        <w:spacing w:line="600" w:lineRule="exact"/>
        <w:rPr>
          <w:rFonts w:ascii="仿宋" w:hAnsi="仿宋" w:eastAsia="仿宋" w:cs="仿宋"/>
          <w:kern w:val="0"/>
          <w:sz w:val="32"/>
          <w:szCs w:val="32"/>
          <w:lang w:bidi="ar"/>
        </w:rPr>
      </w:pPr>
      <w:r>
        <w:rPr>
          <w:rFonts w:hint="eastAsia" w:ascii="仿宋" w:hAnsi="仿宋" w:eastAsia="仿宋" w:cs="仿宋"/>
          <w:kern w:val="0"/>
          <w:sz w:val="32"/>
          <w:szCs w:val="32"/>
          <w:lang w:bidi="ar"/>
        </w:rPr>
        <w:t xml:space="preserve">                            2020年11月19日</w:t>
      </w:r>
    </w:p>
    <w:p>
      <w:pPr>
        <w:widowControl/>
        <w:spacing w:line="600" w:lineRule="exact"/>
        <w:jc w:val="center"/>
        <w:rPr>
          <w:rFonts w:ascii="黑体" w:hAnsi="黑体" w:eastAsia="黑体" w:cs="黑体"/>
          <w:snapToGrid w:val="0"/>
          <w:kern w:val="0"/>
          <w:sz w:val="44"/>
          <w:szCs w:val="44"/>
        </w:rPr>
      </w:pPr>
      <w:r>
        <w:rPr>
          <w:rFonts w:hint="eastAsia" w:ascii="黑体" w:hAnsi="黑体" w:eastAsia="黑体" w:cs="黑体"/>
          <w:snapToGrid w:val="0"/>
          <w:kern w:val="0"/>
          <w:sz w:val="44"/>
          <w:szCs w:val="44"/>
        </w:rPr>
        <w:t>恩施州工程建设项目审批制度“753”改革实施办法（试行）</w:t>
      </w:r>
    </w:p>
    <w:p>
      <w:pPr>
        <w:jc w:val="center"/>
        <w:rPr>
          <w:rFonts w:ascii="黑体" w:hAnsi="黑体" w:eastAsia="黑体" w:cs="黑体"/>
          <w:snapToGrid w:val="0"/>
          <w:kern w:val="0"/>
          <w:sz w:val="44"/>
          <w:szCs w:val="44"/>
        </w:rPr>
      </w:pPr>
    </w:p>
    <w:p>
      <w:pPr>
        <w:pStyle w:val="4"/>
        <w:adjustRightInd w:val="0"/>
        <w:snapToGrid w:val="0"/>
        <w:ind w:firstLine="0" w:firstLineChars="0"/>
        <w:jc w:val="center"/>
        <w:rPr>
          <w:rFonts w:hint="default"/>
          <w:snapToGrid w:val="0"/>
          <w:kern w:val="0"/>
        </w:rPr>
      </w:pPr>
      <w:r>
        <w:rPr>
          <w:snapToGrid w:val="0"/>
          <w:kern w:val="0"/>
        </w:rPr>
        <w:t>第一章</w:t>
      </w:r>
      <w:r>
        <w:rPr>
          <w:rFonts w:eastAsia="仿宋_GB2312" w:cstheme="minorBidi"/>
          <w:b/>
          <w:bCs/>
          <w:snapToGrid w:val="0"/>
          <w:kern w:val="0"/>
          <w:szCs w:val="32"/>
        </w:rPr>
        <w:t xml:space="preserve">  </w:t>
      </w:r>
      <w:r>
        <w:rPr>
          <w:snapToGrid w:val="0"/>
          <w:kern w:val="0"/>
        </w:rPr>
        <w:t>总  则</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 xml:space="preserve"> 为营造“全国一流、全省最优”营商环境，推动恩施州经济社会高质量发展，进一步压缩全州工程建设项目审批时限，结合我州实际，制定本办法。</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 xml:space="preserve"> 本办法适用于在恩施州行政区域内利用政府资本、社会资本开展的房屋建筑、市政基础设施等工程项目，但不包括交通、水利、能源等领域需要上报国家和省审批的重大工程以及油气库、油气长输管线、民爆仓库等重大危险源项目和保密工程。</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 xml:space="preserve"> 在恩施州行政区域内报建的工程建设项目，政府部门应当按照主动服务、优化审批、放管并重、告知承诺的原则，及时了解建设项目进展情况和相关部门发送的项目信息、需求和意见，强化咨询服务，主动指导、协同推进项目报建工作。涉及国家、省的审批事权要积极帮助协调。</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除法律、法规另有规定或者上级部门新下放的审批事项外，各部门严禁在公布的审批事项目录之外擅自增加（拆分）审批事项、许可条件，严禁擅自延长办理时限，严禁在审批信息系统之外业务流转。</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依托恩施州工程建设项目审批系统（以下简称“工改系统”），采取审批部门、建设单位、中介机构共同应用和数据共享，同时实现审批事项、申请材料、批复文件、流转推送等信息共享、结果互认，达到项目建设审批的全流程、全覆盖、全方位监管。</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依托恩施州自然资源和规划部门建立“多规合一”信息平台（以下简称多规平台），整合全州国民经济和社会发展、规划国土、交通运输、生态环境、林业、水利、气象等各领域空间性规划和相关信息，形成全州空间规划“一张蓝图”，为项目空间论证、策划生成、项目合规性审查提供平台支撑，不断提高“一张蓝图”统筹项目实施效率。</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项目审批报建登记流程按照项目建设的时序，分为立项用地规划许可、建设工程规划许可、施工许可、竣工验收四个阶段。立项用地规划许可、建设工程规划许可阶段由州自然资源规划局牵头，施工许可、联合验收阶段由州住建局牵头，牵头部门负责组织协调相关部门严格按照限定时间完成审批。每个阶段包括应当办理审批事项和可能涉及办理的审批事项，两类事项并行推进、并联审批，各阶段内可能涉及办理的审批事项均不互为前置，具备必要条件即可办理。</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从立项到竣工验收，政府投资项目审批时限压缩至70个工作日，社会投资一般项目审批时限压缩至50个工作日，带方案出让土地项目审批时限压缩至30个工作日。</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实行超时默认。各审批部门已确认受理的审批办件，因审批人员原因未在承诺时限内办结，视为已审批同意，默认通过审批事项，自动加盖审批印章，进入下一审批环节。</w:t>
      </w:r>
    </w:p>
    <w:p>
      <w:pPr>
        <w:pStyle w:val="2"/>
        <w:ind w:firstLine="420"/>
      </w:pPr>
    </w:p>
    <w:p>
      <w:pPr>
        <w:pStyle w:val="4"/>
        <w:adjustRightInd w:val="0"/>
        <w:snapToGrid w:val="0"/>
        <w:ind w:firstLine="0" w:firstLineChars="0"/>
        <w:jc w:val="center"/>
        <w:rPr>
          <w:rFonts w:hint="default"/>
          <w:snapToGrid w:val="0"/>
          <w:kern w:val="0"/>
        </w:rPr>
      </w:pPr>
      <w:r>
        <w:t xml:space="preserve">        </w:t>
      </w:r>
      <w:r>
        <w:rPr>
          <w:snapToGrid w:val="0"/>
          <w:kern w:val="0"/>
        </w:rPr>
        <w:t>第二章</w:t>
      </w:r>
      <w:r>
        <w:rPr>
          <w:rFonts w:eastAsia="仿宋_GB2312" w:cstheme="minorBidi"/>
          <w:b/>
          <w:bCs/>
          <w:snapToGrid w:val="0"/>
          <w:kern w:val="0"/>
          <w:szCs w:val="32"/>
        </w:rPr>
        <w:t xml:space="preserve">  </w:t>
      </w:r>
      <w:r>
        <w:rPr>
          <w:snapToGrid w:val="0"/>
          <w:kern w:val="0"/>
        </w:rPr>
        <w:t>立项用地规划许可</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立项和用地审批，政府投资项目25个工作日内办结，社会投资核准类项目7个工作日内办结，社会投资备案类项目5个工作日内办结，带方案出让土地项目3个工作日内办结。</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发展和改革部门按照有关规定对社会投资建设项目进行备案或者核准。发展和改革部门负责通过湖北省投资项目在线审批监管平台对建设项目赋码，按照有关规定对社会投资建设项目进行核准或者备案。</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核准类项目在核准前，应当办理选址及用地预审手续。用地预审与选址意见书核发应在10个工作日内完成审批。其中公园、护坡、河道治理类及非独立占地的管线类工程免于办理用地预审与选址意见书及用地规划许可（或者规划设计要点）。</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自然资源和规划部门拟定用地出让方案，应当征求发展和改革、水利和湖泊、生态环境、交通运输、住房和城乡建设、文物、属地政府、产业主管部门及其它相关部门意见，涉及代建公共服务设施的项目，属地政府要一并明确接收部门。用地成交后，项目单位缴交地价款、完成资金来源核查即可申请签订土地使用权出让合同，签订土地使用权出让合同后，建设用地规划许可2个工作日内办结。 </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以划拨方式供地的项目用地经有权限的政府批准、理顺土地权属关系后，可申请核发建设用地规划许可。</w:t>
      </w:r>
    </w:p>
    <w:p>
      <w:pPr>
        <w:pStyle w:val="2"/>
        <w:ind w:firstLine="420"/>
      </w:pPr>
    </w:p>
    <w:p>
      <w:pPr>
        <w:pStyle w:val="4"/>
        <w:adjustRightInd w:val="0"/>
        <w:snapToGrid w:val="0"/>
        <w:ind w:firstLine="0" w:firstLineChars="0"/>
        <w:jc w:val="center"/>
        <w:rPr>
          <w:rFonts w:hint="default"/>
          <w:snapToGrid w:val="0"/>
          <w:kern w:val="0"/>
        </w:rPr>
      </w:pPr>
      <w:r>
        <w:rPr>
          <w:snapToGrid w:val="0"/>
          <w:kern w:val="0"/>
        </w:rPr>
        <w:t>第三章</w:t>
      </w:r>
      <w:r>
        <w:rPr>
          <w:rFonts w:eastAsia="仿宋_GB2312" w:cstheme="minorBidi"/>
          <w:b/>
          <w:bCs/>
          <w:snapToGrid w:val="0"/>
          <w:kern w:val="0"/>
          <w:szCs w:val="32"/>
        </w:rPr>
        <w:t xml:space="preserve">  </w:t>
      </w:r>
      <w:r>
        <w:rPr>
          <w:snapToGrid w:val="0"/>
          <w:kern w:val="0"/>
        </w:rPr>
        <w:t>建设工程规划许可</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政府投资类建设工程规划许可应于20个工作日内办结；社会投资类一般项目和工业项目建设工程规划许可应于18个工作日内办结；社会投资类小型项目和工业项目（承诺审批制）建设工程规划许可应于10个工作日内办结；带方案出让土地项目建设工程规划许可应于3个工作日内办结。</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对于房建类项目，建设单位在取得土地预审意见或者用地规划许可，完成设计方案后可向自然资源和规划部门申请办理建设工程规划许可。</w:t>
      </w:r>
    </w:p>
    <w:p>
      <w:pPr>
        <w:pStyle w:val="8"/>
        <w:spacing w:before="150" w:beforeAutospacing="0" w:after="150" w:afterAutospacing="0" w:line="62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市政类线性工程方案设计完成后需报自然资源和规划部门审查，市政交通工程应报交通运输主管部门审查。建设单位在取得用地预审与选址意见书和用地规划许可（或者规划设计要点），涉及空间部分施工图设计后可向自然资源和规划主管部门申请办理建设工程规划许可。根据相关规定，需要由行业主管部门进行初步设计审查的，从其规定。</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项目单位依据自然资源和规划部门出具的建设用地规划许可（或者规划设计要点）开展方案设计。在项目设计过程中，需要查询地下管线信息或者档案的，建设单位凭选址意见或者规划设计要点向自然资源和规划部门或者档案部门查询，自然资源和规划部门或者档案部门应当予以支持。</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自然资源和规划部门在方案审查时，若项目涉及国家安全、文物保护、地质灾害、压覆重要矿产、机场、水利、危险品、燃气、电力、轨道交通、配建公共服务设施等各项需要取得主管部门、运营单位及公共服务设施接收单位批准同意的，各部门应在3个工作日内回复自然资源和规划部门，如在3个工作日内未回复，则默认为同意。涉及国家、省事权及保密的审批事项除外。</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自然资源和规划部门的建设工程设计方案核查与建设工程规划许可事项合并办理，分别核发相关证件；开设永久路口审批与市政管线接口审批合并办理，分别核发相关证件。</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对于房建类项目，项目单位完成方案设计后，人防主管部门根据项目单位申请对自建、免建及易地修建人防工程的项目提出人防工程建设要求。人防事项在施工许可前办结即可。</w:t>
      </w:r>
    </w:p>
    <w:p>
      <w:pPr>
        <w:pStyle w:val="8"/>
        <w:spacing w:before="150" w:beforeAutospacing="0" w:after="150" w:afterAutospacing="0" w:line="620" w:lineRule="exact"/>
        <w:jc w:val="center"/>
        <w:rPr>
          <w:rFonts w:ascii="黑体" w:hAnsi="黑体" w:eastAsia="黑体" w:cs="黑体"/>
          <w:sz w:val="32"/>
          <w:szCs w:val="32"/>
        </w:rPr>
      </w:pPr>
      <w:r>
        <w:rPr>
          <w:rFonts w:hint="eastAsia" w:ascii="黑体" w:hAnsi="黑体" w:eastAsia="黑体" w:cs="黑体"/>
          <w:sz w:val="32"/>
          <w:szCs w:val="32"/>
        </w:rPr>
        <w:t>第四章  施工许可</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施工许可证在收到办理施工许可申请后3个工作日内核发。</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将工程消防设计技术审查和人防工程技术审查纳入施工图设计文件审查（以下简称“图审”），实行联合图审。</w:t>
      </w:r>
    </w:p>
    <w:p>
      <w:pPr>
        <w:adjustRightInd w:val="0"/>
        <w:snapToGrid w:val="0"/>
        <w:spacing w:line="570" w:lineRule="exact"/>
        <w:ind w:firstLine="640" w:firstLineChars="200"/>
        <w:rPr>
          <w:rFonts w:ascii="宋体" w:hAnsi="宋体" w:eastAsia="仿宋_GB2312" w:cs="仿宋_GB2312"/>
          <w:snapToGrid w:val="0"/>
          <w:kern w:val="0"/>
          <w:sz w:val="32"/>
          <w:szCs w:val="32"/>
        </w:rPr>
      </w:pPr>
      <w:r>
        <w:rPr>
          <w:rFonts w:hint="eastAsia" w:ascii="宋体" w:hAnsi="宋体" w:eastAsia="仿宋_GB2312" w:cs="仿宋_GB2312"/>
          <w:snapToGrid w:val="0"/>
          <w:kern w:val="0"/>
          <w:sz w:val="32"/>
          <w:szCs w:val="32"/>
        </w:rPr>
        <w:t>实行技术审查和行政审批相分离，住建部门委托第三方为设计联合审查提供技术服务，建立图审质量评价管理体系。图审所需费用由政府承担，财政部门要给予足额经费保障。</w:t>
      </w:r>
    </w:p>
    <w:p>
      <w:pPr>
        <w:adjustRightInd w:val="0"/>
        <w:snapToGrid w:val="0"/>
        <w:spacing w:line="570" w:lineRule="exact"/>
        <w:ind w:firstLine="640" w:firstLineChars="200"/>
        <w:rPr>
          <w:rFonts w:ascii="宋体" w:hAnsi="宋体" w:eastAsia="仿宋_GB2312" w:cs="仿宋_GB2312"/>
          <w:snapToGrid w:val="0"/>
          <w:kern w:val="0"/>
          <w:sz w:val="32"/>
          <w:szCs w:val="32"/>
        </w:rPr>
      </w:pPr>
      <w:r>
        <w:rPr>
          <w:rFonts w:hint="eastAsia" w:ascii="仿宋_GB2312" w:hAnsi="仿宋_GB2312" w:eastAsia="仿宋_GB2312" w:cs="仿宋_GB2312"/>
          <w:sz w:val="32"/>
          <w:szCs w:val="32"/>
        </w:rPr>
        <w:t>社会投资小型项目</w:t>
      </w:r>
      <w:r>
        <w:rPr>
          <w:rFonts w:hint="eastAsia" w:ascii="宋体" w:hAnsi="宋体" w:eastAsia="仿宋_GB2312" w:cs="仿宋_GB2312"/>
          <w:snapToGrid w:val="0"/>
          <w:kern w:val="0"/>
          <w:sz w:val="32"/>
          <w:szCs w:val="32"/>
        </w:rPr>
        <w:t xml:space="preserve">，可以不进行图审。 </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推行“多审合一”，“施工图设计文件”容后审查。除“特殊工程”外，建设单位可采用“承诺”的方式承诺将施工图设计文件（含勘察文件）审查后置于施工许可证核发之后，承诺提交全套施工图设计文件符合公共利益、公众安全和工程建设强制性标准，并满足建设用地规划许可（或者规划设计要点）、建设工程规划许可等要求。建设项目单位和设计单位依规定对设计质量进行把关，并承担相关责任。建设单位需依承诺在基础工程开挖之后、基础结构工程施工之前提交经审查合格的施工图设计文件。建设主管部门委托图审机构对勘察设计质量进行全覆盖抽查，加强对勘察设计机构的信用评价。</w:t>
      </w:r>
    </w:p>
    <w:p>
      <w:pPr>
        <w:pStyle w:val="8"/>
        <w:spacing w:before="150" w:beforeAutospacing="0" w:after="150" w:afterAutospacing="0" w:line="62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特殊工程”指《建设工程消防设计审查验收管理暂行规定》（中华人民共和国住房和城乡建设部令第51号）第十四条中明确的建设工程。“特殊工程”未经消防设计审查或消防审查不合格的，施工单位不得施工。</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实行施工图设计联合审查，将建设工程消防设计的技术审查并入联合审查，意见一并出具。消防设计审查推行“技（术）审（查）分离”，住房和城乡建设部门根据施工图审查意见中的消防设计审查意见，作出消防设计审查决定。鼓励住房和城乡建设主管部门委托第三方为消防设计审查提供技术服务和支持，财政给予足额经费保障。</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住房和城乡建设部门应当建立健全勘察设计管理系统，项目单位应当将施工图设计文件上传至勘察设计管理系统，并对其上传的施工图的完整性、真实性和时效性负责。上传至勘察设计管理系统的施工图信息共享，可供施工质量安全监督、联合测绘、竣工联合验收和城建档案归档等环节使用。</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现场踏勘、质量安全监督实行告知承诺制度。申请施工许可时，建设单位按照《申请取得建筑工程施工许可证承诺书》作出相应承诺，可不再申请建筑工程安全生产监督、建筑工程质量监督注册和现场踏勘。建设单位申请施工许可时，按照《建筑工程施工许可申请资料清单》向工程建设项目审批综合窗口申请办理施工许可证。</w:t>
      </w:r>
    </w:p>
    <w:p>
      <w:pPr>
        <w:numPr>
          <w:ilvl w:val="2"/>
          <w:numId w:val="1"/>
        </w:numPr>
        <w:tabs>
          <w:tab w:val="left" w:pos="0"/>
        </w:tabs>
        <w:adjustRightInd w:val="0"/>
        <w:snapToGrid w:val="0"/>
        <w:spacing w:line="570" w:lineRule="exact"/>
        <w:ind w:left="0" w:leftChars="0" w:firstLine="402" w:firstLineChars="0"/>
        <w:rPr>
          <w:rFonts w:ascii="仿宋_GB2312" w:hAnsi="仿宋_GB2312" w:eastAsia="仿宋_GB2312" w:cs="仿宋_GB2312"/>
          <w:sz w:val="32"/>
          <w:szCs w:val="32"/>
        </w:rPr>
      </w:pPr>
      <w:r>
        <w:rPr>
          <w:rFonts w:hint="eastAsia" w:ascii="宋体" w:hAnsi="宋体" w:eastAsia="仿宋_GB2312" w:cs="仿宋_GB2312"/>
          <w:snapToGrid w:val="0"/>
          <w:kern w:val="0"/>
          <w:sz w:val="32"/>
          <w:szCs w:val="32"/>
          <w:lang w:val="en-US" w:eastAsia="zh-CN"/>
        </w:rPr>
        <w:t>强化</w:t>
      </w:r>
      <w:r>
        <w:rPr>
          <w:rFonts w:hint="eastAsia" w:ascii="宋体" w:hAnsi="宋体" w:eastAsia="仿宋_GB2312" w:cs="仿宋_GB2312"/>
          <w:snapToGrid w:val="0"/>
          <w:kern w:val="0"/>
          <w:sz w:val="32"/>
          <w:szCs w:val="32"/>
          <w:lang w:val="en-US" w:eastAsia="zh-CN" w:bidi="ar-SA"/>
        </w:rPr>
        <w:t>首次现场监督和技术交底。质量安全和建筑市场监管人员在首次现场监督时，对承诺事项进行100%抽查，对提供虚假承诺或不履行承诺以及取得施工许可证前擅自施工等行为的， 应依法依规予以行政处罚、信用评价扣分、停工、撤销《建筑工程施工许可证》等惩戒措施；责任主体其他项目均严格按照法律、法规规定的时限、程序办理，不再接受其承诺，相关部门应做好配合协调工作。　</w:t>
      </w:r>
      <w:r>
        <w:rPr>
          <w:rFonts w:hint="eastAsia" w:ascii="仿宋_GB2312" w:hAnsi="仿宋_GB2312" w:eastAsia="仿宋_GB2312" w:cs="仿宋_GB2312"/>
          <w:sz w:val="32"/>
          <w:szCs w:val="32"/>
        </w:rPr>
        <w:t xml:space="preserve">　  </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实行水电气接入外线工程并联审批。优化水电气报装外线施工办理程序，绿化许可、古树古木迁移许可、城市道路路政许可和占挖掘路许可等环节可在施工许可阶段并联审批、同步办理。一般电力接入工程审批时限压缩至3个工作日以内，其中穿越城市道路不超过15米，线路长度不超过200米的用电接入工程采用告知承诺备案制。</w:t>
      </w:r>
    </w:p>
    <w:p>
      <w:pPr>
        <w:pStyle w:val="2"/>
        <w:ind w:left="0" w:leftChars="0" w:firstLine="0" w:firstLineChars="0"/>
      </w:pPr>
    </w:p>
    <w:p>
      <w:pPr>
        <w:pStyle w:val="4"/>
        <w:adjustRightInd w:val="0"/>
        <w:snapToGrid w:val="0"/>
        <w:ind w:firstLine="0" w:firstLineChars="0"/>
        <w:jc w:val="center"/>
        <w:rPr>
          <w:rFonts w:hint="default" w:ascii="仿宋_GB2312" w:hAnsi="仿宋_GB2312" w:eastAsia="仿宋_GB2312" w:cs="仿宋_GB2312"/>
          <w:szCs w:val="32"/>
        </w:rPr>
      </w:pPr>
      <w:r>
        <w:rPr>
          <w:rStyle w:val="13"/>
          <w:rFonts w:ascii="黑体" w:hAnsi="黑体" w:eastAsia="黑体" w:cs="黑体"/>
          <w:b w:val="0"/>
          <w:bCs/>
          <w:snapToGrid w:val="0"/>
          <w:kern w:val="0"/>
          <w:szCs w:val="22"/>
        </w:rPr>
        <w:t xml:space="preserve">第五章 </w:t>
      </w:r>
      <w:r>
        <w:rPr>
          <w:rFonts w:eastAsia="仿宋_GB2312" w:cstheme="minorBidi"/>
          <w:b/>
          <w:bCs/>
          <w:snapToGrid w:val="0"/>
          <w:kern w:val="0"/>
          <w:szCs w:val="32"/>
        </w:rPr>
        <w:t xml:space="preserve"> </w:t>
      </w:r>
      <w:r>
        <w:rPr>
          <w:rStyle w:val="13"/>
          <w:rFonts w:ascii="黑体" w:hAnsi="黑体" w:eastAsia="黑体" w:cs="黑体"/>
          <w:b w:val="0"/>
          <w:bCs/>
          <w:snapToGrid w:val="0"/>
          <w:kern w:val="0"/>
          <w:szCs w:val="22"/>
        </w:rPr>
        <w:t>竣工验收</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竣工联合验收办理时限为10个工作日。自综合窗口接件后第二个工作日起计算，至各部门验收意见综合窗口签收结束。</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由住建部门组织城管、规划等部门进行竣工联合验收。统一验收竣工图纸、统一验收标准、统一出具验收意见。对于验收涉及的测量工作，实行一次委托、统一测绘、统一成果审核、统一汇交管理、成果共享。</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竣工联合验收工作实行网上平台办理与现场工作结合的模式。依托工改系统，对竣工联合验收工作实行网上监督、实时预警、绩效考核。</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实行工程项目竣工预审预验制度，在预验收时，规划、城管、住建等部门提前介入，提前预审施工档案资料，参与部分专项工程验收，出具预审或预验意见，同时各专项验收职能部门要加强项目实施事中事后监管，将涉及消防、规划等容易违规且影响竣工验收的分部分项工程纳入日常重点监督，确保联合验收通过质量。</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竣工联合验收和竣工验收备案合并办理。建设工程项目具备验收条件后，即可申请竣工联合验收工作，各行政主管部门应在规定时限内，通过工改系统受理申请、填写验收意见，各行政主管部门意见齐全后，工改系统自动生成联合验收意见书。联合验收通过后，工改系统自动进行备案并推送至各行政主管部门和各有关企业保存和管理，实现信息共享。</w:t>
      </w:r>
    </w:p>
    <w:p>
      <w:pPr>
        <w:rPr>
          <w:rFonts w:hint="eastAsia"/>
        </w:rPr>
      </w:pPr>
    </w:p>
    <w:p>
      <w:pPr>
        <w:pStyle w:val="4"/>
        <w:adjustRightInd w:val="0"/>
        <w:snapToGrid w:val="0"/>
        <w:ind w:firstLine="0" w:firstLineChars="0"/>
        <w:jc w:val="center"/>
        <w:rPr>
          <w:rStyle w:val="13"/>
          <w:rFonts w:hint="default" w:ascii="黑体" w:hAnsi="黑体" w:eastAsia="黑体" w:cs="黑体"/>
          <w:b w:val="0"/>
          <w:bCs/>
          <w:snapToGrid w:val="0"/>
          <w:kern w:val="0"/>
          <w:szCs w:val="22"/>
        </w:rPr>
      </w:pPr>
      <w:r>
        <w:rPr>
          <w:rStyle w:val="13"/>
          <w:rFonts w:ascii="黑体" w:hAnsi="黑体" w:eastAsia="黑体" w:cs="黑体"/>
          <w:b w:val="0"/>
          <w:bCs/>
          <w:snapToGrid w:val="0"/>
          <w:kern w:val="0"/>
          <w:szCs w:val="22"/>
        </w:rPr>
        <w:t>第七章 多测合一</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zh-Hans" w:eastAsia="zh-CN"/>
        </w:rPr>
        <w:t>通过“多测合一”信息管理平台，</w:t>
      </w:r>
      <w:r>
        <w:rPr>
          <w:rFonts w:hint="eastAsia" w:ascii="宋体" w:hAnsi="宋体" w:eastAsia="仿宋_GB2312" w:cs="仿宋_GB2312"/>
          <w:snapToGrid w:val="0"/>
          <w:kern w:val="0"/>
          <w:sz w:val="32"/>
          <w:szCs w:val="32"/>
          <w:lang w:val="en-US" w:eastAsia="zh-CN"/>
        </w:rPr>
        <w:t>实现“一次委托、联合测绘、成果共享”的工作目标。</w:t>
      </w:r>
    </w:p>
    <w:p>
      <w:pPr>
        <w:numPr>
          <w:ilvl w:val="2"/>
          <w:numId w:val="1"/>
        </w:numPr>
        <w:tabs>
          <w:tab w:val="left" w:pos="0"/>
        </w:tabs>
        <w:adjustRightInd w:val="0"/>
        <w:snapToGrid w:val="0"/>
        <w:spacing w:line="570" w:lineRule="exact"/>
        <w:ind w:left="0" w:leftChars="0" w:firstLine="402" w:firstLineChars="0"/>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zh-Hans" w:eastAsia="zh-CN"/>
        </w:rPr>
        <w:t xml:space="preserve">建立统一的“多测合一”技术标准。 </w:t>
      </w:r>
      <w:r>
        <w:rPr>
          <w:rFonts w:hint="eastAsia" w:ascii="宋体" w:hAnsi="宋体" w:eastAsia="仿宋_GB2312" w:cs="仿宋_GB2312"/>
          <w:snapToGrid w:val="0"/>
          <w:kern w:val="0"/>
          <w:sz w:val="32"/>
          <w:szCs w:val="32"/>
          <w:lang w:val="en-US" w:eastAsia="zh-CN"/>
        </w:rPr>
        <w:t>强化“多测合一”事中事后监管。加大对“多测合一”监管力度，规范“多测合一”行为，开展“双随机一公开”检查或专项检查，依法查处违规行为，推进检查结果、 处理处罚情况共享。</w:t>
      </w:r>
    </w:p>
    <w:p>
      <w:pPr>
        <w:pStyle w:val="14"/>
        <w:rPr>
          <w:rFonts w:hint="eastAsia"/>
        </w:rPr>
      </w:pPr>
    </w:p>
    <w:p>
      <w:pPr>
        <w:pStyle w:val="4"/>
        <w:adjustRightInd w:val="0"/>
        <w:snapToGrid w:val="0"/>
        <w:ind w:firstLine="0" w:firstLineChars="0"/>
        <w:jc w:val="center"/>
        <w:rPr>
          <w:rStyle w:val="13"/>
          <w:rFonts w:hint="default" w:ascii="黑体" w:hAnsi="黑体" w:eastAsia="黑体" w:cs="黑体"/>
          <w:bCs/>
          <w:snapToGrid w:val="0"/>
          <w:kern w:val="0"/>
          <w:szCs w:val="22"/>
        </w:rPr>
      </w:pPr>
      <w:r>
        <w:rPr>
          <w:rStyle w:val="13"/>
          <w:rFonts w:ascii="黑体" w:hAnsi="黑体" w:eastAsia="黑体" w:cs="黑体"/>
          <w:bCs/>
          <w:snapToGrid w:val="0"/>
          <w:kern w:val="0"/>
          <w:szCs w:val="22"/>
        </w:rPr>
        <w:t>第九章 多评合一</w:t>
      </w:r>
    </w:p>
    <w:p>
      <w:pPr>
        <w:pStyle w:val="14"/>
        <w:rPr>
          <w:rFonts w:hint="eastAsia"/>
          <w:spacing w:val="-3"/>
          <w:lang w:val="zh-Hans"/>
        </w:rPr>
      </w:pPr>
      <w:r>
        <w:rPr>
          <w:rStyle w:val="13"/>
          <w:rFonts w:hint="eastAsia" w:ascii="黑体" w:hAnsi="黑体" w:eastAsia="黑体" w:cs="黑体"/>
          <w:b w:val="0"/>
          <w:bCs/>
          <w:snapToGrid w:val="0"/>
          <w:kern w:val="0"/>
        </w:rPr>
        <w:t>第</w:t>
      </w:r>
      <w:r>
        <w:rPr>
          <w:rStyle w:val="13"/>
          <w:rFonts w:hint="eastAsia" w:ascii="黑体" w:hAnsi="黑体" w:eastAsia="黑体" w:cs="黑体"/>
          <w:b w:val="0"/>
          <w:bCs/>
          <w:snapToGrid w:val="0"/>
          <w:kern w:val="0"/>
          <w:lang w:val="en-US" w:eastAsia="zh-CN"/>
        </w:rPr>
        <w:t>三十六条</w:t>
      </w:r>
      <w:r>
        <w:rPr>
          <w:rStyle w:val="13"/>
          <w:rFonts w:hint="eastAsia" w:ascii="黑体" w:hAnsi="黑体" w:eastAsia="黑体" w:cs="黑体"/>
          <w:bCs/>
          <w:szCs w:val="22"/>
        </w:rPr>
        <w:t xml:space="preserve"> </w:t>
      </w:r>
      <w:r>
        <w:rPr>
          <w:rStyle w:val="13"/>
          <w:rFonts w:ascii="黑体" w:hAnsi="黑体" w:eastAsia="黑体" w:cs="黑体"/>
          <w:bCs/>
          <w:szCs w:val="22"/>
        </w:rPr>
        <w:t xml:space="preserve"> </w:t>
      </w:r>
      <w:r>
        <w:rPr>
          <w:lang w:val="zh-Hans"/>
        </w:rPr>
        <w:t>明确区域。现有恩施高新区、各县市开发区（工业园</w:t>
      </w:r>
      <w:r>
        <w:rPr>
          <w:spacing w:val="-3"/>
          <w:lang w:val="zh-Hans"/>
        </w:rPr>
        <w:t>区）区域范围内必须全面实施区域评估制度，并鼓励恩施高新区、</w:t>
      </w:r>
      <w:r>
        <w:rPr>
          <w:rFonts w:hint="eastAsia"/>
          <w:spacing w:val="-3"/>
          <w:lang w:val="zh-Hans"/>
        </w:rPr>
        <w:t>各县市自行确定拓展区域全面推行区域评估制度。</w:t>
      </w:r>
    </w:p>
    <w:p>
      <w:pPr>
        <w:pStyle w:val="14"/>
      </w:pPr>
      <w:r>
        <w:rPr>
          <w:rStyle w:val="13"/>
          <w:rFonts w:hint="eastAsia" w:ascii="黑体" w:hAnsi="黑体" w:eastAsia="黑体" w:cs="黑体"/>
          <w:b w:val="0"/>
          <w:bCs/>
          <w:snapToGrid w:val="0"/>
          <w:kern w:val="0"/>
        </w:rPr>
        <w:t>第</w:t>
      </w:r>
      <w:r>
        <w:rPr>
          <w:rStyle w:val="13"/>
          <w:rFonts w:hint="eastAsia" w:ascii="黑体" w:hAnsi="黑体" w:eastAsia="黑体" w:cs="黑体"/>
          <w:b w:val="0"/>
          <w:bCs/>
          <w:snapToGrid w:val="0"/>
          <w:kern w:val="0"/>
          <w:lang w:val="en-US" w:eastAsia="zh-CN"/>
        </w:rPr>
        <w:t xml:space="preserve">三十七条 </w:t>
      </w:r>
      <w:r>
        <w:t>报告编制。由恩施高新区、各县市按程序委托具备相应资质的机构编制地震安全性评价、地质灾害危险性评估、环境影响评价、节能评价、防洪影响评价、水土保持、取水许可、矿产覆盖、文物保护、气候可行性等报告书，并报相应行业主管部门审批。</w:t>
      </w:r>
    </w:p>
    <w:p>
      <w:pPr>
        <w:pStyle w:val="14"/>
        <w:rPr>
          <w:rStyle w:val="15"/>
        </w:rPr>
      </w:pPr>
      <w:r>
        <w:rPr>
          <w:rStyle w:val="13"/>
          <w:rFonts w:hint="eastAsia" w:ascii="黑体" w:hAnsi="黑体" w:eastAsia="黑体" w:cs="黑体"/>
          <w:b w:val="0"/>
          <w:bCs/>
          <w:snapToGrid w:val="0"/>
          <w:kern w:val="0"/>
        </w:rPr>
        <w:t>第</w:t>
      </w:r>
      <w:r>
        <w:rPr>
          <w:rStyle w:val="13"/>
          <w:rFonts w:hint="eastAsia" w:ascii="黑体" w:hAnsi="黑体" w:eastAsia="黑体" w:cs="黑体"/>
          <w:b w:val="0"/>
          <w:bCs/>
          <w:snapToGrid w:val="0"/>
          <w:kern w:val="0"/>
          <w:lang w:val="en-US" w:eastAsia="zh-CN"/>
        </w:rPr>
        <w:t>三十八</w:t>
      </w:r>
      <w:r>
        <w:rPr>
          <w:rStyle w:val="13"/>
          <w:rFonts w:hint="eastAsia" w:ascii="黑体" w:hAnsi="黑体" w:eastAsia="黑体" w:cs="黑体"/>
          <w:b w:val="0"/>
          <w:bCs/>
          <w:snapToGrid w:val="0"/>
          <w:kern w:val="0"/>
        </w:rPr>
        <w:t>条</w:t>
      </w:r>
      <w:r>
        <w:rPr>
          <w:rFonts w:hint="eastAsia"/>
        </w:rPr>
        <w:t xml:space="preserve"> </w:t>
      </w:r>
      <w:r>
        <w:rPr>
          <w:rStyle w:val="15"/>
        </w:rPr>
        <w:t>报告</w:t>
      </w:r>
      <w:r>
        <w:rPr>
          <w:rStyle w:val="15"/>
          <w:rFonts w:hint="eastAsia"/>
          <w:lang w:eastAsia="zh-CN"/>
        </w:rPr>
        <w:t>审批</w:t>
      </w:r>
      <w:r>
        <w:rPr>
          <w:rStyle w:val="15"/>
        </w:rPr>
        <w:t>。州发改委、州自然资源和规划局、州生态环境局、州水利和湖泊局、州文化和旅游局、州气象局等部门根据职能行职责对区域评估事项进行管理，组织衔接省相关部门对恩施高新区、各县市提交的相关报告书开展审批或评估等工作， 并出具意见或批复。</w:t>
      </w:r>
    </w:p>
    <w:p>
      <w:pPr>
        <w:pStyle w:val="14"/>
        <w:rPr>
          <w:lang w:val="zh-Hans"/>
        </w:rPr>
      </w:pPr>
      <w:r>
        <w:rPr>
          <w:rStyle w:val="13"/>
          <w:rFonts w:hint="eastAsia" w:ascii="黑体" w:hAnsi="黑体" w:eastAsia="黑体" w:cs="黑体"/>
          <w:b w:val="0"/>
          <w:bCs/>
          <w:snapToGrid w:val="0"/>
          <w:kern w:val="0"/>
        </w:rPr>
        <w:t>第</w:t>
      </w:r>
      <w:r>
        <w:rPr>
          <w:rStyle w:val="13"/>
          <w:rFonts w:hint="eastAsia" w:ascii="黑体" w:hAnsi="黑体" w:eastAsia="黑体" w:cs="黑体"/>
          <w:b w:val="0"/>
          <w:bCs/>
          <w:snapToGrid w:val="0"/>
          <w:kern w:val="0"/>
          <w:lang w:val="en-US" w:eastAsia="zh-CN"/>
        </w:rPr>
        <w:t>三十九</w:t>
      </w:r>
      <w:r>
        <w:rPr>
          <w:rStyle w:val="13"/>
          <w:rFonts w:hint="eastAsia" w:ascii="黑体" w:hAnsi="黑体" w:eastAsia="黑体" w:cs="黑体"/>
          <w:b w:val="0"/>
          <w:bCs/>
          <w:snapToGrid w:val="0"/>
          <w:kern w:val="0"/>
        </w:rPr>
        <w:t>条</w:t>
      </w:r>
      <w:r>
        <w:rPr>
          <w:rStyle w:val="15"/>
          <w:rFonts w:hint="eastAsia"/>
        </w:rPr>
        <w:t xml:space="preserve"> </w:t>
      </w:r>
      <w:r>
        <w:rPr>
          <w:rStyle w:val="15"/>
        </w:rPr>
        <w:t xml:space="preserve"> </w:t>
      </w:r>
      <w:r>
        <w:rPr>
          <w:lang w:val="zh-Hans"/>
        </w:rPr>
        <w:t>成果运用。区域范围内符合整体规划和功能定位的投资项目均可共享区域评估结果，单个项目不再进行相关的专项评估工作；对于不符合区域评估结果使用条件的特殊功能项目，按照法律法规规定进行单独评估评审。</w:t>
      </w:r>
    </w:p>
    <w:p>
      <w:pPr>
        <w:pStyle w:val="14"/>
      </w:pPr>
      <w:r>
        <w:rPr>
          <w:rStyle w:val="13"/>
          <w:rFonts w:hint="eastAsia" w:ascii="黑体" w:hAnsi="黑体" w:eastAsia="黑体" w:cs="黑体"/>
          <w:b w:val="0"/>
          <w:bCs/>
          <w:snapToGrid w:val="0"/>
          <w:kern w:val="0"/>
        </w:rPr>
        <w:t>第</w:t>
      </w:r>
      <w:r>
        <w:rPr>
          <w:rStyle w:val="13"/>
          <w:rFonts w:hint="eastAsia" w:ascii="黑体" w:hAnsi="黑体" w:eastAsia="黑体" w:cs="黑体"/>
          <w:b w:val="0"/>
          <w:bCs/>
          <w:snapToGrid w:val="0"/>
          <w:kern w:val="0"/>
          <w:lang w:val="en-US" w:eastAsia="zh-CN"/>
        </w:rPr>
        <w:t>四十</w:t>
      </w:r>
      <w:r>
        <w:rPr>
          <w:rStyle w:val="13"/>
          <w:rFonts w:hint="eastAsia" w:ascii="黑体" w:hAnsi="黑体" w:eastAsia="黑体" w:cs="黑体"/>
          <w:b w:val="0"/>
          <w:bCs/>
          <w:snapToGrid w:val="0"/>
          <w:kern w:val="0"/>
        </w:rPr>
        <w:t>条</w:t>
      </w:r>
      <w:r>
        <w:rPr>
          <w:rFonts w:hint="eastAsia"/>
        </w:rPr>
        <w:t xml:space="preserve"> </w:t>
      </w:r>
      <w:r>
        <w:t xml:space="preserve"> 恩施高新区、各县市人民政府负责组织辖区范围内的环境影响评价、矿产压覆、地质灾害危险性、地震安全性、水土保持、洪水影响、文物保护、气候可行性、取水许可、节能评价等区域评估工作，落实工作经费保障，确保按时完成区域评估工</w:t>
      </w:r>
      <w:r>
        <w:rPr>
          <w:rFonts w:hint="eastAsia"/>
        </w:rPr>
        <w:t>作。</w:t>
      </w:r>
    </w:p>
    <w:p>
      <w:pPr>
        <w:pStyle w:val="14"/>
        <w:ind w:firstLine="640"/>
        <w:rPr>
          <w:rStyle w:val="15"/>
          <w:rFonts w:hint="eastAsia"/>
          <w:lang w:eastAsia="zh-Hans"/>
        </w:rPr>
      </w:pPr>
    </w:p>
    <w:p>
      <w:pPr>
        <w:pStyle w:val="4"/>
        <w:adjustRightInd w:val="0"/>
        <w:snapToGrid w:val="0"/>
        <w:ind w:firstLine="0" w:firstLineChars="0"/>
        <w:jc w:val="center"/>
        <w:rPr>
          <w:rStyle w:val="13"/>
          <w:rFonts w:hint="default" w:ascii="黑体" w:hAnsi="黑体" w:eastAsia="黑体" w:cs="黑体"/>
          <w:b w:val="0"/>
          <w:bCs/>
          <w:snapToGrid w:val="0"/>
          <w:kern w:val="0"/>
          <w:szCs w:val="22"/>
        </w:rPr>
      </w:pPr>
      <w:r>
        <w:rPr>
          <w:rStyle w:val="13"/>
          <w:rFonts w:ascii="黑体" w:hAnsi="黑体" w:eastAsia="黑体" w:cs="黑体"/>
          <w:b w:val="0"/>
          <w:bCs/>
          <w:snapToGrid w:val="0"/>
          <w:kern w:val="0"/>
          <w:szCs w:val="22"/>
        </w:rPr>
        <w:t xml:space="preserve">第六章 </w:t>
      </w:r>
      <w:r>
        <w:rPr>
          <w:rFonts w:eastAsia="仿宋_GB2312" w:cstheme="minorBidi"/>
          <w:b/>
          <w:bCs/>
          <w:snapToGrid w:val="0"/>
          <w:kern w:val="0"/>
          <w:szCs w:val="32"/>
        </w:rPr>
        <w:t xml:space="preserve"> </w:t>
      </w:r>
      <w:r>
        <w:rPr>
          <w:rStyle w:val="13"/>
          <w:rFonts w:ascii="黑体" w:hAnsi="黑体" w:eastAsia="黑体" w:cs="黑体"/>
          <w:b w:val="0"/>
          <w:bCs/>
          <w:snapToGrid w:val="0"/>
          <w:kern w:val="0"/>
          <w:szCs w:val="22"/>
        </w:rPr>
        <w:t>附</w:t>
      </w:r>
      <w:r>
        <w:rPr>
          <w:rStyle w:val="13"/>
          <w:rFonts w:ascii="黑体" w:hAnsi="黑体" w:cs="黑体"/>
          <w:b w:val="0"/>
          <w:bCs/>
          <w:snapToGrid w:val="0"/>
          <w:kern w:val="0"/>
          <w:szCs w:val="22"/>
        </w:rPr>
        <w:t xml:space="preserve">  </w:t>
      </w:r>
      <w:r>
        <w:rPr>
          <w:rStyle w:val="13"/>
          <w:rFonts w:ascii="黑体" w:hAnsi="黑体" w:eastAsia="黑体" w:cs="黑体"/>
          <w:b w:val="0"/>
          <w:bCs/>
          <w:snapToGrid w:val="0"/>
          <w:kern w:val="0"/>
          <w:szCs w:val="22"/>
        </w:rPr>
        <w:t>则</w:t>
      </w:r>
    </w:p>
    <w:p>
      <w:pPr>
        <w:adjustRightInd w:val="0"/>
        <w:snapToGrid w:val="0"/>
        <w:spacing w:line="570" w:lineRule="exact"/>
        <w:rPr>
          <w:rFonts w:ascii="宋体" w:hAnsi="宋体"/>
          <w:snapToGrid w:val="0"/>
          <w:kern w:val="0"/>
        </w:rPr>
      </w:pPr>
    </w:p>
    <w:p>
      <w:pPr>
        <w:adjustRightInd w:val="0"/>
        <w:snapToGrid w:val="0"/>
        <w:spacing w:line="570" w:lineRule="exact"/>
        <w:ind w:firstLine="640" w:firstLineChars="200"/>
        <w:rPr>
          <w:rFonts w:ascii="宋体" w:hAnsi="宋体" w:eastAsia="仿宋_GB2312" w:cs="仿宋_GB2312"/>
          <w:snapToGrid w:val="0"/>
          <w:kern w:val="0"/>
          <w:sz w:val="32"/>
          <w:szCs w:val="32"/>
        </w:rPr>
      </w:pPr>
      <w:r>
        <w:rPr>
          <w:rStyle w:val="13"/>
          <w:rFonts w:hint="eastAsia" w:ascii="黑体" w:hAnsi="黑体" w:eastAsia="黑体" w:cs="黑体"/>
          <w:b w:val="0"/>
          <w:bCs/>
          <w:snapToGrid w:val="0"/>
          <w:kern w:val="0"/>
        </w:rPr>
        <w:t>第</w:t>
      </w:r>
      <w:r>
        <w:rPr>
          <w:rStyle w:val="13"/>
          <w:rFonts w:hint="eastAsia" w:ascii="黑体" w:hAnsi="黑体" w:eastAsia="黑体" w:cs="黑体"/>
          <w:b w:val="0"/>
          <w:bCs/>
          <w:snapToGrid w:val="0"/>
          <w:kern w:val="0"/>
          <w:lang w:val="en-US" w:eastAsia="zh-CN"/>
        </w:rPr>
        <w:t>四十</w:t>
      </w:r>
      <w:r>
        <w:rPr>
          <w:rStyle w:val="13"/>
          <w:rFonts w:hint="eastAsia" w:ascii="黑体" w:hAnsi="黑体" w:eastAsia="黑体" w:cs="黑体"/>
          <w:b w:val="0"/>
          <w:bCs/>
          <w:snapToGrid w:val="0"/>
          <w:kern w:val="0"/>
        </w:rPr>
        <w:t>一条</w:t>
      </w:r>
      <w:r>
        <w:rPr>
          <w:rStyle w:val="13"/>
          <w:rFonts w:hint="eastAsia" w:ascii="黑体" w:hAnsi="黑体" w:eastAsia="黑体" w:cs="黑体"/>
          <w:b w:val="0"/>
          <w:bCs/>
          <w:snapToGrid w:val="0"/>
          <w:kern w:val="0"/>
          <w:szCs w:val="22"/>
        </w:rPr>
        <w:t xml:space="preserve"> </w:t>
      </w:r>
      <w:r>
        <w:rPr>
          <w:rFonts w:hint="eastAsia" w:ascii="宋体" w:hAnsi="宋体" w:eastAsia="仿宋_GB2312"/>
          <w:b/>
          <w:bCs/>
          <w:snapToGrid w:val="0"/>
          <w:kern w:val="0"/>
          <w:sz w:val="32"/>
          <w:szCs w:val="32"/>
        </w:rPr>
        <w:t xml:space="preserve"> </w:t>
      </w:r>
      <w:r>
        <w:rPr>
          <w:rFonts w:hint="eastAsia" w:ascii="宋体" w:hAnsi="宋体" w:eastAsia="仿宋_GB2312" w:cs="仿宋_GB2312"/>
          <w:snapToGrid w:val="0"/>
          <w:kern w:val="0"/>
          <w:sz w:val="32"/>
          <w:szCs w:val="32"/>
        </w:rPr>
        <w:t>本办法没有规定的配套措施按照《关于印发恩施州工程建设项目审批事项清单、项目分类条件及流程图（试行）的通知》（</w:t>
      </w:r>
      <w:r>
        <w:rPr>
          <w:rFonts w:hint="eastAsia" w:ascii="宋体" w:hAnsi="宋体" w:eastAsia="仿宋_GB2312" w:cs="仿宋_GB2312"/>
          <w:snapToGrid w:val="0"/>
          <w:kern w:val="0"/>
          <w:sz w:val="32"/>
          <w:szCs w:val="32"/>
          <w:highlight w:val="yellow"/>
        </w:rPr>
        <w:t>XXX</w:t>
      </w:r>
      <w:r>
        <w:rPr>
          <w:rFonts w:hint="eastAsia" w:ascii="宋体" w:hAnsi="宋体" w:eastAsia="仿宋_GB2312" w:cs="仿宋_GB2312"/>
          <w:snapToGrid w:val="0"/>
          <w:kern w:val="0"/>
          <w:sz w:val="32"/>
          <w:szCs w:val="32"/>
        </w:rPr>
        <w:t>）相关规定执行。</w:t>
      </w:r>
    </w:p>
    <w:p>
      <w:pPr>
        <w:adjustRightInd w:val="0"/>
        <w:snapToGrid w:val="0"/>
        <w:spacing w:line="570" w:lineRule="exact"/>
        <w:ind w:firstLine="640" w:firstLineChars="200"/>
        <w:rPr>
          <w:rFonts w:ascii="宋体" w:hAnsi="宋体" w:eastAsia="仿宋_GB2312" w:cs="仿宋_GB2312"/>
          <w:snapToGrid w:val="0"/>
          <w:kern w:val="0"/>
          <w:sz w:val="32"/>
          <w:szCs w:val="32"/>
        </w:rPr>
      </w:pPr>
      <w:r>
        <w:rPr>
          <w:rStyle w:val="13"/>
          <w:rFonts w:hint="eastAsia" w:ascii="黑体" w:hAnsi="黑体" w:eastAsia="黑体" w:cs="黑体"/>
          <w:b w:val="0"/>
          <w:bCs/>
          <w:snapToGrid w:val="0"/>
          <w:kern w:val="0"/>
        </w:rPr>
        <w:t>第</w:t>
      </w:r>
      <w:r>
        <w:rPr>
          <w:rStyle w:val="13"/>
          <w:rFonts w:hint="eastAsia" w:ascii="黑体" w:hAnsi="黑体" w:eastAsia="黑体" w:cs="黑体"/>
          <w:b w:val="0"/>
          <w:bCs/>
          <w:snapToGrid w:val="0"/>
          <w:kern w:val="0"/>
          <w:lang w:val="en-US" w:eastAsia="zh-CN"/>
        </w:rPr>
        <w:t>四十二</w:t>
      </w:r>
      <w:bookmarkStart w:id="0" w:name="_GoBack"/>
      <w:bookmarkEnd w:id="0"/>
      <w:r>
        <w:rPr>
          <w:rStyle w:val="13"/>
          <w:rFonts w:hint="eastAsia" w:ascii="黑体" w:hAnsi="黑体" w:eastAsia="黑体" w:cs="黑体"/>
          <w:b w:val="0"/>
          <w:bCs/>
          <w:snapToGrid w:val="0"/>
          <w:kern w:val="0"/>
        </w:rPr>
        <w:t>条</w:t>
      </w:r>
      <w:r>
        <w:rPr>
          <w:rFonts w:hint="eastAsia" w:ascii="宋体" w:hAnsi="宋体" w:eastAsia="仿宋_GB2312"/>
          <w:b/>
          <w:bCs/>
          <w:snapToGrid w:val="0"/>
          <w:kern w:val="0"/>
          <w:sz w:val="32"/>
          <w:szCs w:val="32"/>
        </w:rPr>
        <w:t xml:space="preserve">  </w:t>
      </w:r>
      <w:r>
        <w:rPr>
          <w:rFonts w:hint="eastAsia" w:ascii="宋体" w:hAnsi="宋体" w:eastAsia="仿宋_GB2312" w:cs="仿宋_GB2312"/>
          <w:snapToGrid w:val="0"/>
          <w:kern w:val="0"/>
          <w:sz w:val="32"/>
          <w:szCs w:val="32"/>
        </w:rPr>
        <w:t>本办法自公布之日起执行，试行期为一年。</w:t>
      </w:r>
    </w:p>
    <w:p>
      <w:pPr>
        <w:pStyle w:val="8"/>
        <w:spacing w:before="150" w:beforeAutospacing="0" w:after="150" w:afterAutospacing="0" w:line="620" w:lineRule="exact"/>
        <w:ind w:firstLine="664"/>
        <w:jc w:val="both"/>
        <w:rPr>
          <w:rFonts w:ascii="仿宋_GB2312" w:hAnsi="仿宋_GB2312" w:eastAsia="仿宋_GB2312" w:cs="仿宋_GB2312"/>
          <w:sz w:val="32"/>
          <w:szCs w:val="32"/>
        </w:rPr>
      </w:pPr>
    </w:p>
    <w:p>
      <w:pPr>
        <w:jc w:val="center"/>
        <w:rPr>
          <w:rFonts w:ascii="黑体" w:hAnsi="黑体" w:eastAsia="黑体" w:cs="黑体"/>
          <w:snapToGrid w:val="0"/>
          <w:kern w:val="0"/>
          <w:sz w:val="44"/>
          <w:szCs w:val="44"/>
        </w:rPr>
      </w:pPr>
    </w:p>
    <w:p>
      <w:pPr>
        <w:pStyle w:val="2"/>
        <w:rPr>
          <w:rFonts w:ascii="黑体" w:hAnsi="黑体" w:eastAsia="黑体" w:cs="黑体"/>
          <w:snapToGrid w:val="0"/>
          <w:kern w:val="0"/>
          <w:sz w:val="44"/>
          <w:szCs w:val="44"/>
        </w:rPr>
      </w:pPr>
    </w:p>
    <w:p>
      <w:pPr>
        <w:rPr>
          <w:rFonts w:ascii="黑体" w:hAnsi="黑体" w:eastAsia="黑体" w:cs="黑体"/>
          <w:snapToGrid w:val="0"/>
          <w:kern w:val="0"/>
          <w:sz w:val="44"/>
          <w:szCs w:val="44"/>
        </w:rPr>
      </w:pPr>
    </w:p>
    <w:p>
      <w:pPr>
        <w:pStyle w:val="2"/>
        <w:rPr>
          <w:rFonts w:ascii="黑体" w:hAnsi="黑体" w:eastAsia="黑体" w:cs="黑体"/>
          <w:snapToGrid w:val="0"/>
          <w:kern w:val="0"/>
          <w:sz w:val="44"/>
          <w:szCs w:val="44"/>
        </w:rPr>
      </w:pPr>
    </w:p>
    <w:p>
      <w:pPr>
        <w:rPr>
          <w:rFonts w:ascii="黑体" w:hAnsi="黑体" w:eastAsia="黑体" w:cs="黑体"/>
          <w:snapToGrid w:val="0"/>
          <w:kern w:val="0"/>
          <w:sz w:val="44"/>
          <w:szCs w:val="44"/>
        </w:rPr>
      </w:pPr>
    </w:p>
    <w:p>
      <w:pPr>
        <w:pStyle w:val="2"/>
        <w:rPr>
          <w:rFonts w:ascii="黑体" w:hAnsi="黑体" w:eastAsia="黑体" w:cs="黑体"/>
          <w:snapToGrid w:val="0"/>
          <w:kern w:val="0"/>
          <w:sz w:val="44"/>
          <w:szCs w:val="44"/>
        </w:rPr>
      </w:pPr>
    </w:p>
    <w:p>
      <w:pPr>
        <w:rPr>
          <w:rFonts w:ascii="黑体" w:hAnsi="黑体" w:eastAsia="黑体" w:cs="黑体"/>
          <w:snapToGrid w:val="0"/>
          <w:kern w:val="0"/>
          <w:sz w:val="44"/>
          <w:szCs w:val="44"/>
        </w:rPr>
      </w:pPr>
    </w:p>
    <w:p>
      <w:pPr>
        <w:pStyle w:val="2"/>
        <w:rPr>
          <w:rFonts w:ascii="黑体" w:hAnsi="黑体" w:eastAsia="黑体" w:cs="黑体"/>
          <w:snapToGrid w:val="0"/>
          <w:kern w:val="0"/>
          <w:sz w:val="44"/>
          <w:szCs w:val="44"/>
        </w:rPr>
      </w:pPr>
    </w:p>
    <w:p>
      <w:pPr>
        <w:rPr>
          <w:rFonts w:ascii="黑体" w:hAnsi="黑体" w:eastAsia="黑体" w:cs="黑体"/>
          <w:snapToGrid w:val="0"/>
          <w:kern w:val="0"/>
          <w:sz w:val="44"/>
          <w:szCs w:val="44"/>
        </w:rPr>
      </w:pPr>
    </w:p>
    <w:p>
      <w:pPr>
        <w:pStyle w:val="2"/>
        <w:rPr>
          <w:rFonts w:ascii="黑体" w:hAnsi="黑体" w:eastAsia="黑体" w:cs="黑体"/>
          <w:snapToGrid w:val="0"/>
          <w:kern w:val="0"/>
          <w:sz w:val="44"/>
          <w:szCs w:val="44"/>
        </w:rPr>
      </w:pPr>
    </w:p>
    <w:p/>
    <w:p/>
    <w:p>
      <w:pPr>
        <w:spacing w:line="640" w:lineRule="exact"/>
        <w:jc w:val="center"/>
        <w:rPr>
          <w:rFonts w:hint="eastAsia" w:ascii="华文中宋" w:hAnsi="华文中宋" w:eastAsia="华文中宋"/>
          <w:color w:val="000000"/>
          <w:sz w:val="44"/>
          <w:szCs w:val="44"/>
        </w:rPr>
      </w:pPr>
      <w:r>
        <w:rPr>
          <w:rFonts w:hint="eastAsia" w:ascii="华文中宋" w:hAnsi="华文中宋" w:eastAsia="华文中宋"/>
          <w:color w:val="000000"/>
          <w:sz w:val="44"/>
          <w:szCs w:val="44"/>
        </w:rPr>
        <w:t>附件：恩施州深化</w:t>
      </w:r>
      <w:r>
        <w:rPr>
          <w:rFonts w:hint="eastAsia" w:ascii="华文中宋" w:hAnsi="华文中宋" w:eastAsia="华文中宋"/>
          <w:color w:val="000000"/>
          <w:sz w:val="44"/>
          <w:szCs w:val="44"/>
          <w:lang w:eastAsia="zh-CN"/>
        </w:rPr>
        <w:t>“</w:t>
      </w:r>
      <w:r>
        <w:rPr>
          <w:rFonts w:hint="eastAsia" w:ascii="华文中宋" w:hAnsi="华文中宋" w:eastAsia="华文中宋"/>
          <w:color w:val="000000"/>
          <w:sz w:val="44"/>
          <w:szCs w:val="44"/>
          <w:lang w:val="en-US" w:eastAsia="zh-CN"/>
        </w:rPr>
        <w:t>753”</w:t>
      </w:r>
      <w:r>
        <w:rPr>
          <w:rFonts w:hint="eastAsia" w:ascii="华文中宋" w:hAnsi="华文中宋" w:eastAsia="华文中宋"/>
          <w:color w:val="000000"/>
          <w:sz w:val="44"/>
          <w:szCs w:val="44"/>
        </w:rPr>
        <w:t>工程建设项目</w:t>
      </w:r>
    </w:p>
    <w:p>
      <w:pPr>
        <w:spacing w:line="640" w:lineRule="exact"/>
        <w:jc w:val="center"/>
        <w:rPr>
          <w:rFonts w:ascii="华文中宋" w:hAnsi="华文中宋" w:eastAsia="华文中宋"/>
          <w:color w:val="000000"/>
          <w:sz w:val="44"/>
          <w:szCs w:val="44"/>
        </w:rPr>
      </w:pPr>
      <w:r>
        <w:rPr>
          <w:rFonts w:hint="eastAsia" w:ascii="华文中宋" w:hAnsi="华文中宋" w:eastAsia="华文中宋"/>
          <w:color w:val="000000"/>
          <w:sz w:val="44"/>
          <w:szCs w:val="44"/>
        </w:rPr>
        <w:t>审批制度改革事项清单（试行）</w:t>
      </w:r>
    </w:p>
    <w:tbl>
      <w:tblPr>
        <w:tblStyle w:val="9"/>
        <w:tblW w:w="9092"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3"/>
        <w:gridCol w:w="2028"/>
        <w:gridCol w:w="3506"/>
        <w:gridCol w:w="2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93" w:type="dxa"/>
            <w:shd w:val="clear" w:color="auto" w:fill="auto"/>
            <w:vAlign w:val="center"/>
          </w:tcPr>
          <w:p>
            <w:pPr>
              <w:widowControl/>
              <w:jc w:val="center"/>
              <w:rPr>
                <w:rFonts w:ascii="微软雅黑" w:hAnsi="微软雅黑" w:eastAsia="微软雅黑" w:cs="宋体"/>
                <w:b/>
                <w:bCs/>
                <w:color w:val="000000"/>
                <w:kern w:val="0"/>
                <w:szCs w:val="21"/>
                <w:highlight w:val="none"/>
              </w:rPr>
            </w:pPr>
            <w:r>
              <w:rPr>
                <w:rFonts w:hint="eastAsia" w:ascii="微软雅黑" w:hAnsi="微软雅黑" w:eastAsia="微软雅黑" w:cs="宋体"/>
                <w:b/>
                <w:bCs/>
                <w:color w:val="000000"/>
                <w:kern w:val="0"/>
                <w:szCs w:val="21"/>
                <w:highlight w:val="none"/>
              </w:rPr>
              <w:t>序号</w:t>
            </w:r>
          </w:p>
        </w:tc>
        <w:tc>
          <w:tcPr>
            <w:tcW w:w="2028" w:type="dxa"/>
            <w:shd w:val="clear" w:color="auto" w:fill="auto"/>
            <w:vAlign w:val="center"/>
          </w:tcPr>
          <w:p>
            <w:pPr>
              <w:widowControl/>
              <w:jc w:val="center"/>
              <w:rPr>
                <w:rFonts w:hint="eastAsia" w:ascii="微软雅黑" w:hAnsi="微软雅黑" w:eastAsia="微软雅黑" w:cs="宋体"/>
                <w:b/>
                <w:bCs/>
                <w:color w:val="000000"/>
                <w:kern w:val="0"/>
                <w:szCs w:val="21"/>
                <w:highlight w:val="none"/>
              </w:rPr>
            </w:pPr>
          </w:p>
        </w:tc>
        <w:tc>
          <w:tcPr>
            <w:tcW w:w="3506" w:type="dxa"/>
            <w:shd w:val="clear" w:color="auto" w:fill="auto"/>
            <w:vAlign w:val="center"/>
          </w:tcPr>
          <w:p>
            <w:pPr>
              <w:widowControl/>
              <w:jc w:val="center"/>
              <w:rPr>
                <w:rFonts w:ascii="微软雅黑" w:hAnsi="微软雅黑" w:eastAsia="微软雅黑" w:cs="宋体"/>
                <w:b/>
                <w:bCs/>
                <w:color w:val="000000"/>
                <w:kern w:val="0"/>
                <w:szCs w:val="21"/>
                <w:highlight w:val="none"/>
              </w:rPr>
            </w:pPr>
            <w:r>
              <w:rPr>
                <w:rFonts w:hint="eastAsia" w:ascii="微软雅黑" w:hAnsi="微软雅黑" w:eastAsia="微软雅黑" w:cs="宋体"/>
                <w:b/>
                <w:bCs/>
                <w:color w:val="000000"/>
                <w:kern w:val="0"/>
                <w:szCs w:val="21"/>
                <w:highlight w:val="none"/>
              </w:rPr>
              <w:t>事项</w:t>
            </w:r>
          </w:p>
        </w:tc>
        <w:tc>
          <w:tcPr>
            <w:tcW w:w="2965" w:type="dxa"/>
            <w:shd w:val="clear" w:color="auto" w:fill="auto"/>
            <w:vAlign w:val="center"/>
          </w:tcPr>
          <w:p>
            <w:pPr>
              <w:widowControl/>
              <w:jc w:val="center"/>
              <w:rPr>
                <w:rFonts w:ascii="微软雅黑" w:hAnsi="微软雅黑" w:eastAsia="微软雅黑" w:cs="宋体"/>
                <w:b/>
                <w:bCs/>
                <w:color w:val="000000"/>
                <w:kern w:val="0"/>
                <w:szCs w:val="21"/>
                <w:highlight w:val="none"/>
              </w:rPr>
            </w:pPr>
            <w:r>
              <w:rPr>
                <w:rFonts w:hint="eastAsia" w:ascii="微软雅黑" w:hAnsi="微软雅黑" w:eastAsia="微软雅黑" w:cs="宋体"/>
                <w:b/>
                <w:bCs/>
                <w:color w:val="000000"/>
                <w:kern w:val="0"/>
                <w:szCs w:val="21"/>
                <w:highlight w:val="none"/>
              </w:rPr>
              <w:t>子事项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1</w:t>
            </w:r>
          </w:p>
        </w:tc>
        <w:tc>
          <w:tcPr>
            <w:tcW w:w="2028" w:type="dxa"/>
            <w:vMerge w:val="restart"/>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发改部门</w:t>
            </w:r>
          </w:p>
          <w:p>
            <w:pPr>
              <w:widowControl/>
              <w:spacing w:line="240" w:lineRule="exact"/>
              <w:jc w:val="center"/>
              <w:rPr>
                <w:rFonts w:hint="eastAsia" w:ascii="微软雅黑" w:hAnsi="微软雅黑" w:eastAsia="微软雅黑" w:cs="宋体"/>
                <w:color w:val="000000"/>
                <w:kern w:val="0"/>
                <w:szCs w:val="21"/>
                <w:highlight w:val="none"/>
              </w:rPr>
            </w:pP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政府投资项目可行性研究报告或实施方案审批</w:t>
            </w:r>
          </w:p>
        </w:tc>
        <w:tc>
          <w:tcPr>
            <w:tcW w:w="2965" w:type="dxa"/>
            <w:shd w:val="clear" w:color="auto" w:fill="auto"/>
            <w:vAlign w:val="center"/>
          </w:tcPr>
          <w:p>
            <w:pPr>
              <w:widowControl/>
              <w:spacing w:line="240" w:lineRule="exact"/>
              <w:jc w:val="center"/>
              <w:rPr>
                <w:rFonts w:ascii="微软雅黑" w:hAnsi="微软雅黑" w:eastAsia="微软雅黑" w:cs="宋体"/>
                <w:color w:val="FF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2</w:t>
            </w:r>
          </w:p>
        </w:tc>
        <w:tc>
          <w:tcPr>
            <w:tcW w:w="2028" w:type="dxa"/>
            <w:vMerge w:val="continue"/>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企业、事业单位、社会团体等投资建设的固定资产投资项目核准</w:t>
            </w:r>
          </w:p>
        </w:tc>
        <w:tc>
          <w:tcPr>
            <w:tcW w:w="2965" w:type="dxa"/>
            <w:shd w:val="clear" w:color="auto" w:fill="auto"/>
            <w:vAlign w:val="center"/>
          </w:tcPr>
          <w:p>
            <w:pPr>
              <w:widowControl/>
              <w:spacing w:line="240" w:lineRule="exact"/>
              <w:jc w:val="center"/>
              <w:rPr>
                <w:rFonts w:ascii="微软雅黑" w:hAnsi="微软雅黑" w:eastAsia="微软雅黑" w:cs="宋体"/>
                <w:color w:val="FF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3</w:t>
            </w:r>
          </w:p>
        </w:tc>
        <w:tc>
          <w:tcPr>
            <w:tcW w:w="2028" w:type="dxa"/>
            <w:vMerge w:val="continue"/>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企业投资项目备案</w:t>
            </w:r>
          </w:p>
        </w:tc>
        <w:tc>
          <w:tcPr>
            <w:tcW w:w="2965" w:type="dxa"/>
            <w:shd w:val="clear" w:color="auto" w:fill="auto"/>
            <w:vAlign w:val="center"/>
          </w:tcPr>
          <w:p>
            <w:pPr>
              <w:widowControl/>
              <w:spacing w:line="240" w:lineRule="exact"/>
              <w:jc w:val="center"/>
              <w:rPr>
                <w:rFonts w:ascii="微软雅黑" w:hAnsi="微软雅黑" w:eastAsia="微软雅黑" w:cs="宋体"/>
                <w:color w:val="FF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4</w:t>
            </w:r>
          </w:p>
        </w:tc>
        <w:tc>
          <w:tcPr>
            <w:tcW w:w="2028" w:type="dxa"/>
            <w:vMerge w:val="continue"/>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政府投资项目建议书审批</w:t>
            </w:r>
          </w:p>
        </w:tc>
        <w:tc>
          <w:tcPr>
            <w:tcW w:w="2965" w:type="dxa"/>
            <w:shd w:val="clear" w:color="auto" w:fill="auto"/>
            <w:vAlign w:val="center"/>
          </w:tcPr>
          <w:p>
            <w:pPr>
              <w:widowControl/>
              <w:spacing w:line="240" w:lineRule="exact"/>
              <w:jc w:val="center"/>
              <w:rPr>
                <w:rFonts w:ascii="微软雅黑" w:hAnsi="微软雅黑" w:eastAsia="微软雅黑" w:cs="宋体"/>
                <w:color w:val="FF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5</w:t>
            </w:r>
          </w:p>
        </w:tc>
        <w:tc>
          <w:tcPr>
            <w:tcW w:w="2028" w:type="dxa"/>
            <w:vMerge w:val="continue"/>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政府投资项目初步设计审批</w:t>
            </w:r>
          </w:p>
        </w:tc>
        <w:tc>
          <w:tcPr>
            <w:tcW w:w="2965" w:type="dxa"/>
            <w:shd w:val="clear" w:color="auto" w:fill="auto"/>
            <w:vAlign w:val="center"/>
          </w:tcPr>
          <w:p>
            <w:pPr>
              <w:widowControl/>
              <w:spacing w:line="240" w:lineRule="exact"/>
              <w:jc w:val="center"/>
              <w:rPr>
                <w:rFonts w:ascii="微软雅黑" w:hAnsi="微软雅黑" w:eastAsia="微软雅黑" w:cs="宋体"/>
                <w:color w:val="FF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vMerge w:val="restart"/>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6</w:t>
            </w:r>
          </w:p>
        </w:tc>
        <w:tc>
          <w:tcPr>
            <w:tcW w:w="2028" w:type="dxa"/>
            <w:vMerge w:val="restart"/>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应急管理部门</w:t>
            </w:r>
          </w:p>
        </w:tc>
        <w:tc>
          <w:tcPr>
            <w:tcW w:w="3506" w:type="dxa"/>
            <w:vMerge w:val="restart"/>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危险化学品生产、储存建设项目安全条件审查</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危险化学品建设项目安全条件审查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危险化学品建设项目安全条件变更审查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vMerge w:val="restart"/>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7</w:t>
            </w:r>
          </w:p>
        </w:tc>
        <w:tc>
          <w:tcPr>
            <w:tcW w:w="2028" w:type="dxa"/>
            <w:vMerge w:val="continue"/>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p>
        </w:tc>
        <w:tc>
          <w:tcPr>
            <w:tcW w:w="3506" w:type="dxa"/>
            <w:vMerge w:val="restart"/>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危险化学品生产、储存建设项目安全设施设计审查</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危险化学品建设项目安全设施设计审查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危险化学品建设项目安全设施设计变更审查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8</w:t>
            </w:r>
          </w:p>
        </w:tc>
        <w:tc>
          <w:tcPr>
            <w:tcW w:w="2028" w:type="dxa"/>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住建部门</w:t>
            </w: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应建防空地下室的民用建筑项目报建审批</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9</w:t>
            </w:r>
          </w:p>
        </w:tc>
        <w:tc>
          <w:tcPr>
            <w:tcW w:w="2028" w:type="dxa"/>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生态环境部门</w:t>
            </w: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建设项目（非辐射）环境影响评价文件审批</w:t>
            </w:r>
          </w:p>
        </w:tc>
        <w:tc>
          <w:tcPr>
            <w:tcW w:w="2965" w:type="dxa"/>
            <w:shd w:val="clear" w:color="auto" w:fill="auto"/>
            <w:vAlign w:val="center"/>
          </w:tcPr>
          <w:p>
            <w:pPr>
              <w:widowControl/>
              <w:spacing w:line="240" w:lineRule="exact"/>
              <w:jc w:val="center"/>
              <w:rPr>
                <w:rFonts w:ascii="微软雅黑" w:hAnsi="微软雅黑" w:eastAsia="微软雅黑" w:cs="宋体"/>
                <w:color w:val="FF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10</w:t>
            </w:r>
          </w:p>
        </w:tc>
        <w:tc>
          <w:tcPr>
            <w:tcW w:w="2028" w:type="dxa"/>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水利部门</w:t>
            </w: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非防洪建设项目洪水影响评价报告审批</w:t>
            </w:r>
          </w:p>
        </w:tc>
        <w:tc>
          <w:tcPr>
            <w:tcW w:w="2965" w:type="dxa"/>
            <w:shd w:val="clear" w:color="auto" w:fill="auto"/>
            <w:vAlign w:val="center"/>
          </w:tcPr>
          <w:p>
            <w:pPr>
              <w:widowControl/>
              <w:spacing w:line="240" w:lineRule="exact"/>
              <w:jc w:val="center"/>
              <w:rPr>
                <w:rFonts w:ascii="微软雅黑" w:hAnsi="微软雅黑" w:eastAsia="微软雅黑" w:cs="宋体"/>
                <w:color w:val="FF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11</w:t>
            </w:r>
          </w:p>
        </w:tc>
        <w:tc>
          <w:tcPr>
            <w:tcW w:w="2028" w:type="dxa"/>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水利部门</w:t>
            </w: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生产建设项目水土保持方案审批</w:t>
            </w:r>
          </w:p>
        </w:tc>
        <w:tc>
          <w:tcPr>
            <w:tcW w:w="2965" w:type="dxa"/>
            <w:shd w:val="clear" w:color="auto" w:fill="auto"/>
            <w:vAlign w:val="center"/>
          </w:tcPr>
          <w:p>
            <w:pPr>
              <w:widowControl/>
              <w:spacing w:line="240" w:lineRule="exact"/>
              <w:jc w:val="center"/>
              <w:rPr>
                <w:rFonts w:ascii="微软雅黑" w:hAnsi="微软雅黑" w:eastAsia="微软雅黑" w:cs="宋体"/>
                <w:color w:val="FF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vMerge w:val="restart"/>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12</w:t>
            </w:r>
          </w:p>
        </w:tc>
        <w:tc>
          <w:tcPr>
            <w:tcW w:w="2028" w:type="dxa"/>
            <w:vMerge w:val="restart"/>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自规部门</w:t>
            </w:r>
          </w:p>
        </w:tc>
        <w:tc>
          <w:tcPr>
            <w:tcW w:w="3506" w:type="dxa"/>
            <w:vMerge w:val="restart"/>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建设项目用地预审与选址意见书核发</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建设项目用地预审与选址意见书核发（新申请）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建设项目用地预审与选址意见书核发（变更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建设项目用地预审与选址意见书核发（遗失补办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建设项目用地预审与选址意见书核发（延期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vMerge w:val="restart"/>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13</w:t>
            </w:r>
          </w:p>
        </w:tc>
        <w:tc>
          <w:tcPr>
            <w:tcW w:w="2028" w:type="dxa"/>
            <w:vMerge w:val="continue"/>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p>
        </w:tc>
        <w:tc>
          <w:tcPr>
            <w:tcW w:w="3506" w:type="dxa"/>
            <w:vMerge w:val="restart"/>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建设用地（含临时用地）规划许可证核发</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建设用地（含临时用地）规划许可证核发（新申请）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建设用地（含临时用地）规划许可证核发（变更）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建设用地（含临时用地）规划许可证核发（遗失补办）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建设用地（含临时用地）规划许可证核发（延期）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vMerge w:val="restart"/>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14</w:t>
            </w:r>
          </w:p>
        </w:tc>
        <w:tc>
          <w:tcPr>
            <w:tcW w:w="2028" w:type="dxa"/>
            <w:vMerge w:val="continue"/>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p>
        </w:tc>
        <w:tc>
          <w:tcPr>
            <w:tcW w:w="3506" w:type="dxa"/>
            <w:vMerge w:val="restart"/>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国有建设用地使用权审批</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国有建设用地使用权公开出让（租赁）审批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国有建设用地使用权划拨批准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国有建设用地使用权协议出让（租赁）审批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vMerge w:val="restart"/>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15</w:t>
            </w:r>
          </w:p>
        </w:tc>
        <w:tc>
          <w:tcPr>
            <w:tcW w:w="2028" w:type="dxa"/>
            <w:vMerge w:val="continue"/>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p>
        </w:tc>
        <w:tc>
          <w:tcPr>
            <w:tcW w:w="3506" w:type="dxa"/>
            <w:vMerge w:val="restart"/>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建设工程（含临时建设）规划许可证核发</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建设工程（含临时建设）规划许可证核发（新申请）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top"/>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建设工程（含临时建设）规划许可证核发（变更）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top"/>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建设工程（含临时建设）规划许可证核发（遗失补办）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top"/>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建设工程（含临时建设）规划许可证核发（延期）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16</w:t>
            </w:r>
          </w:p>
        </w:tc>
        <w:tc>
          <w:tcPr>
            <w:tcW w:w="2028" w:type="dxa"/>
            <w:vMerge w:val="continue"/>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水电气外线接入并联审批</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17</w:t>
            </w:r>
          </w:p>
        </w:tc>
        <w:tc>
          <w:tcPr>
            <w:tcW w:w="2028" w:type="dxa"/>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lang w:eastAsia="zh-CN"/>
              </w:rPr>
            </w:pPr>
            <w:r>
              <w:rPr>
                <w:rFonts w:hint="eastAsia" w:ascii="微软雅黑" w:hAnsi="微软雅黑" w:eastAsia="微软雅黑" w:cs="宋体"/>
                <w:color w:val="000000"/>
                <w:kern w:val="0"/>
                <w:szCs w:val="21"/>
                <w:highlight w:val="none"/>
                <w:lang w:eastAsia="zh-CN"/>
              </w:rPr>
              <w:t>气象部门</w:t>
            </w: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雷电防护装置设计审核</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18</w:t>
            </w:r>
          </w:p>
        </w:tc>
        <w:tc>
          <w:tcPr>
            <w:tcW w:w="2028" w:type="dxa"/>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lang w:eastAsia="zh-CN"/>
              </w:rPr>
            </w:pPr>
            <w:r>
              <w:rPr>
                <w:rFonts w:hint="eastAsia" w:ascii="微软雅黑" w:hAnsi="微软雅黑" w:eastAsia="微软雅黑" w:cs="宋体"/>
                <w:color w:val="000000"/>
                <w:kern w:val="0"/>
                <w:szCs w:val="21"/>
                <w:highlight w:val="none"/>
                <w:lang w:eastAsia="zh-CN"/>
              </w:rPr>
              <w:t>住建部门</w:t>
            </w: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特殊建设工程的消防设计审查</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vMerge w:val="restart"/>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19</w:t>
            </w:r>
          </w:p>
        </w:tc>
        <w:tc>
          <w:tcPr>
            <w:tcW w:w="2028" w:type="dxa"/>
            <w:vMerge w:val="restart"/>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lang w:eastAsia="zh-CN"/>
              </w:rPr>
              <w:t>住建部门</w:t>
            </w:r>
          </w:p>
        </w:tc>
        <w:tc>
          <w:tcPr>
            <w:tcW w:w="3506" w:type="dxa"/>
            <w:vMerge w:val="restart"/>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建筑工程施工许可证核发</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建筑工程施工许可证核发（新申请）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center"/>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建筑工程施工许可证核发（变更）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center"/>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建筑工程施工许可证核发（延期）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施工通知单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20</w:t>
            </w:r>
          </w:p>
        </w:tc>
        <w:tc>
          <w:tcPr>
            <w:tcW w:w="2028" w:type="dxa"/>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第三方机构</w:t>
            </w: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施工图联合审查</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vMerge w:val="restart"/>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21</w:t>
            </w:r>
          </w:p>
        </w:tc>
        <w:tc>
          <w:tcPr>
            <w:tcW w:w="2028" w:type="dxa"/>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城市管理部门</w:t>
            </w:r>
          </w:p>
        </w:tc>
        <w:tc>
          <w:tcPr>
            <w:tcW w:w="3506" w:type="dxa"/>
            <w:vMerge w:val="restart"/>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市政设施建设类审批</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占用城市道路审批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lang w:eastAsia="zh-CN"/>
              </w:rPr>
              <w:t>住建部门</w:t>
            </w: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挖掘城市道路审批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22</w:t>
            </w:r>
          </w:p>
        </w:tc>
        <w:tc>
          <w:tcPr>
            <w:tcW w:w="2028" w:type="dxa"/>
            <w:vMerge w:val="restart"/>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园林部门</w:t>
            </w:r>
          </w:p>
          <w:p>
            <w:pPr>
              <w:widowControl/>
              <w:spacing w:line="240" w:lineRule="exact"/>
              <w:jc w:val="center"/>
              <w:rPr>
                <w:rFonts w:hint="eastAsia" w:ascii="微软雅黑" w:hAnsi="微软雅黑" w:eastAsia="微软雅黑" w:cs="宋体"/>
                <w:color w:val="000000"/>
                <w:kern w:val="0"/>
                <w:szCs w:val="21"/>
                <w:highlight w:val="none"/>
              </w:rPr>
            </w:pP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临时占用城市绿化用地审批</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23</w:t>
            </w:r>
          </w:p>
        </w:tc>
        <w:tc>
          <w:tcPr>
            <w:tcW w:w="2028" w:type="dxa"/>
            <w:vMerge w:val="continue"/>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砍伐城市树木审批</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24</w:t>
            </w:r>
          </w:p>
        </w:tc>
        <w:tc>
          <w:tcPr>
            <w:tcW w:w="2028" w:type="dxa"/>
            <w:vMerge w:val="continue"/>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改变绿化规划、绿化用地的使用性质审批</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25</w:t>
            </w:r>
          </w:p>
        </w:tc>
        <w:tc>
          <w:tcPr>
            <w:tcW w:w="2028" w:type="dxa"/>
            <w:vMerge w:val="continue"/>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工程建设涉及城市绿地、树木审批</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修剪、移植城市树木许可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26</w:t>
            </w:r>
          </w:p>
        </w:tc>
        <w:tc>
          <w:tcPr>
            <w:tcW w:w="2028" w:type="dxa"/>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城市管理部门</w:t>
            </w: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城市建筑垃圾处置核准</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593" w:type="dxa"/>
            <w:vMerge w:val="restart"/>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27</w:t>
            </w:r>
          </w:p>
        </w:tc>
        <w:tc>
          <w:tcPr>
            <w:tcW w:w="2028" w:type="dxa"/>
            <w:shd w:val="clear" w:color="auto" w:fill="auto"/>
            <w:noWrap/>
            <w:vAlign w:val="center"/>
          </w:tcPr>
          <w:p>
            <w:pPr>
              <w:widowControl/>
              <w:spacing w:line="240" w:lineRule="exact"/>
              <w:jc w:val="center"/>
              <w:rPr>
                <w:rFonts w:hint="eastAsia" w:ascii="微软雅黑" w:hAnsi="微软雅黑" w:eastAsia="微软雅黑" w:cs="宋体"/>
                <w:color w:val="000000"/>
                <w:kern w:val="0"/>
                <w:szCs w:val="21"/>
                <w:highlight w:val="none"/>
                <w:lang w:eastAsia="zh-CN"/>
              </w:rPr>
            </w:pPr>
            <w:r>
              <w:rPr>
                <w:rFonts w:hint="eastAsia" w:ascii="微软雅黑" w:hAnsi="微软雅黑" w:eastAsia="微软雅黑" w:cs="宋体"/>
                <w:color w:val="000000"/>
                <w:kern w:val="0"/>
                <w:szCs w:val="21"/>
                <w:highlight w:val="none"/>
                <w:lang w:eastAsia="zh-CN"/>
              </w:rPr>
              <w:t>住建部门</w:t>
            </w:r>
          </w:p>
        </w:tc>
        <w:tc>
          <w:tcPr>
            <w:tcW w:w="3506" w:type="dxa"/>
            <w:vMerge w:val="restart"/>
            <w:shd w:val="clear" w:color="auto" w:fill="auto"/>
            <w:noWrap/>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联合验收</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规划条件核实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restart"/>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lang w:eastAsia="zh-CN"/>
              </w:rPr>
              <w:t>住建部门</w:t>
            </w: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竣工验收质量监督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建设工程消防验收或备案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人防工程竣工验收备案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建设工程竣工档案验收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593"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028" w:type="dxa"/>
            <w:vMerge w:val="continue"/>
            <w:vAlign w:val="center"/>
          </w:tcPr>
          <w:p>
            <w:pPr>
              <w:widowControl/>
              <w:spacing w:line="240" w:lineRule="exact"/>
              <w:ind w:firstLine="630" w:firstLineChars="300"/>
              <w:jc w:val="left"/>
              <w:rPr>
                <w:rFonts w:hint="eastAsia" w:ascii="微软雅黑" w:hAnsi="微软雅黑" w:eastAsia="微软雅黑" w:cs="宋体"/>
                <w:color w:val="000000"/>
                <w:kern w:val="0"/>
                <w:szCs w:val="21"/>
                <w:highlight w:val="none"/>
                <w:lang w:eastAsia="zh-CN"/>
              </w:rPr>
            </w:pPr>
          </w:p>
        </w:tc>
        <w:tc>
          <w:tcPr>
            <w:tcW w:w="3506" w:type="dxa"/>
            <w:vMerge w:val="continue"/>
            <w:vAlign w:val="center"/>
          </w:tcPr>
          <w:p>
            <w:pPr>
              <w:widowControl/>
              <w:spacing w:line="240" w:lineRule="exact"/>
              <w:jc w:val="left"/>
              <w:rPr>
                <w:rFonts w:ascii="微软雅黑" w:hAnsi="微软雅黑" w:eastAsia="微软雅黑" w:cs="宋体"/>
                <w:color w:val="000000"/>
                <w:kern w:val="0"/>
                <w:szCs w:val="21"/>
                <w:highlight w:val="none"/>
              </w:rPr>
            </w:pP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项目配套绿化工程竣工核实验收及园林绿化工程竣工验收备案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28</w:t>
            </w:r>
          </w:p>
        </w:tc>
        <w:tc>
          <w:tcPr>
            <w:tcW w:w="2028" w:type="dxa"/>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lang w:eastAsia="zh-CN"/>
              </w:rPr>
            </w:pPr>
            <w:r>
              <w:rPr>
                <w:rFonts w:hint="eastAsia" w:ascii="微软雅黑" w:hAnsi="微软雅黑" w:eastAsia="微软雅黑" w:cs="宋体"/>
                <w:color w:val="000000"/>
                <w:kern w:val="0"/>
                <w:szCs w:val="21"/>
                <w:highlight w:val="none"/>
                <w:lang w:eastAsia="zh-CN"/>
              </w:rPr>
              <w:t>气象部门</w:t>
            </w: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雷电防护装置竣工验收</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29</w:t>
            </w:r>
          </w:p>
        </w:tc>
        <w:tc>
          <w:tcPr>
            <w:tcW w:w="2028" w:type="dxa"/>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lang w:val="en-US" w:eastAsia="zh-CN"/>
              </w:rPr>
            </w:pPr>
            <w:r>
              <w:rPr>
                <w:rFonts w:hint="eastAsia" w:ascii="微软雅黑" w:hAnsi="微软雅黑" w:eastAsia="微软雅黑" w:cs="宋体"/>
                <w:color w:val="000000"/>
                <w:kern w:val="0"/>
                <w:szCs w:val="21"/>
                <w:highlight w:val="none"/>
                <w:lang w:val="en-US" w:eastAsia="zh-CN"/>
              </w:rPr>
              <w:t>住建部门</w:t>
            </w: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工程竣工验收备案</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30</w:t>
            </w:r>
          </w:p>
        </w:tc>
        <w:tc>
          <w:tcPr>
            <w:tcW w:w="2028" w:type="dxa"/>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市政公共服务单位</w:t>
            </w: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供水报装</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31</w:t>
            </w:r>
          </w:p>
        </w:tc>
        <w:tc>
          <w:tcPr>
            <w:tcW w:w="2028" w:type="dxa"/>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市政公共服务单位</w:t>
            </w: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供电报装</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32</w:t>
            </w:r>
          </w:p>
        </w:tc>
        <w:tc>
          <w:tcPr>
            <w:tcW w:w="2028" w:type="dxa"/>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市政公共服务单位</w:t>
            </w: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燃气报装</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33</w:t>
            </w:r>
          </w:p>
        </w:tc>
        <w:tc>
          <w:tcPr>
            <w:tcW w:w="2028" w:type="dxa"/>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市政公共服务单位</w:t>
            </w: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通信报装</w:t>
            </w:r>
          </w:p>
        </w:tc>
        <w:tc>
          <w:tcPr>
            <w:tcW w:w="2965"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93"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34</w:t>
            </w:r>
          </w:p>
        </w:tc>
        <w:tc>
          <w:tcPr>
            <w:tcW w:w="2028" w:type="dxa"/>
            <w:shd w:val="clear" w:color="auto" w:fill="auto"/>
            <w:vAlign w:val="center"/>
          </w:tcPr>
          <w:p>
            <w:pPr>
              <w:widowControl/>
              <w:spacing w:line="240" w:lineRule="exact"/>
              <w:jc w:val="center"/>
              <w:rPr>
                <w:rFonts w:hint="eastAsia"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市政公共服务单位</w:t>
            </w:r>
          </w:p>
        </w:tc>
        <w:tc>
          <w:tcPr>
            <w:tcW w:w="3506" w:type="dxa"/>
            <w:shd w:val="clear" w:color="auto" w:fill="auto"/>
            <w:vAlign w:val="center"/>
          </w:tcPr>
          <w:p>
            <w:pPr>
              <w:widowControl/>
              <w:spacing w:line="240" w:lineRule="exact"/>
              <w:jc w:val="center"/>
              <w:rPr>
                <w:rFonts w:ascii="微软雅黑" w:hAnsi="微软雅黑" w:eastAsia="微软雅黑" w:cs="宋体"/>
                <w:color w:val="000000"/>
                <w:kern w:val="0"/>
                <w:szCs w:val="21"/>
                <w:highlight w:val="none"/>
              </w:rPr>
            </w:pPr>
            <w:r>
              <w:rPr>
                <w:rFonts w:hint="eastAsia" w:ascii="微软雅黑" w:hAnsi="微软雅黑" w:eastAsia="微软雅黑" w:cs="宋体"/>
                <w:color w:val="000000"/>
                <w:kern w:val="0"/>
                <w:szCs w:val="21"/>
                <w:highlight w:val="none"/>
              </w:rPr>
              <w:t>广电报装</w:t>
            </w:r>
          </w:p>
        </w:tc>
        <w:tc>
          <w:tcPr>
            <w:tcW w:w="2965" w:type="dxa"/>
            <w:shd w:val="clear" w:color="auto" w:fill="auto"/>
            <w:vAlign w:val="center"/>
          </w:tcPr>
          <w:p>
            <w:pPr>
              <w:widowControl/>
              <w:spacing w:line="240" w:lineRule="exact"/>
              <w:jc w:val="left"/>
              <w:rPr>
                <w:rFonts w:ascii="微软雅黑" w:hAnsi="微软雅黑" w:eastAsia="微软雅黑" w:cs="宋体"/>
                <w:color w:val="000000"/>
                <w:kern w:val="0"/>
                <w:szCs w:val="21"/>
                <w:highlight w:val="none"/>
              </w:rPr>
            </w:pPr>
          </w:p>
        </w:tc>
      </w:tr>
    </w:tbl>
    <w:p/>
    <w:p>
      <w:pPr>
        <w:pStyle w:val="2"/>
      </w:pPr>
    </w:p>
    <w:p/>
    <w:p>
      <w:pPr>
        <w:pStyle w:val="2"/>
      </w:pPr>
    </w:p>
    <w:p/>
    <w:p>
      <w:pPr>
        <w:pStyle w:val="2"/>
      </w:pPr>
    </w:p>
    <w:p/>
    <w:p>
      <w:pPr>
        <w:pStyle w:val="2"/>
      </w:pPr>
    </w:p>
    <w:p/>
    <w:p>
      <w:pPr>
        <w:pStyle w:val="2"/>
      </w:pPr>
    </w:p>
    <w:p/>
    <w:p>
      <w:pPr>
        <w:pStyle w:val="2"/>
      </w:pPr>
    </w:p>
    <w:p/>
    <w:p>
      <w:pPr>
        <w:pStyle w:val="2"/>
      </w:pPr>
    </w:p>
    <w:p/>
    <w:p>
      <w:pPr>
        <w:pStyle w:val="2"/>
      </w:pPr>
    </w:p>
    <w:p/>
    <w:p>
      <w:pPr>
        <w:pStyle w:val="2"/>
      </w:pPr>
    </w:p>
    <w:p/>
    <w:p>
      <w:pPr>
        <w:pStyle w:val="2"/>
      </w:pPr>
    </w:p>
    <w:p/>
    <w:p>
      <w:pPr>
        <w:pStyle w:val="2"/>
      </w:pPr>
    </w:p>
    <w:p/>
    <w:p>
      <w:pPr>
        <w:pStyle w:val="2"/>
      </w:pPr>
    </w:p>
    <w:p/>
    <w:p>
      <w:pPr>
        <w:pStyle w:val="2"/>
      </w:pPr>
    </w:p>
    <w:p/>
    <w:p>
      <w:pPr>
        <w:pStyle w:val="2"/>
        <w:sectPr>
          <w:pgSz w:w="11906" w:h="16838"/>
          <w:pgMar w:top="1020" w:right="1800" w:bottom="1440" w:left="1800" w:header="851" w:footer="992" w:gutter="0"/>
          <w:cols w:space="425" w:num="1"/>
          <w:docGrid w:type="lines" w:linePitch="312" w:charSpace="0"/>
        </w:sectPr>
      </w:pPr>
      <w:r>
        <w:br w:type="textWrapping"/>
      </w:r>
    </w:p>
    <w:p>
      <w:r>
        <w:br w:type="page"/>
      </w:r>
    </w:p>
    <w:p/>
    <w:sectPr>
      <w:pgSz w:w="16838" w:h="11906" w:orient="landscape"/>
      <w:pgMar w:top="1800" w:right="102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PMingLiU">
    <w:altName w:val="PMingLiU-ExtB"/>
    <w:panose1 w:val="02020500000000000000"/>
    <w:charset w:val="88"/>
    <w:family w:val="auto"/>
    <w:pitch w:val="default"/>
    <w:sig w:usb0="00000000" w:usb1="00000000" w:usb2="00000016" w:usb3="00000000" w:csb0="00100001" w:csb1="00000000"/>
  </w:font>
  <w:font w:name="微软雅黑">
    <w:panose1 w:val="020B0503020204020204"/>
    <w:charset w:val="86"/>
    <w:family w:val="swiss"/>
    <w:pitch w:val="default"/>
    <w:sig w:usb0="80000287" w:usb1="2A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7BCED6"/>
    <w:multiLevelType w:val="multilevel"/>
    <w:tmpl w:val="847BCED6"/>
    <w:lvl w:ilvl="0" w:tentative="0">
      <w:start w:val="1"/>
      <w:numFmt w:val="none"/>
      <w:suff w:val="nothing"/>
      <w:lvlText w:val="第一条"/>
      <w:lvlJc w:val="left"/>
      <w:pPr>
        <w:tabs>
          <w:tab w:val="left" w:pos="0"/>
        </w:tabs>
        <w:ind w:left="0" w:firstLine="402"/>
      </w:pPr>
      <w:rPr>
        <w:rFonts w:hint="eastAsia" w:ascii="宋体" w:hAnsi="宋体" w:eastAsia="宋体" w:cs="宋体"/>
      </w:rPr>
    </w:lvl>
    <w:lvl w:ilvl="1" w:tentative="0">
      <w:start w:val="1"/>
      <w:numFmt w:val="chineseCounting"/>
      <w:suff w:val="nothing"/>
      <w:lvlText w:val="第%2节　"/>
      <w:lvlJc w:val="left"/>
      <w:pPr>
        <w:ind w:left="0" w:firstLine="402"/>
      </w:pPr>
      <w:rPr>
        <w:rFonts w:hint="eastAsia"/>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72C"/>
    <w:rsid w:val="00111295"/>
    <w:rsid w:val="00112352"/>
    <w:rsid w:val="00151867"/>
    <w:rsid w:val="002E0B8F"/>
    <w:rsid w:val="002E7214"/>
    <w:rsid w:val="0032672C"/>
    <w:rsid w:val="003854E5"/>
    <w:rsid w:val="004C3F17"/>
    <w:rsid w:val="004D5210"/>
    <w:rsid w:val="00513616"/>
    <w:rsid w:val="00594100"/>
    <w:rsid w:val="0059524C"/>
    <w:rsid w:val="006625B6"/>
    <w:rsid w:val="006D1871"/>
    <w:rsid w:val="007A7520"/>
    <w:rsid w:val="007E4876"/>
    <w:rsid w:val="0085256F"/>
    <w:rsid w:val="00891748"/>
    <w:rsid w:val="00892FFD"/>
    <w:rsid w:val="009A6D13"/>
    <w:rsid w:val="009D448A"/>
    <w:rsid w:val="00A36AFA"/>
    <w:rsid w:val="00B37B34"/>
    <w:rsid w:val="00C377B3"/>
    <w:rsid w:val="00C708D9"/>
    <w:rsid w:val="00D156C1"/>
    <w:rsid w:val="00D57F8B"/>
    <w:rsid w:val="00DB03DA"/>
    <w:rsid w:val="00E476B7"/>
    <w:rsid w:val="00E539E6"/>
    <w:rsid w:val="03417D87"/>
    <w:rsid w:val="059521E2"/>
    <w:rsid w:val="15A60F6C"/>
    <w:rsid w:val="1F7614CC"/>
    <w:rsid w:val="232B7097"/>
    <w:rsid w:val="26EA6506"/>
    <w:rsid w:val="37DA2AFA"/>
    <w:rsid w:val="437C3327"/>
    <w:rsid w:val="4AEE7D3F"/>
    <w:rsid w:val="5B2E48BF"/>
    <w:rsid w:val="66724AE8"/>
    <w:rsid w:val="6EFE4433"/>
    <w:rsid w:val="70A10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1"/>
    <w:basedOn w:val="1"/>
    <w:next w:val="1"/>
    <w:qFormat/>
    <w:uiPriority w:val="0"/>
    <w:pPr>
      <w:spacing w:line="570" w:lineRule="exact"/>
      <w:ind w:firstLine="880" w:firstLineChars="200"/>
      <w:jc w:val="left"/>
      <w:outlineLvl w:val="0"/>
    </w:pPr>
    <w:rPr>
      <w:rFonts w:hint="eastAsia" w:ascii="宋体" w:hAnsi="宋体" w:eastAsia="黑体" w:cs="Times New Roman"/>
      <w:kern w:val="44"/>
      <w:sz w:val="32"/>
      <w:szCs w:val="48"/>
    </w:rPr>
  </w:style>
  <w:style w:type="paragraph" w:styleId="5">
    <w:name w:val="heading 3"/>
    <w:basedOn w:val="1"/>
    <w:next w:val="1"/>
    <w:link w:val="13"/>
    <w:semiHidden/>
    <w:unhideWhenUsed/>
    <w:qFormat/>
    <w:uiPriority w:val="9"/>
    <w:pPr>
      <w:keepNext/>
      <w:keepLines/>
      <w:spacing w:line="570" w:lineRule="exact"/>
      <w:ind w:firstLine="880" w:firstLineChars="200"/>
      <w:outlineLvl w:val="2"/>
    </w:pPr>
    <w:rPr>
      <w:rFonts w:eastAsia="仿宋_GB2312"/>
      <w:b/>
      <w:sz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next w:val="1"/>
    <w:qFormat/>
    <w:uiPriority w:val="0"/>
    <w:pPr>
      <w:overflowPunct w:val="0"/>
      <w:ind w:firstLine="840" w:firstLineChars="200"/>
    </w:pPr>
    <w:rPr>
      <w:rFonts w:ascii="Times New Roman" w:hAnsi="Times New Roman"/>
    </w:rPr>
  </w:style>
  <w:style w:type="paragraph" w:styleId="3">
    <w:name w:val="Body Text Indent"/>
    <w:basedOn w:val="1"/>
    <w:next w:val="2"/>
    <w:qFormat/>
    <w:uiPriority w:val="0"/>
    <w:pPr>
      <w:spacing w:after="120"/>
      <w:ind w:left="420" w:leftChars="200"/>
    </w:pPr>
    <w:rPr>
      <w:rFonts w:eastAsia="宋体"/>
    </w:rPr>
  </w:style>
  <w:style w:type="paragraph" w:styleId="6">
    <w:name w:val="footer"/>
    <w:basedOn w:val="1"/>
    <w:link w:val="1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Normal (Web)"/>
    <w:basedOn w:val="1"/>
    <w:unhideWhenUsed/>
    <w:qFormat/>
    <w:uiPriority w:val="0"/>
    <w:pPr>
      <w:widowControl/>
      <w:spacing w:before="100" w:beforeAutospacing="1" w:after="100" w:afterAutospacing="1"/>
      <w:jc w:val="left"/>
    </w:pPr>
    <w:rPr>
      <w:rFonts w:ascii="宋体" w:hAnsi="宋体" w:eastAsia="宋体" w:cs="宋体"/>
      <w:kern w:val="0"/>
      <w:sz w:val="24"/>
    </w:rPr>
  </w:style>
  <w:style w:type="character" w:customStyle="1" w:styleId="11">
    <w:name w:val="页眉 字符"/>
    <w:basedOn w:val="10"/>
    <w:link w:val="7"/>
    <w:qFormat/>
    <w:uiPriority w:val="99"/>
    <w:rPr>
      <w:sz w:val="18"/>
      <w:szCs w:val="18"/>
    </w:rPr>
  </w:style>
  <w:style w:type="character" w:customStyle="1" w:styleId="12">
    <w:name w:val="页脚 字符"/>
    <w:basedOn w:val="10"/>
    <w:link w:val="6"/>
    <w:qFormat/>
    <w:uiPriority w:val="99"/>
    <w:rPr>
      <w:sz w:val="18"/>
      <w:szCs w:val="18"/>
    </w:rPr>
  </w:style>
  <w:style w:type="character" w:customStyle="1" w:styleId="13">
    <w:name w:val="标题 3 字符"/>
    <w:link w:val="5"/>
    <w:qFormat/>
    <w:uiPriority w:val="0"/>
    <w:rPr>
      <w:rFonts w:eastAsia="仿宋_GB2312"/>
      <w:b/>
      <w:sz w:val="32"/>
    </w:rPr>
  </w:style>
  <w:style w:type="paragraph" w:customStyle="1" w:styleId="14">
    <w:name w:val="666"/>
    <w:basedOn w:val="1"/>
    <w:link w:val="15"/>
    <w:qFormat/>
    <w:uiPriority w:val="0"/>
    <w:pPr>
      <w:ind w:firstLine="643" w:firstLineChars="200"/>
    </w:pPr>
    <w:rPr>
      <w:rFonts w:ascii="宋体" w:hAnsi="宋体" w:eastAsia="仿宋_GB2312" w:cs="仿宋_GB2312"/>
      <w:snapToGrid w:val="0"/>
      <w:kern w:val="0"/>
      <w:sz w:val="32"/>
      <w:szCs w:val="32"/>
    </w:rPr>
  </w:style>
  <w:style w:type="character" w:customStyle="1" w:styleId="15">
    <w:name w:val="666 字符"/>
    <w:basedOn w:val="10"/>
    <w:link w:val="14"/>
    <w:qFormat/>
    <w:uiPriority w:val="0"/>
    <w:rPr>
      <w:rFonts w:ascii="宋体" w:hAnsi="宋体" w:eastAsia="仿宋_GB2312" w:cs="仿宋_GB2312"/>
      <w:snapToGrid w:val="0"/>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248</Words>
  <Characters>1419</Characters>
  <Lines>11</Lines>
  <Paragraphs>3</Paragraphs>
  <TotalTime>1</TotalTime>
  <ScaleCrop>false</ScaleCrop>
  <LinksUpToDate>false</LinksUpToDate>
  <CharactersWithSpaces>1664</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2020-11-10T07:26:00Z</dcterms:created>
  <dc:creator>LLJ</dc:creator>
  <cp:lastModifiedBy>金色带鱼</cp:lastModifiedBy>
  <dcterms:modified xsi:type="dcterms:W3CDTF">2021-01-11T01:31:54Z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