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8DBC2" w14:textId="77777777" w:rsidR="00864B7C" w:rsidRPr="00864B7C" w:rsidRDefault="00864B7C" w:rsidP="00075739">
      <w:pPr>
        <w:jc w:val="both"/>
        <w:rPr>
          <w:rFonts w:ascii="Times New Roman" w:hAnsi="Times New Roman" w:cs="Times New Roman"/>
          <w:b/>
          <w:bCs/>
          <w:sz w:val="24"/>
          <w:szCs w:val="24"/>
        </w:rPr>
      </w:pPr>
      <w:r w:rsidRPr="00864B7C">
        <w:rPr>
          <w:rFonts w:ascii="Times New Roman" w:hAnsi="Times New Roman" w:cs="Times New Roman"/>
          <w:b/>
          <w:bCs/>
          <w:sz w:val="24"/>
          <w:szCs w:val="24"/>
        </w:rPr>
        <w:t>Hardware Architecture of the Intelligent Medication Management System</w:t>
      </w:r>
    </w:p>
    <w:p w14:paraId="4F467236" w14:textId="77777777" w:rsidR="00864B7C" w:rsidRPr="00864B7C" w:rsidRDefault="00864B7C" w:rsidP="00075739">
      <w:pPr>
        <w:jc w:val="both"/>
        <w:rPr>
          <w:rFonts w:ascii="Times New Roman" w:hAnsi="Times New Roman" w:cs="Times New Roman"/>
          <w:b/>
          <w:bCs/>
          <w:sz w:val="24"/>
          <w:szCs w:val="24"/>
        </w:rPr>
      </w:pPr>
      <w:r w:rsidRPr="00864B7C">
        <w:rPr>
          <w:rFonts w:ascii="Times New Roman" w:hAnsi="Times New Roman" w:cs="Times New Roman"/>
          <w:b/>
          <w:bCs/>
          <w:sz w:val="24"/>
          <w:szCs w:val="24"/>
        </w:rPr>
        <w:t>1. System Topology and Core Processing Unit</w:t>
      </w:r>
    </w:p>
    <w:p w14:paraId="5C985682" w14:textId="77777777" w:rsidR="00864B7C" w:rsidRPr="00864B7C" w:rsidRDefault="00864B7C" w:rsidP="00075739">
      <w:pPr>
        <w:jc w:val="both"/>
        <w:rPr>
          <w:rFonts w:ascii="Times New Roman" w:hAnsi="Times New Roman" w:cs="Times New Roman"/>
          <w:sz w:val="24"/>
          <w:szCs w:val="24"/>
        </w:rPr>
      </w:pPr>
    </w:p>
    <w:p w14:paraId="305CBF81" w14:textId="10BED0EB" w:rsid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The physical infrastructure of the Smart Medbox Alert System is built around a centralized edge-computing topology [1]. At the core of this architecture lies the Espressif ESP32-WROOM-32 microcontroller. The ESP32 was selected as the primary processing node due to its dual-core Tensilica Xtensa LX6 microprocessor architecture, which is critical for parallelizing the high-frequency biometric sampling required by the sensor suite without interrupting the asynchronous Wi-Fi (802.11 b/g/n) communication required for cloud synchronization [2].</w:t>
      </w:r>
      <w:r w:rsidR="00075739">
        <w:rPr>
          <w:rFonts w:ascii="Times New Roman" w:hAnsi="Times New Roman" w:cs="Times New Roman"/>
          <w:sz w:val="24"/>
          <w:szCs w:val="24"/>
        </w:rPr>
        <w:t xml:space="preserve"> </w:t>
      </w:r>
      <w:r w:rsidRPr="00864B7C">
        <w:rPr>
          <w:rFonts w:ascii="Times New Roman" w:hAnsi="Times New Roman" w:cs="Times New Roman"/>
          <w:sz w:val="24"/>
          <w:szCs w:val="24"/>
        </w:rPr>
        <w:t>The hardware logic operates at 3.3V logic levels. The ESP32 serves as the master controller, directly governing the digital state of the segmented pill compartments and communicating with the biometric sensor module via the Inter-Integrated Circuit (I2C) communication protocol.</w:t>
      </w:r>
    </w:p>
    <w:p w14:paraId="03617348" w14:textId="63B587D6" w:rsidR="00282A00" w:rsidRPr="00864B7C" w:rsidRDefault="00282A00" w:rsidP="00282A00">
      <w:pPr>
        <w:jc w:val="center"/>
        <w:rPr>
          <w:rFonts w:ascii="Times New Roman" w:hAnsi="Times New Roman" w:cs="Times New Roman"/>
          <w:sz w:val="24"/>
          <w:szCs w:val="24"/>
        </w:rPr>
      </w:pPr>
      <w:r w:rsidRPr="00282A00">
        <w:rPr>
          <w:rFonts w:ascii="Times New Roman" w:hAnsi="Times New Roman" w:cs="Times New Roman"/>
          <w:sz w:val="24"/>
          <w:szCs w:val="24"/>
        </w:rPr>
        <w:drawing>
          <wp:inline distT="0" distB="0" distL="0" distR="0" wp14:anchorId="4628FEF9" wp14:editId="21165769">
            <wp:extent cx="1821180" cy="3156712"/>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24900" cy="3163160"/>
                    </a:xfrm>
                    <a:prstGeom prst="rect">
                      <a:avLst/>
                    </a:prstGeom>
                  </pic:spPr>
                </pic:pic>
              </a:graphicData>
            </a:graphic>
          </wp:inline>
        </w:drawing>
      </w:r>
    </w:p>
    <w:p w14:paraId="2DBB4C7F" w14:textId="77777777" w:rsidR="00864B7C" w:rsidRPr="00075739" w:rsidRDefault="00864B7C" w:rsidP="00075739">
      <w:pPr>
        <w:jc w:val="both"/>
        <w:rPr>
          <w:rFonts w:ascii="Times New Roman" w:hAnsi="Times New Roman" w:cs="Times New Roman"/>
          <w:b/>
          <w:bCs/>
          <w:sz w:val="24"/>
          <w:szCs w:val="24"/>
        </w:rPr>
      </w:pPr>
      <w:r w:rsidRPr="00075739">
        <w:rPr>
          <w:rFonts w:ascii="Times New Roman" w:hAnsi="Times New Roman" w:cs="Times New Roman"/>
          <w:b/>
          <w:bCs/>
          <w:sz w:val="24"/>
          <w:szCs w:val="24"/>
        </w:rPr>
        <w:t>2. Compartmentalized Medication Storage and Sensing</w:t>
      </w:r>
    </w:p>
    <w:p w14:paraId="6ECCF352" w14:textId="0169492B" w:rsid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The physical medication storage is divided into three discrete temporal compartments: Morning, Lunch, and Night. Each compartment functions as an independent hardware subsystem equipped with its own local feedback loop, aimed at improving patient medication adherence [3].</w:t>
      </w:r>
      <w:r w:rsidR="00075739">
        <w:rPr>
          <w:rFonts w:ascii="Times New Roman" w:hAnsi="Times New Roman" w:cs="Times New Roman"/>
          <w:sz w:val="24"/>
          <w:szCs w:val="24"/>
        </w:rPr>
        <w:t xml:space="preserve"> </w:t>
      </w:r>
      <w:r w:rsidRPr="00864B7C">
        <w:rPr>
          <w:rFonts w:ascii="Times New Roman" w:hAnsi="Times New Roman" w:cs="Times New Roman"/>
          <w:sz w:val="24"/>
          <w:szCs w:val="24"/>
        </w:rPr>
        <w:t>State Indication (LED Matrix): Each compartment is equipped with a bi-color optical feedback system consisting of a Green LED (Standard 5mm, ~2.0V forward voltage) and a Red LED. To prevent current draw from exceeding the ESP32's maximum per-pin limit (40mA) and to ensure optimal brightness, each LED is placed in series with a 220Ω current-limiting resistor. The Green LED acts as an "Idle/Ready" indicator, while the Red LED serves as the active "Alarm" indicator.</w:t>
      </w:r>
      <w:r w:rsidR="00282A00">
        <w:rPr>
          <w:rFonts w:ascii="Times New Roman" w:hAnsi="Times New Roman" w:cs="Times New Roman"/>
          <w:sz w:val="24"/>
          <w:szCs w:val="24"/>
        </w:rPr>
        <w:t xml:space="preserve"> </w:t>
      </w:r>
      <w:r w:rsidRPr="00864B7C">
        <w:rPr>
          <w:rFonts w:ascii="Times New Roman" w:hAnsi="Times New Roman" w:cs="Times New Roman"/>
          <w:sz w:val="24"/>
          <w:szCs w:val="24"/>
        </w:rPr>
        <w:t xml:space="preserve">Interaction Detection: To monitor patient compliance, each compartment lid is equipped with a mechanical switch circuit. Rather than utilizing external pull-up or pull-down resistors, the </w:t>
      </w:r>
      <w:r w:rsidRPr="00864B7C">
        <w:rPr>
          <w:rFonts w:ascii="Times New Roman" w:hAnsi="Times New Roman" w:cs="Times New Roman"/>
          <w:sz w:val="24"/>
          <w:szCs w:val="24"/>
        </w:rPr>
        <w:lastRenderedPageBreak/>
        <w:t xml:space="preserve">hardware architecture leverages the ESP32's internal INPUT_PULLUP circuitry. The physical switches bridge the respective digital GPIO pins (D22, D23, D32) directly to a common ground. When a compartment lid is opened, the circuit completes, pulling the pin LOW. The edge firmware </w:t>
      </w:r>
      <w:r w:rsidR="00C03A05">
        <w:rPr>
          <w:noProof/>
        </w:rPr>
        <w:drawing>
          <wp:anchor distT="0" distB="0" distL="114300" distR="114300" simplePos="0" relativeHeight="251659264" behindDoc="0" locked="0" layoutInCell="1" allowOverlap="1" wp14:anchorId="634D8FE9" wp14:editId="317E42A7">
            <wp:simplePos x="0" y="0"/>
            <wp:positionH relativeFrom="margin">
              <wp:align>right</wp:align>
            </wp:positionH>
            <wp:positionV relativeFrom="paragraph">
              <wp:posOffset>796608</wp:posOffset>
            </wp:positionV>
            <wp:extent cx="2386330" cy="24237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512" t="-3457" r="41315" b="3457"/>
                    <a:stretch/>
                  </pic:blipFill>
                  <pic:spPr bwMode="auto">
                    <a:xfrm rot="5400000" flipV="1">
                      <a:off x="0" y="0"/>
                      <a:ext cx="2386330" cy="2423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64B7C">
        <w:rPr>
          <w:rFonts w:ascii="Times New Roman" w:hAnsi="Times New Roman" w:cs="Times New Roman"/>
          <w:sz w:val="24"/>
          <w:szCs w:val="24"/>
        </w:rPr>
        <w:t>registers this state change as a confirmed pill consumption event.</w:t>
      </w:r>
    </w:p>
    <w:p w14:paraId="266F7A31" w14:textId="2475F32C" w:rsidR="00282A00" w:rsidRDefault="00282A00" w:rsidP="00282A00">
      <w:pPr>
        <w:tabs>
          <w:tab w:val="left" w:pos="5700"/>
        </w:tabs>
        <w:jc w:val="both"/>
        <w:rPr>
          <w:rFonts w:ascii="Times New Roman" w:hAnsi="Times New Roman" w:cs="Times New Roman"/>
          <w:sz w:val="24"/>
          <w:szCs w:val="24"/>
        </w:rPr>
      </w:pPr>
      <w:r w:rsidRPr="00864B7C">
        <w:rPr>
          <w:rFonts w:ascii="Times New Roman" w:hAnsi="Times New Roman" w:cs="Times New Roman"/>
          <w:noProof/>
          <w:sz w:val="24"/>
          <w:szCs w:val="24"/>
        </w:rPr>
        <w:drawing>
          <wp:anchor distT="0" distB="0" distL="114300" distR="114300" simplePos="0" relativeHeight="251658240" behindDoc="0" locked="0" layoutInCell="1" allowOverlap="1" wp14:anchorId="19B3F2B4" wp14:editId="66A58A86">
            <wp:simplePos x="0" y="0"/>
            <wp:positionH relativeFrom="column">
              <wp:posOffset>68580</wp:posOffset>
            </wp:positionH>
            <wp:positionV relativeFrom="paragraph">
              <wp:posOffset>10795</wp:posOffset>
            </wp:positionV>
            <wp:extent cx="3368040" cy="2301108"/>
            <wp:effectExtent l="0" t="0" r="3810" b="4445"/>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rotWithShape="1">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rcRect t="3687" b="35896"/>
                    <a:stretch/>
                  </pic:blipFill>
                  <pic:spPr bwMode="auto">
                    <a:xfrm>
                      <a:off x="0" y="0"/>
                      <a:ext cx="3382163" cy="23107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r>
        <w:t> </w:t>
      </w:r>
    </w:p>
    <w:p w14:paraId="69104964" w14:textId="7BD7DDBB" w:rsidR="00282A00" w:rsidRDefault="00282A00" w:rsidP="00075739">
      <w:pPr>
        <w:jc w:val="both"/>
        <w:rPr>
          <w:rFonts w:ascii="Times New Roman" w:hAnsi="Times New Roman" w:cs="Times New Roman"/>
          <w:sz w:val="24"/>
          <w:szCs w:val="24"/>
        </w:rPr>
      </w:pPr>
    </w:p>
    <w:p w14:paraId="717A93EF" w14:textId="068A1FC1" w:rsidR="00282A00" w:rsidRDefault="00282A00" w:rsidP="00075739">
      <w:pPr>
        <w:jc w:val="both"/>
        <w:rPr>
          <w:rFonts w:ascii="Times New Roman" w:hAnsi="Times New Roman" w:cs="Times New Roman"/>
          <w:sz w:val="24"/>
          <w:szCs w:val="24"/>
        </w:rPr>
      </w:pPr>
    </w:p>
    <w:p w14:paraId="7BF0E030" w14:textId="2CA429D1" w:rsidR="00282A00" w:rsidRDefault="00282A00" w:rsidP="00075739">
      <w:pPr>
        <w:jc w:val="both"/>
        <w:rPr>
          <w:rFonts w:ascii="Times New Roman" w:hAnsi="Times New Roman" w:cs="Times New Roman"/>
          <w:sz w:val="24"/>
          <w:szCs w:val="24"/>
        </w:rPr>
      </w:pPr>
    </w:p>
    <w:p w14:paraId="30E50839" w14:textId="5D794F9E" w:rsidR="00282A00" w:rsidRDefault="00282A00" w:rsidP="00075739">
      <w:pPr>
        <w:jc w:val="both"/>
        <w:rPr>
          <w:rFonts w:ascii="Times New Roman" w:hAnsi="Times New Roman" w:cs="Times New Roman"/>
          <w:sz w:val="24"/>
          <w:szCs w:val="24"/>
        </w:rPr>
      </w:pPr>
    </w:p>
    <w:p w14:paraId="11F0433B" w14:textId="494FF850" w:rsidR="00282A00" w:rsidRDefault="00282A00" w:rsidP="00075739">
      <w:pPr>
        <w:jc w:val="both"/>
        <w:rPr>
          <w:rFonts w:ascii="Times New Roman" w:hAnsi="Times New Roman" w:cs="Times New Roman"/>
          <w:sz w:val="24"/>
          <w:szCs w:val="24"/>
        </w:rPr>
      </w:pPr>
    </w:p>
    <w:p w14:paraId="1BF5F2A7" w14:textId="456A9F20" w:rsidR="00282A00" w:rsidRDefault="00282A00" w:rsidP="00075739">
      <w:pPr>
        <w:jc w:val="both"/>
        <w:rPr>
          <w:rFonts w:ascii="Times New Roman" w:hAnsi="Times New Roman" w:cs="Times New Roman"/>
          <w:sz w:val="24"/>
          <w:szCs w:val="24"/>
        </w:rPr>
      </w:pPr>
    </w:p>
    <w:p w14:paraId="266759C8" w14:textId="65EC0840" w:rsidR="00282A00" w:rsidRDefault="00282A00" w:rsidP="00075739">
      <w:pPr>
        <w:jc w:val="both"/>
        <w:rPr>
          <w:rFonts w:ascii="Times New Roman" w:hAnsi="Times New Roman" w:cs="Times New Roman"/>
          <w:sz w:val="24"/>
          <w:szCs w:val="24"/>
        </w:rPr>
      </w:pPr>
    </w:p>
    <w:p w14:paraId="2B055ABD" w14:textId="77777777" w:rsidR="00282A00" w:rsidRDefault="00282A00" w:rsidP="00075739">
      <w:pPr>
        <w:jc w:val="both"/>
        <w:rPr>
          <w:rFonts w:ascii="Times New Roman" w:hAnsi="Times New Roman" w:cs="Times New Roman"/>
          <w:sz w:val="24"/>
          <w:szCs w:val="24"/>
        </w:rPr>
      </w:pPr>
    </w:p>
    <w:p w14:paraId="2998FDD6" w14:textId="77777777" w:rsidR="00282A00" w:rsidRPr="00864B7C" w:rsidRDefault="00282A00" w:rsidP="00075739">
      <w:pPr>
        <w:jc w:val="both"/>
        <w:rPr>
          <w:rFonts w:ascii="Times New Roman" w:hAnsi="Times New Roman" w:cs="Times New Roman"/>
          <w:sz w:val="24"/>
          <w:szCs w:val="24"/>
        </w:rPr>
      </w:pPr>
    </w:p>
    <w:p w14:paraId="4AFB2687" w14:textId="77777777" w:rsidR="00864B7C" w:rsidRPr="00282A00" w:rsidRDefault="00864B7C" w:rsidP="00075739">
      <w:pPr>
        <w:jc w:val="both"/>
        <w:rPr>
          <w:rFonts w:ascii="Times New Roman" w:hAnsi="Times New Roman" w:cs="Times New Roman"/>
          <w:b/>
          <w:bCs/>
          <w:sz w:val="24"/>
          <w:szCs w:val="24"/>
        </w:rPr>
      </w:pPr>
      <w:r w:rsidRPr="00282A00">
        <w:rPr>
          <w:rFonts w:ascii="Times New Roman" w:hAnsi="Times New Roman" w:cs="Times New Roman"/>
          <w:b/>
          <w:bCs/>
          <w:sz w:val="24"/>
          <w:szCs w:val="24"/>
        </w:rPr>
        <w:t>3. Optical Biometric Sensor Integration</w:t>
      </w:r>
    </w:p>
    <w:p w14:paraId="18706DEA" w14:textId="6F4005A3" w:rsidR="00864B7C"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To facilitate the localized tracking of patient vitals, the architecture incorporates a MAX30102 high-sensitivity pulse oximeter and heart rate sensor [4]. This module operates on the principle of reflective photoplethysmography (PPG).</w:t>
      </w:r>
      <w:r w:rsidR="00282A00">
        <w:rPr>
          <w:rFonts w:ascii="Times New Roman" w:hAnsi="Times New Roman" w:cs="Times New Roman"/>
          <w:sz w:val="24"/>
          <w:szCs w:val="24"/>
        </w:rPr>
        <w:t xml:space="preserve"> </w:t>
      </w:r>
      <w:r w:rsidRPr="00864B7C">
        <w:rPr>
          <w:rFonts w:ascii="Times New Roman" w:hAnsi="Times New Roman" w:cs="Times New Roman"/>
          <w:sz w:val="24"/>
          <w:szCs w:val="24"/>
        </w:rPr>
        <w:t>Optical Array: The module contains two specialized light-emitting diodes: a Red LED (660nm) and an Infrared (IR) LED (880nm). These wavelengths are optimized to measure the differential absorption of light by oxygenated and deoxygenated hemoglobin in the peripheral capillary bed.</w:t>
      </w:r>
      <w:r w:rsidR="00282A00">
        <w:rPr>
          <w:rFonts w:ascii="Times New Roman" w:hAnsi="Times New Roman" w:cs="Times New Roman"/>
          <w:sz w:val="24"/>
          <w:szCs w:val="24"/>
        </w:rPr>
        <w:t xml:space="preserve"> </w:t>
      </w:r>
      <w:r w:rsidRPr="00864B7C">
        <w:rPr>
          <w:rFonts w:ascii="Times New Roman" w:hAnsi="Times New Roman" w:cs="Times New Roman"/>
          <w:sz w:val="24"/>
          <w:szCs w:val="24"/>
        </w:rPr>
        <w:t>Data Acquisition: A built-in high-resolution Analog-to-Digital Converter (ADC) captures the reflected optical data. To ensure rapid data transfer to the primary processor, the sensor is interfaced with the ESP32 via an I2C bus running at a Fast Mode clock speed (400 kHz). The I2C lines are remapped to GPIO pins D12 (SDA) and D13 (SCL) to optimize the physical routing of the circuit board.</w:t>
      </w:r>
    </w:p>
    <w:p w14:paraId="1C632DDE" w14:textId="1315A932" w:rsidR="00C03A05" w:rsidRPr="00C03A05" w:rsidRDefault="001A1A91" w:rsidP="00C03A05">
      <w:pPr>
        <w:spacing w:after="0" w:line="240" w:lineRule="auto"/>
        <w:rPr>
          <w:rFonts w:ascii="Times New Roman" w:eastAsia="Times New Roman" w:hAnsi="Times New Roman" w:cs="Times New Roman"/>
          <w:sz w:val="24"/>
          <w:szCs w:val="24"/>
        </w:rPr>
      </w:pPr>
      <w:r w:rsidRPr="00C03A05">
        <w:rPr>
          <w:rFonts w:ascii="Times New Roman" w:hAnsi="Times New Roman" w:cs="Times New Roman"/>
          <w:noProof/>
          <w:sz w:val="24"/>
          <w:szCs w:val="24"/>
        </w:rPr>
        <w:drawing>
          <wp:anchor distT="0" distB="0" distL="114300" distR="114300" simplePos="0" relativeHeight="251660288" behindDoc="0" locked="0" layoutInCell="1" allowOverlap="1" wp14:anchorId="3F213CF3" wp14:editId="03A51E2D">
            <wp:simplePos x="0" y="0"/>
            <wp:positionH relativeFrom="margin">
              <wp:posOffset>1112520</wp:posOffset>
            </wp:positionH>
            <wp:positionV relativeFrom="paragraph">
              <wp:posOffset>6350</wp:posOffset>
            </wp:positionV>
            <wp:extent cx="1783080" cy="1536700"/>
            <wp:effectExtent l="0" t="0" r="762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0087" t="41100" r="6263" b="29500"/>
                    <a:stretch/>
                  </pic:blipFill>
                  <pic:spPr bwMode="auto">
                    <a:xfrm>
                      <a:off x="0" y="0"/>
                      <a:ext cx="1783080" cy="1536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3A05" w:rsidRPr="00C03A05">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276A34B" wp14:editId="7B106F56">
            <wp:simplePos x="0" y="0"/>
            <wp:positionH relativeFrom="column">
              <wp:posOffset>3093720</wp:posOffset>
            </wp:positionH>
            <wp:positionV relativeFrom="paragraph">
              <wp:posOffset>6349</wp:posOffset>
            </wp:positionV>
            <wp:extent cx="1760220" cy="1536041"/>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40329" t="32408" r="24774" b="50462"/>
                    <a:stretch/>
                  </pic:blipFill>
                  <pic:spPr bwMode="auto">
                    <a:xfrm>
                      <a:off x="0" y="0"/>
                      <a:ext cx="1768464" cy="1543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2BFDC1" w14:textId="662A0087" w:rsidR="00C03A05" w:rsidRPr="00C03A05" w:rsidRDefault="00C03A05" w:rsidP="00C03A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p>
    <w:p w14:paraId="2C357B9B" w14:textId="74D4C8CB" w:rsidR="00864B7C" w:rsidRDefault="00864B7C" w:rsidP="00075739">
      <w:pPr>
        <w:jc w:val="both"/>
        <w:rPr>
          <w:rFonts w:ascii="Times New Roman" w:hAnsi="Times New Roman" w:cs="Times New Roman"/>
          <w:sz w:val="24"/>
          <w:szCs w:val="24"/>
        </w:rPr>
      </w:pPr>
    </w:p>
    <w:p w14:paraId="2228003F" w14:textId="13BBDAC8" w:rsidR="00C03A05" w:rsidRDefault="00C03A05" w:rsidP="00075739">
      <w:pPr>
        <w:jc w:val="both"/>
        <w:rPr>
          <w:rFonts w:ascii="Times New Roman" w:hAnsi="Times New Roman" w:cs="Times New Roman"/>
          <w:sz w:val="24"/>
          <w:szCs w:val="24"/>
        </w:rPr>
      </w:pPr>
    </w:p>
    <w:p w14:paraId="28C4F85C" w14:textId="2778A2C3" w:rsidR="00C03A05" w:rsidRDefault="00C03A05" w:rsidP="00075739">
      <w:pPr>
        <w:jc w:val="both"/>
        <w:rPr>
          <w:rFonts w:ascii="Times New Roman" w:hAnsi="Times New Roman" w:cs="Times New Roman"/>
          <w:sz w:val="24"/>
          <w:szCs w:val="24"/>
        </w:rPr>
      </w:pPr>
    </w:p>
    <w:p w14:paraId="5A08D54D" w14:textId="1FEBC93C" w:rsidR="00C03A05" w:rsidRDefault="00C03A05" w:rsidP="00075739">
      <w:pPr>
        <w:jc w:val="both"/>
        <w:rPr>
          <w:rFonts w:ascii="Times New Roman" w:hAnsi="Times New Roman" w:cs="Times New Roman"/>
          <w:sz w:val="24"/>
          <w:szCs w:val="24"/>
        </w:rPr>
      </w:pPr>
    </w:p>
    <w:p w14:paraId="3393C99B" w14:textId="41089F08" w:rsidR="00C03A05" w:rsidRDefault="00C03A05" w:rsidP="00075739">
      <w:pPr>
        <w:jc w:val="both"/>
        <w:rPr>
          <w:rFonts w:ascii="Times New Roman" w:hAnsi="Times New Roman" w:cs="Times New Roman"/>
          <w:sz w:val="24"/>
          <w:szCs w:val="24"/>
        </w:rPr>
      </w:pPr>
    </w:p>
    <w:p w14:paraId="02C9D4C5" w14:textId="77777777" w:rsidR="001A1A91" w:rsidRPr="00864B7C" w:rsidRDefault="001A1A91" w:rsidP="00075739">
      <w:pPr>
        <w:jc w:val="both"/>
        <w:rPr>
          <w:rFonts w:ascii="Times New Roman" w:hAnsi="Times New Roman" w:cs="Times New Roman"/>
          <w:sz w:val="24"/>
          <w:szCs w:val="24"/>
        </w:rPr>
      </w:pPr>
    </w:p>
    <w:p w14:paraId="1AD3BBBB" w14:textId="77777777" w:rsidR="00864B7C" w:rsidRPr="00282A00" w:rsidRDefault="00864B7C" w:rsidP="00075739">
      <w:pPr>
        <w:jc w:val="both"/>
        <w:rPr>
          <w:rFonts w:ascii="Times New Roman" w:hAnsi="Times New Roman" w:cs="Times New Roman"/>
          <w:b/>
          <w:bCs/>
          <w:sz w:val="24"/>
          <w:szCs w:val="24"/>
        </w:rPr>
      </w:pPr>
      <w:r w:rsidRPr="00282A00">
        <w:rPr>
          <w:rFonts w:ascii="Times New Roman" w:hAnsi="Times New Roman" w:cs="Times New Roman"/>
          <w:b/>
          <w:bCs/>
          <w:sz w:val="24"/>
          <w:szCs w:val="24"/>
        </w:rPr>
        <w:lastRenderedPageBreak/>
        <w:t>4. Power Distribution and System Constraints</w:t>
      </w:r>
    </w:p>
    <w:p w14:paraId="3247A144" w14:textId="73064613" w:rsidR="00864B7C"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The entire hardware suite is designed to be powered via a standard 5V USB interface. The power topology utilizes the ESP32 development board's onboard Low-Dropout (LDO) linear voltage regulator to step the 5V input down to the stable 3.3V required by the Xtensa microprocessor and the MAX30102 sensor logic.</w:t>
      </w:r>
      <w:r w:rsidR="00282A00">
        <w:rPr>
          <w:rFonts w:ascii="Times New Roman" w:hAnsi="Times New Roman" w:cs="Times New Roman"/>
          <w:sz w:val="24"/>
          <w:szCs w:val="24"/>
        </w:rPr>
        <w:t xml:space="preserve"> </w:t>
      </w:r>
      <w:r w:rsidRPr="00864B7C">
        <w:rPr>
          <w:rFonts w:ascii="Times New Roman" w:hAnsi="Times New Roman" w:cs="Times New Roman"/>
          <w:sz w:val="24"/>
          <w:szCs w:val="24"/>
        </w:rPr>
        <w:t>By actively monitoring the IR data buffer, the hardware employs an algorithmic power-saving mechanism. The ESP32 dynamically flushes the measurement arrays when the IR reflection drops below a critical threshold (indicating the absence of a finger), effectively forcing the sensor into a low-power "Idle State" when not actively gathering biometric samples.</w:t>
      </w:r>
    </w:p>
    <w:p w14:paraId="01028752" w14:textId="77777777" w:rsidR="00864B7C" w:rsidRPr="00864B7C" w:rsidRDefault="00864B7C" w:rsidP="00075739">
      <w:pPr>
        <w:jc w:val="both"/>
        <w:rPr>
          <w:rFonts w:ascii="Times New Roman" w:hAnsi="Times New Roman" w:cs="Times New Roman"/>
          <w:sz w:val="24"/>
          <w:szCs w:val="24"/>
        </w:rPr>
      </w:pPr>
    </w:p>
    <w:p w14:paraId="590E118E" w14:textId="55D455BB" w:rsidR="00864B7C"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References</w:t>
      </w:r>
    </w:p>
    <w:p w14:paraId="0BC45A58" w14:textId="77777777" w:rsidR="00864B7C" w:rsidRPr="00864B7C" w:rsidRDefault="00864B7C" w:rsidP="00075739">
      <w:pPr>
        <w:jc w:val="both"/>
        <w:rPr>
          <w:rFonts w:ascii="Times New Roman" w:hAnsi="Times New Roman" w:cs="Times New Roman"/>
          <w:sz w:val="24"/>
          <w:szCs w:val="24"/>
        </w:rPr>
      </w:pPr>
    </w:p>
    <w:p w14:paraId="06CA942D" w14:textId="25802B92" w:rsidR="00864B7C"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[1] P. Fraga-Lamas, D. Barros, and S. I. Lopes, "The Role of ESP32 in Enabling Industry 4.0 and 5.0: A Comprehensive Narrative Review of Edge Intelligence, Human-Centric Automation, and Sustainable Innovation," IEEE Internet Things J., vol. 11, no. 11, pp. 19070–19093, 2024. [Online]. Available: https://www.preprints.org/manuscript/202508.0014</w:t>
      </w:r>
    </w:p>
    <w:p w14:paraId="229A053E" w14:textId="77777777" w:rsidR="00864B7C"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[2] A. Author et al., "Enhanced Secure Blockchain-edge-internet of Things System for Real-time Healthcare Monitoring," Int. J. Intell. Eng. Syst., 2025. [Online]. Available: https://inass.org/wp-content/uploads/2025/08/2025113032.pdf</w:t>
      </w:r>
    </w:p>
    <w:p w14:paraId="546AE17F" w14:textId="697829A6" w:rsidR="00864B7C"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[3] R. Al-Shammary, D. Mousa, and S. E. Esmaeili, "The design of a smart medicine box," in Proc. Iranian Conf. Electr. Eng. (ICEE), May 2018, pp. 130–134, doi: 10.1109/ICEE.2018.8472476.</w:t>
      </w:r>
    </w:p>
    <w:p w14:paraId="1A4389D3" w14:textId="600979D7" w:rsidR="003F1D85" w:rsidRPr="00864B7C" w:rsidRDefault="00864B7C" w:rsidP="00075739">
      <w:pPr>
        <w:jc w:val="both"/>
        <w:rPr>
          <w:rFonts w:ascii="Times New Roman" w:hAnsi="Times New Roman" w:cs="Times New Roman"/>
          <w:sz w:val="24"/>
          <w:szCs w:val="24"/>
        </w:rPr>
      </w:pPr>
      <w:r w:rsidRPr="00864B7C">
        <w:rPr>
          <w:rFonts w:ascii="Times New Roman" w:hAnsi="Times New Roman" w:cs="Times New Roman"/>
          <w:sz w:val="24"/>
          <w:szCs w:val="24"/>
        </w:rPr>
        <w:t>[4] S. Author et al., "An IoT-Based Wireless Wearable Health Monitoring System Using ESP32 with Machine Learning-Driven Cloud Visualization," Int. J. Drug Deliv. Technol., vol. 16, 2025. [Online]. Available: https://impactfactor.org/PDF/IJDDT/16/IJDDT,Vol16,Issue37s,Article17.pdf</w:t>
      </w:r>
      <w:r w:rsidRPr="00864B7C">
        <w:rPr>
          <w:rFonts w:ascii="Times New Roman" w:hAnsi="Times New Roman" w:cs="Times New Roman"/>
          <w:noProof/>
          <w:sz w:val="24"/>
          <w:szCs w:val="24"/>
        </w:rPr>
        <w:t xml:space="preserve"> </w:t>
      </w:r>
    </w:p>
    <w:sectPr w:rsidR="003F1D85" w:rsidRPr="00864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94"/>
    <w:rsid w:val="00075739"/>
    <w:rsid w:val="00133994"/>
    <w:rsid w:val="00150DE4"/>
    <w:rsid w:val="001A1A91"/>
    <w:rsid w:val="00282A00"/>
    <w:rsid w:val="003F1D85"/>
    <w:rsid w:val="00864B7C"/>
    <w:rsid w:val="0090759A"/>
    <w:rsid w:val="00980819"/>
    <w:rsid w:val="00C03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8753"/>
  <w15:chartTrackingRefBased/>
  <w15:docId w15:val="{9E2042DA-FB92-42FA-AD90-28665C2A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506973">
      <w:bodyDiv w:val="1"/>
      <w:marLeft w:val="0"/>
      <w:marRight w:val="0"/>
      <w:marTop w:val="0"/>
      <w:marBottom w:val="0"/>
      <w:divBdr>
        <w:top w:val="none" w:sz="0" w:space="0" w:color="auto"/>
        <w:left w:val="none" w:sz="0" w:space="0" w:color="auto"/>
        <w:bottom w:val="none" w:sz="0" w:space="0" w:color="auto"/>
        <w:right w:val="none" w:sz="0" w:space="0" w:color="auto"/>
      </w:divBdr>
    </w:div>
    <w:div w:id="1679888130">
      <w:bodyDiv w:val="1"/>
      <w:marLeft w:val="0"/>
      <w:marRight w:val="0"/>
      <w:marTop w:val="0"/>
      <w:marBottom w:val="0"/>
      <w:divBdr>
        <w:top w:val="none" w:sz="0" w:space="0" w:color="auto"/>
        <w:left w:val="none" w:sz="0" w:space="0" w:color="auto"/>
        <w:bottom w:val="none" w:sz="0" w:space="0" w:color="auto"/>
        <w:right w:val="none" w:sz="0" w:space="0" w:color="auto"/>
      </w:divBdr>
    </w:div>
    <w:div w:id="179660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Mohammad walid</dc:creator>
  <cp:keywords/>
  <dc:description/>
  <cp:lastModifiedBy>Sheikh Mohammad walid</cp:lastModifiedBy>
  <cp:revision>2</cp:revision>
  <dcterms:created xsi:type="dcterms:W3CDTF">2026-07-09T12:30:00Z</dcterms:created>
  <dcterms:modified xsi:type="dcterms:W3CDTF">2026-07-09T15:58:00Z</dcterms:modified>
</cp:coreProperties>
</file>