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História de usuário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Número 001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Landing Page (GhostSec)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Descrição: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Desenvolver uma plataforma sem fins lucrativos para aproximar a comunidade de hackers éticos. O objetivo é compartilhar conhecimento.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Criar uma Landing Page com login e senha, com intuito de apresentar ao usuário uma página de autenticação logo no início da experiência e poder classificar o usuário e suas restrições.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Critérios de aceitação: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precisa preencher obrigatoriamente o campo de usuário e senha para autenticar.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Campos obrigatórios. Gerar erros caso o usuário não preencha os campos.</w:t>
        <w:tab/>
        <w:tab/>
        <w:tab/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Pré 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tecnologias usadas devem ser HTML+CSS e Javascript.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utilização de banco de dados, momentaneamente.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 utilização de API’s e frameworks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Pós 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Após pressionar o botão “Login”, o usuário faz o login e acessa todo conteúdo da plataforma.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Diagrama (se aplicável)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Notas de implementação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Botão “eye” para mostrar/ocultar senha em todos os campos “Password”.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Definir caracteres mínimos e máximos para cada campo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fundo de toda página, irá passar em forma de slide, algumas imagens para identificação do serviço.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Oferecer a opção de login com conta Google.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 obter um link para a página “esqueci minha senha” e “cadastre-se”.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Adicionar ícone ao lado do título da página.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Adicionar interação com o usuário ao passar o mouse por cima do botão logar.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Só poderá acionar o botão “Logar” quando os campos obrigatórios estiverem preenchidos.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mjxf3hCs5p57xj/eeR1G41N+A==">CgMxLjA4AHIhMVVTWGNKeFNiMFpNYTNfMXFpcXN1a195c2hqZUk0LXhv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