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81607">
      <w:pPr>
        <w:pStyle w:val="2"/>
        <w:keepNext w:val="0"/>
        <w:keepLines w:val="0"/>
        <w:widowControl/>
        <w:suppressLineNumbers w:val="0"/>
        <w:spacing w:before="800" w:beforeAutospacing="0" w:after="520" w:afterAutospacing="0" w:line="680" w:lineRule="atLeast"/>
        <w:rPr>
          <w:b/>
          <w:bCs/>
          <w:sz w:val="68"/>
          <w:szCs w:val="68"/>
        </w:rPr>
      </w:pPr>
      <w:r>
        <w:rPr>
          <w:b/>
          <w:bCs/>
          <w:i w:val="0"/>
          <w:iCs w:val="0"/>
          <w:caps w:val="0"/>
          <w:color w:val="000000"/>
          <w:spacing w:val="0"/>
          <w:sz w:val="68"/>
          <w:szCs w:val="68"/>
          <w:shd w:val="clear" w:fill="FFFFFF"/>
        </w:rPr>
        <w:t>万字深度：AI泡沫挤完了吗？</w:t>
      </w:r>
      <w:bookmarkStart w:id="0" w:name="_GoBack"/>
      <w:bookmarkEnd w:id="0"/>
    </w:p>
    <w:p w14:paraId="77B3BA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 w:line="33" w:lineRule="atLeast"/>
        <w:ind w:left="720" w:right="720"/>
        <w:jc w:val="both"/>
        <w:rPr>
          <w:color w:val="70707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707070"/>
          <w:spacing w:val="0"/>
          <w:sz w:val="21"/>
          <w:szCs w:val="21"/>
          <w:bdr w:val="none" w:color="auto" w:sz="0" w:space="0"/>
          <w:shd w:val="clear" w:fill="FFFFFF"/>
        </w:rPr>
        <w:t>从港股“第一高价股”1330港元高位坠落，到恒生科技指数首次纳入国产大模型龙头，再到英伟达金融杠杆与AI泡沫的嵌套闭环——一场围绕AI估值、指数换血与行业出清的连锁反应正在展开。</w:t>
      </w:r>
    </w:p>
    <w:p w14:paraId="73C7D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rPr>
          <w:color w:val="70707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B75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一、MiniMax：从“神坛”到回撤37%</w:t>
      </w:r>
    </w:p>
    <w:p w14:paraId="1807FA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1.1 近期股价表现概览</w:t>
      </w:r>
    </w:p>
    <w:p w14:paraId="4BB4CF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MiniMax于2026年1月9日在港交所上市，发行价165港元，首日收盘大涨109%，市场反应热烈。此后股价一路走高，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3月18日达到1330港元的历史高点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，成为当时的港股第一高价股。</w:t>
      </w:r>
    </w:p>
    <w:p w14:paraId="493CD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在股价登顶后，MiniMax开启了震荡下行通道。截至5月29日，其股价已回落至840港元，自高点回撤近37%。具体暴跌节点如下：</w:t>
      </w:r>
    </w:p>
    <w:p w14:paraId="1B9A8F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4月27日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：受DeepSeek V4模型发布的冲击，MiniMax股价遭遇重创，一度跌至660港元，较此前1330港元的历史高点直接“腰斩”。（来源：港交所每日行情）</w:t>
      </w:r>
    </w:p>
    <w:p w14:paraId="4D646B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5月12日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：股价再次跌超6%，报690.5港元，自高点回撤幅度扩大至48%。（来源：港交所每日行情）</w:t>
      </w:r>
    </w:p>
    <w:p w14:paraId="16ADF7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5月20日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：股价大幅下跌7.47%至687港元，技术指标出现空头信号。（来源：港交所每日行情）</w:t>
      </w:r>
    </w:p>
    <w:p w14:paraId="75A479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1.2 暴跌背后：多重压力下的估值重估</w:t>
      </w:r>
    </w:p>
    <w:p w14:paraId="03F30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MiniMax股价暴跌的背后，是市场对AI行业竞争格局、公司自身估值和基本面的重新审视。</w:t>
      </w:r>
    </w:p>
    <w:p w14:paraId="5A4789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行业竞争加剧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：最具冲击力的负面新闻来自于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DeepSeek V4模型的发布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。该模型以极低的价格（输入缓存命中价格为每百万tokens 0.02元）提供了接近顶尖闭源模型的性能。这被市场普遍认为是MiniMax股价大跌的直接导火索。摩根大通则认为，这种短期调整可能是过度反应。</w:t>
      </w:r>
    </w:p>
    <w:p w14:paraId="2D9BB7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市场情绪与获利了结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：股价短期内涨幅巨大，积累了丰厚的获利盘。数据显示，自年初上市至高点，其股价涨幅超过7倍。市场对AI赛道的狂热情绪出现降温，投资者在高位选择获利了结，是引发集体回调的一个重要原因。</w:t>
      </w:r>
    </w:p>
    <w:p w14:paraId="74ABBA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基本面与估值错配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虽然收入高速增长，但公司仍处于巨额亏损状态，2025年净亏损约17.3亿元人民币（来源：2025年年报）。以5月29日840港元的股价计算，其市销率远超国际AI巨头OpenAI，市场对其“烧钱换增长”的模式能否持续存有疑虑，估值泡沫的讨论时有发生。</w:t>
      </w:r>
    </w:p>
    <w:p w14:paraId="03D7F3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1.3 最新动态：启动“A+H”双平台上市</w:t>
      </w:r>
    </w:p>
    <w:p w14:paraId="249E8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尽管股价承压，MiniMax在资本运作上并未停下脚步。</w:t>
      </w:r>
    </w:p>
    <w:p w14:paraId="351A6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2026年5月29日，MiniMax已与中信证券签署上市辅导协议，正式启动A股IPO进程，计划冲刺科创板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，以期打造“A+H”双上市平台。（来源：公司公告）</w:t>
      </w:r>
    </w:p>
    <w:p w14:paraId="149D1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这一消息公布后，市场反应复杂，MiniMax股价在5月30日出现了剧烈波动：开盘1650港元，盘中一度大幅冲高，但随后迅速回落，最终收于1595港元，单日振幅高达30.47%。（来源：港交所每日行情）</w:t>
      </w:r>
    </w:p>
    <w:p w14:paraId="35E4F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EAA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二、智谱：“抽水机”模式与模型竞争的不确定性</w:t>
      </w:r>
    </w:p>
    <w:p w14:paraId="07780B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2.1 开启“抽水机”模式</w:t>
      </w:r>
    </w:p>
    <w:p w14:paraId="5A6BD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智谱是本轮AI行情中弹性最大的一只标的。自1月8日以116.2港元发行价上市以来，股价已累计上涨近16倍。5月29日盘中一度飙升至1993港元，市值短暂突破8800亿港元，一度超越小米，跻身中国科技公司市值第四位，但当日随即大幅回落。（来源：港交所每日行情）</w:t>
      </w:r>
    </w:p>
    <w:p w14:paraId="0F1855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值得注意的是，智谱的价格策略与行业整体趋势背离——当DeepSeek和小米竞相宣布API大幅降价时，智谱却提升了API定价，同时调用量反而增长了400%，市场呈现出显著的供不应求状态。支撑其高估值的另一重因素是：2026年一季度Token调用量增长400%，API调用定价提升——价量齐升将高估值推向新的极端。上一轮融资中，阿里巴巴和腾讯等已对智谱投入大量资金。</w:t>
      </w:r>
    </w:p>
    <w:p w14:paraId="2B1AA6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2.2 模型竞争的不确定性</w:t>
      </w:r>
    </w:p>
    <w:p w14:paraId="513EE0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智谱在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编程（coding）领域确实强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，但国内模型之间未拉开实质差距：</w:t>
      </w:r>
    </w:p>
    <w:p w14:paraId="389E8C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可灵一度碾压谷歌Veo 3和OpenAI Sora 2，但字节Seedance 2.0出来后就泄洪了。</w:t>
      </w:r>
    </w:p>
    <w:p w14:paraId="0AE9F5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字节也在发力coding，不排除出现类似“Seedance 2.0”的冲击。</w:t>
      </w:r>
    </w:p>
    <w:p w14:paraId="3D3277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海外coding领域也不是强者恒强：OpenAI的coding发展迅速，已有用户反馈超过Claude。</w:t>
      </w:r>
    </w:p>
    <w:p w14:paraId="718C68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这意味着，即使智谱目前在编程领域领先，也无法保证长期的护城河。</w:t>
      </w:r>
    </w:p>
    <w:p w14:paraId="5B57E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39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三、其他大模型公司的估值图谱</w:t>
      </w:r>
    </w:p>
    <w:p w14:paraId="73B834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3.1 智谱：开启“抽水机”模式（内容同第二章2.1，此处略）</w:t>
      </w:r>
    </w:p>
    <w:p w14:paraId="0F3990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3.2 MiniMax：曾经“第一高价股”，如今疲态明显</w:t>
      </w:r>
    </w:p>
    <w:p w14:paraId="6BEFB1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MiniMax是最早登陆港股的“大模型六小虎”之一，从创立到敲钟用时四年多，创下全球AI公司从创立至IPO的最快纪录。其股价在3月18日触及1330港元的历史高点，一度登顶港股第一高价股。然而，随着大模型赛道竞争的白热化，MiniMax股价自高点已回撤约37%，截至5月29日收报840港元，总市值约2635亿港元，与智谱的差距已超过4000亿港元。</w:t>
      </w:r>
    </w:p>
    <w:p w14:paraId="57018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与智谱相比，MiniMax的财务特征明显不同：收入规模更小（2025年总收入约7900万美元），但亏损也相对收敛（经调整净亏损约2.5亿美元，来源：招股书及年报）。国际化程度更高，超70%收入来自国际市场（招股书预测数据，非经审计最终确认）。</w:t>
      </w:r>
    </w:p>
    <w:p w14:paraId="241FCC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3.3 腾讯：AI战略“船漏水了”，估值承压</w:t>
      </w:r>
    </w:p>
    <w:p w14:paraId="75568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腾讯自去年9月股价冲高至677港元后掉头向下，截至5月底累计跌幅超过三成，市值蒸发超2万亿港元。其AI战略被市场普遍认为“在早期过度依赖外部模型接入，自研混元大模型一度优先级下调，至今未能跻身通用大模型第一梯队”。</w:t>
      </w:r>
    </w:p>
    <w:p w14:paraId="789701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为了追赶，腾讯已宣布2026年AI投入“至少翻倍”，同时大幅削减股票回购，将资金导向AI算力建设。但摩根士丹利随即下调了腾讯的利润预期，指出更高的AI投资将对2026年利润增长形成拖累。以约428港元的价位计算，腾讯当前的市盈率处于近年偏低的水平。（来源：港交所行情、券商研报）</w:t>
      </w:r>
    </w:p>
    <w:p w14:paraId="15D0CC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3.4 阿里：AI开始“变现”的样板（基础内容）</w:t>
      </w:r>
    </w:p>
    <w:p w14:paraId="59D351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阿里的AI故事与腾讯形成鲜明对比——它已经进入了商业化回报阶段。阿里云外部商业化收入增速飙升至40%，AI相关收入占比已达30%，公司明确提出年底AI模型及应用服务ARR将突破300亿元人民币。花旗将阿里列为“中国AI投资首选”，预期阿里云AI相关收入到2031财年的年复合增长率将达到90%。</w:t>
      </w:r>
    </w:p>
    <w:p w14:paraId="028A6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阿里5月初的股价约为131.2港元，总市值约2.32万亿港元。业绩发布后市场给予正向反馈，股价逆势拉升。（来源：港交所行情、阿里财报）</w:t>
      </w:r>
    </w:p>
    <w:p w14:paraId="708F92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3.5 阿里：AI开始“变现”的样板（扩展：林俊旸离职的信号）</w:t>
      </w:r>
    </w:p>
    <w:p w14:paraId="29FB77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2026年3月，阿里千问大模型核心负责人林俊旸离职，被市场视为阿里AI从技术理想主义全面转向商业化的标志。随后林俊旸筹备新AI实验室，种子轮估值达20亿美元。阿里当前AI年化收入已超300亿元，云业务中AI收入占比达30%，商业化转型成效初显。</w:t>
      </w:r>
    </w:p>
    <w:p w14:paraId="4FBBE6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3.6 字节跳动：未上市的AI“隐形冠军”</w:t>
      </w:r>
    </w:p>
    <w:p w14:paraId="488EE9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字节跳动虽未公开上市，但在AI领域的投入和估值已远超许多上市公司。其二轮交易估值在2026年内已从约5500亿美元飙升至超过6000亿美元，已超越腾讯和阿里两家上市巨头的市值总和。</w:t>
      </w:r>
    </w:p>
    <w:p w14:paraId="1E270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核心驱动力来自豆包大模型的规模化应用：截至2026年3月，日均Token使用量突破120万亿，较发布时增长1000倍；全年资本开支预算高达1600亿人民币，远超腾讯同期的约1000亿（且后者中相当部分用于股价回购）。（来源：公开市场报道及公司披露数据）</w:t>
      </w:r>
    </w:p>
    <w:p w14:paraId="34AA51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3.7 其他大模型公司：估值集体抬升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9"/>
        <w:gridCol w:w="6747"/>
      </w:tblGrid>
      <w:tr w14:paraId="5F3EB47E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393CC1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公司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EF066D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最新估值/动态</w:t>
            </w:r>
          </w:p>
        </w:tc>
      </w:tr>
      <w:tr w14:paraId="66DE69B2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5E7422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rStyle w:val="6"/>
                <w:b/>
                <w:bCs/>
                <w:color w:val="222222"/>
                <w:sz w:val="32"/>
                <w:szCs w:val="32"/>
                <w:bdr w:val="none" w:color="auto" w:sz="0" w:space="0"/>
              </w:rPr>
              <w:t>DeepSeek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9EF747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首轮融资估值传闻达450-500亿美元，创始人梁文锋态度转变，开始引入外部融资</w:t>
            </w:r>
          </w:p>
        </w:tc>
      </w:tr>
      <w:tr w14:paraId="52296E72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D0B73C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rStyle w:val="6"/>
                <w:b/>
                <w:bCs/>
                <w:color w:val="222222"/>
                <w:sz w:val="32"/>
                <w:szCs w:val="32"/>
                <w:bdr w:val="none" w:color="auto" w:sz="0" w:space="0"/>
              </w:rPr>
              <w:t>阶跃星辰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178D22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完成近25亿美元融资，加速赴港IPO准备，获华为产业链多家公司及港投公司共同参与</w:t>
            </w:r>
          </w:p>
        </w:tc>
      </w:tr>
      <w:tr w14:paraId="3146E8EA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CC6C27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rStyle w:val="6"/>
                <w:b/>
                <w:bCs/>
                <w:color w:val="222222"/>
                <w:sz w:val="32"/>
                <w:szCs w:val="32"/>
                <w:bdr w:val="none" w:color="auto" w:sz="0" w:space="0"/>
              </w:rPr>
              <w:t>Kimi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90E922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完成约20亿美元新一轮融资，投后估值突破200亿美元</w:t>
            </w:r>
          </w:p>
        </w:tc>
      </w:tr>
      <w:tr w14:paraId="0DFBCCD7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D2D38B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rStyle w:val="6"/>
                <w:b/>
                <w:bCs/>
                <w:color w:val="222222"/>
                <w:sz w:val="32"/>
                <w:szCs w:val="32"/>
                <w:bdr w:val="none" w:color="auto" w:sz="0" w:space="0"/>
              </w:rPr>
              <w:t>零一万物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A41AB9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截至5月订单已超15亿元，李开复放言2026年率先盈利</w:t>
            </w:r>
          </w:p>
        </w:tc>
      </w:tr>
    </w:tbl>
    <w:p w14:paraId="52CC4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（注：以上估值均为媒体报道或传闻，未经公司官方确认。）</w:t>
      </w:r>
    </w:p>
    <w:p w14:paraId="0C87ED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3.8 总结：估值分化的背后逻辑</w:t>
      </w:r>
    </w:p>
    <w:p w14:paraId="1234AB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综合来看，国内AI大模型企业的估值分化正在加剧：</w:t>
      </w:r>
    </w:p>
    <w:p w14:paraId="14DC0F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智谱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凭借Token“涨价不降量”的定价权，加上即将纳入指数带来的被动买盘预期，成为AI行情中弹性最大的个股；</w:t>
      </w:r>
    </w:p>
    <w:p w14:paraId="78E1A2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MiniMax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则因竞争压力显现，股价已从“第一高价股”的高位明显回落；</w:t>
      </w:r>
    </w:p>
    <w:p w14:paraId="24BF53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腾讯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因AI战略滞后被市场“惩罚”，股价和估值同步承压，不得不牺牲回购来换取AI投入；</w:t>
      </w:r>
    </w:p>
    <w:p w14:paraId="79BBE9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阿里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通过林俊旸离职等标志性事件，全面转向商业化，已率先进入AI变现阶段；</w:t>
      </w:r>
    </w:p>
    <w:p w14:paraId="4588AA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更多的未上市独角兽，正在经历一轮整体性的估值重估——DeepSeek、阶跃星辰、Kimi等企业在短短几周内相继完成大额融资，估值飙升，行业“军备竞赛”仍在继续。</w:t>
      </w:r>
    </w:p>
    <w:p w14:paraId="645E0A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而前文对智谱“低流通盘与入通接盘”的担忧，与上述各公司的估值逻辑密切相关——当智谱的相对涨幅远远超出其基本面收入的增速时，低价流通盘叠加指数入通的被动买盘预期，确实构成了一个值得警惕的组合。</w:t>
      </w:r>
    </w:p>
    <w:p w14:paraId="4A4F6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7B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四、恒生科技指数的“结构换挡期”</w:t>
      </w:r>
    </w:p>
    <w:p w14:paraId="5C9DCC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4.1 首批AI大模型龙头入局</w:t>
      </w:r>
    </w:p>
    <w:p w14:paraId="6B6324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2026年5月22日，恒生指数公司公布了指数季度调整结果，最为引人关注的变化发生在恒生科技指数——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成分股维持30只不变，纳入智谱（02513.HK）和MiniMax-W（00100.HK），剔除金蝶国际和金山软件，这是恒生科技指数自2020年推出以来首次纳入国产AI大模型龙头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。（来源：恒生指数公司官网）</w:t>
      </w:r>
    </w:p>
    <w:p w14:paraId="5A6859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实施时间表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：所有调整将于2026年6月5日（周五）收盘后正式生效，新纳入的标的将在6月8日（周一）起开始作为指数成分股交易。</w:t>
      </w:r>
    </w:p>
    <w:p w14:paraId="4F5478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资金流入预期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：市场预计被动资金流入规模约在12亿至18亿美元（各机构预测值，非官方确认），将直接利好新纳入的标的，但对被剔除的个股则会带来被动卖出的压力。</w:t>
      </w:r>
    </w:p>
    <w:p w14:paraId="1E14E7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4.2 调整背后的逻辑：提升“AI含量”</w:t>
      </w:r>
    </w:p>
    <w:p w14:paraId="6DA8E2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本次调整的背后有清晰的意图——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提升恒生科技指数的“AI含量”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</w:t>
      </w:r>
    </w:p>
    <w:p w14:paraId="6C6B22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分析人士指出，过去一年多恒生科技指数表现偏弱的主要原因在于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指数结构存在偏差：可选消费权重过高，而真正的AI赛道代表性不足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。在全球以AI为核心的科技投资叙事下，这个结构问题导致恒生科技指数一直被市场视为“不够纯正的科技指数”，资金因此更倾向流入纳斯达克等能直接捕捉AI趋势的市场。</w:t>
      </w:r>
    </w:p>
    <w:p w14:paraId="07748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本次调整不仅仅是纳入几家新股，更向市场传达了一个信号——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恒生科技指数的“AI化”重估已经开始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。中金和渣打等机构也普遍认为，随着更多优质的AI企业（包括分拆上市的AI子公司）被陆续吸收进指数，恒生科技的估值底部正在逐步明确，存在左侧布局的机会。</w:t>
      </w:r>
    </w:p>
    <w:p w14:paraId="5A0CF4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4.3 估值：处于历史低位，但仍受多重压力</w:t>
      </w:r>
    </w:p>
    <w:p w14:paraId="0D3A8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恒生科技指数的市盈率目前已压缩至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仅约18倍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，低于21倍的历史平均水平。同期纳斯达克科技股市盈率约22倍，两者之间的估值差仍接近20%。（来源：恒生指数公司月度报告）</w:t>
      </w:r>
    </w:p>
    <w:p w14:paraId="2B314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然而，低估值未必能马上带来反弹。市场的核心担忧在于——恒生科技指数中现有的大型互联网平台企业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正同时面临两个方向的压力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：一方面要大幅增加对AI的资本开支（包括算力基础设施建设、大模型研发和人才引进），另一方面却尚未形成足以对冲投入的盈利增速预期。这种“重投入、轻回报”的结构性矛盾，是压制指数短期表现的核心因素。</w:t>
      </w:r>
    </w:p>
    <w:p w14:paraId="15A0EF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4.4 恒生科技指数当前处于“结构换挡期”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7430"/>
      </w:tblGrid>
      <w:tr w14:paraId="7A77C6EA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4BAF48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576E30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现状</w:t>
            </w:r>
          </w:p>
        </w:tc>
      </w:tr>
      <w:tr w14:paraId="3A203BD7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0B8409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指数表现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50766C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从2025年10月高点回撤超20%，显著跑输全球其他科技指数</w:t>
            </w:r>
          </w:p>
        </w:tc>
      </w:tr>
      <w:tr w14:paraId="759461C8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31A749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估值水平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0835E08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PE约18倍，低于21倍的历史均值，低于纳斯达克科技股约22倍</w:t>
            </w:r>
          </w:p>
        </w:tc>
      </w:tr>
      <w:tr w14:paraId="18F1E84D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5A9B05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结构问题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3020AC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AI含量偏低、可选消费权重过高，代表性不足</w:t>
            </w:r>
          </w:p>
        </w:tc>
      </w:tr>
      <w:tr w14:paraId="17EAC0A7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5B0B11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最新调整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3CB5EC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纳入智谱、MiniMax，剔除金蝶国际、金山软件，强化AI赛道覆盖</w:t>
            </w:r>
          </w:p>
        </w:tc>
      </w:tr>
      <w:tr w14:paraId="53B4D018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8DAA6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资金预期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B2F9ED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入通后短期有被动资金流入预期（规模为机构预测），长期取决于基本面兑现</w:t>
            </w:r>
          </w:p>
        </w:tc>
      </w:tr>
    </w:tbl>
    <w:p w14:paraId="24A061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恒生科技指数的困境，实际上印证了此前关于“AI赛道竞争白热化导致MiniMax等公司股价受挫”的整体框架：恒科中大量传统互联网企业短期内难以从AI投入中兑现足够的利润增长，而指数管理层选择在此时置换成分股，本质上是在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用修正指数结构的方式来“自救”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。下一阶段能否真正扭转颓势，取决于被纳入的AI新成员能否从微观层面兑现盈利，以及全球宏观资金对港股科技赛道投资逻辑的再评估何时到来。</w:t>
      </w:r>
    </w:p>
    <w:p w14:paraId="3CA46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57D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五、英伟达的“金融工具”与AI泡沫的必然重估</w:t>
      </w:r>
    </w:p>
    <w:p w14:paraId="0DD451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0" w:afterAutospacing="0" w:line="33" w:lineRule="atLeast"/>
        <w:ind w:left="720" w:right="720"/>
        <w:jc w:val="both"/>
        <w:rPr>
          <w:color w:val="70707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707070"/>
          <w:spacing w:val="0"/>
          <w:sz w:val="21"/>
          <w:szCs w:val="21"/>
          <w:bdr w:val="none" w:color="auto" w:sz="0" w:space="0"/>
          <w:shd w:val="clear" w:fill="FFFFFF"/>
        </w:rPr>
        <w:t>以下为市场分析人士的常见观点汇总，包含合理的逻辑推测，非基于具体数据的事实陈述。</w:t>
      </w:r>
    </w:p>
    <w:p w14:paraId="76533A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5.1 英伟达的“金融工具化”角色</w:t>
      </w:r>
    </w:p>
    <w:p w14:paraId="131829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英伟达一直以来，把AI当做一种金融工具。观察人士指出，英伟达不仅仅是一家芯片设计公司，其商业策略包含金融杠杆的运用：</w:t>
      </w:r>
    </w:p>
    <w:p w14:paraId="3AF559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算力供给垄断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通过CUDA生态、产能控制和高定价，英伟达实际上管理着AI产业的“算力通胀”水平。AI公司的估值很大程度上锚定其消耗的算力（比如Token量、训练集群规模），英伟达只要维持芯片供不应求的叙事，就能继续推高自己的市值，反过来又给整个AI赛道提供估值天花板。</w:t>
      </w:r>
    </w:p>
    <w:p w14:paraId="58CA72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融资租赁与算力抵押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：许多AI创业公司通过英伟达的融资租赁、算力抵押贷款等方式放大经营杠杆。这种模式在算力价格持续上涨时很美好，一旦算力需求增速放缓或芯片库存过剩，就会引发连锁反应——类似于房地产泡沫中“房价永远涨”的信仰破裂。</w:t>
      </w:r>
    </w:p>
    <w:p w14:paraId="134CED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结果是：整个AI行业的估值，很大程度上是建立在“英伟达股价不跌”的假设之上的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。这是一个嵌套泡沫：英伟达的市值支撑着AI公司的融资环境，而AI公司的采购需求又反哺英伟达的业绩。</w:t>
      </w:r>
    </w:p>
    <w:p w14:paraId="3F1DD4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5.2 AI泡沫与估值重估的必要性</w:t>
      </w:r>
    </w:p>
    <w:p w14:paraId="7F756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当DeepSeek等模型以极低成本实现接近顶尖性能时，市场开始意识到“大规模堆算力”不是唯一路径。这触发了估值重估——原先靠“算力军备竞赛”支撑的高PE被压缩。</w:t>
      </w:r>
    </w:p>
    <w:p w14:paraId="54C67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为什么估值重估未必是坏事？</w:t>
      </w:r>
    </w:p>
    <w:p w14:paraId="3F2555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✅ 第一，挤掉“伪需求”和投机资本</w:t>
      </w:r>
    </w:p>
    <w:p w14:paraId="6E9DF4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AI行业目前充斥着大量“拿着锤子找钉子”的项目，估值虚高靠的是融资烧钱，而非真实客户付费。估值重估会让这类公司融不到钱，自然淘汰。投机性的“炒概念”资金会流出，转向真正有技术壁垒和可落地场景的企业。这其实是保护了优质公司的长期发展空间。</w:t>
      </w:r>
    </w:p>
    <w:p w14:paraId="465FE9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✅ 第二，迫使企业回归商业本质</w:t>
      </w:r>
    </w:p>
    <w:p w14:paraId="225C68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此前很多大模型公司可以靠“我们明年达到10亿美金ARR”的故事融资，而不需要展示健康的利润率。估值重估后，资本市场会要求更严格的单位经济模型（比如每Token成本、客户留存、毛利率）。</w:t>
      </w:r>
    </w:p>
    <w:p w14:paraId="3392E1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✅ 第三，降低“入通接盘”的系统性风险</w:t>
      </w:r>
    </w:p>
    <w:p w14:paraId="2B765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前面提到的智谱流通盘极小，入通后被动基金将被迫在高位接盘。这种机制本质上是利用指数规则“割”南向散户的韭菜。如果估值在入通前就完成重估，回归到更合理的水平，那么后续被动基金的买入就不再是“接飞刀”，而可能成为真正的价值投资。</w:t>
      </w:r>
    </w:p>
    <w:p w14:paraId="288E04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✅ 第四，打破“英伟达-大模型”的金融闭环</w:t>
      </w:r>
    </w:p>
    <w:p w14:paraId="373F4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当前这个金融闭环是：英伟达讲算力需求永续增长的故事 → 大模型公司高估值融资 → 大模型公司用融来的钱买英伟达芯片 → 英伟达业绩超预期，股价继续涨 → 大模型公司估值获得支撑。</w:t>
      </w:r>
    </w:p>
    <w:p w14:paraId="2C3B06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估值重估会切断这个闭环：大模型公司估值下降，融资能力减弱，买芯片的预算收缩，最终倒逼英伟达业绩增速放缓，让整个产业的资源分配更加真实地反映终端需求，而不是被金融杠杆放大。</w:t>
      </w:r>
    </w:p>
    <w:p w14:paraId="4FFC24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5.3 历史镜鉴：泡沫破裂后的“黄金时代”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7"/>
        <w:gridCol w:w="2771"/>
        <w:gridCol w:w="3078"/>
      </w:tblGrid>
      <w:tr w14:paraId="256F7668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85106C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阶段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BCCD0D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泡沫期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DC9607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破裂后</w:t>
            </w:r>
          </w:p>
        </w:tc>
      </w:tr>
      <w:tr w14:paraId="13DCE77B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2606599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互联网（2000年）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CC6F74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随便一个.com公司市值暴涨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336A486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纳斯达克跌78%，但亚马逊、谷歌崛起</w:t>
            </w:r>
          </w:p>
        </w:tc>
      </w:tr>
      <w:tr w14:paraId="2C471174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BE7A3D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新能源（2021-2023）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12FF30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所有锂电池概念股PE&gt;100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44FB68D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行业出清，宁德时代、比亚迪凭借技术优势胜出</w:t>
            </w:r>
          </w:p>
        </w:tc>
      </w:tr>
      <w:tr w14:paraId="169F366F"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710A499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AI（当前）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5A8CC3FD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智谱、MiniMax等PE远高于基本面</w:t>
            </w:r>
          </w:p>
        </w:tc>
        <w:tc>
          <w:tcPr>
            <w:tcW w:w="0" w:type="auto"/>
            <w:tcBorders>
              <w:top w:val="single" w:color="E8E8E8" w:sz="8" w:space="0"/>
              <w:left w:val="single" w:color="E8E8E8" w:sz="8" w:space="0"/>
              <w:bottom w:val="single" w:color="E8E8E8" w:sz="8" w:space="0"/>
              <w:right w:val="single" w:color="E8E8E8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top"/>
          </w:tcPr>
          <w:p w14:paraId="6AF703D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560" w:lineRule="atLeast"/>
              <w:ind w:left="0" w:right="0"/>
              <w:jc w:val="left"/>
            </w:pPr>
            <w:r>
              <w:rPr>
                <w:color w:val="222222"/>
                <w:sz w:val="32"/>
                <w:szCs w:val="32"/>
                <w:bdr w:val="none" w:color="auto" w:sz="0" w:space="0"/>
              </w:rPr>
              <w:t>重估后，活下来的公司将更注重商业化和盈利</w:t>
            </w:r>
          </w:p>
        </w:tc>
      </w:tr>
    </w:tbl>
    <w:p w14:paraId="7CE815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所以，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估值重估的本质不是“崩塌”，而是“再平衡”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。它会淘汰掉那些依赖融资输血、缺乏真实护城河的公司，让真正有技术积累、能产生健康现金流的公司获得更公平的估值。</w:t>
      </w:r>
    </w:p>
    <w:p w14:paraId="36F97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8E8E8"/>
        <w:spacing w:before="400" w:beforeAutospacing="0" w:after="400" w:afterAutospacing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AEF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 w:line="32" w:lineRule="atLeast"/>
        <w:ind w:left="0" w:right="0"/>
        <w:textAlignment w:val="center"/>
        <w:rPr>
          <w:b/>
          <w:bCs/>
          <w:sz w:val="22"/>
          <w:szCs w:val="22"/>
        </w:rPr>
      </w:pPr>
      <w:r>
        <w:rPr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六、结论：在泡沫的废墟上建立真正的AI护城河</w:t>
      </w:r>
    </w:p>
    <w:p w14:paraId="1A2DB7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从MiniMax的股价坠落出发，我们看到了一个远比单家公司更宏大的叙事：</w:t>
      </w:r>
    </w:p>
    <w:p w14:paraId="1DA440F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微观层面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，MiniMax和智谱代表了两种不同类型的估值风险——前者面临竞争冲击和基本面质疑，后者则深陷低流通盘与指数纳入了的制度性关注。</w:t>
      </w:r>
    </w:p>
    <w:p w14:paraId="56FB6AD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中观层面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，恒生科技指数正在通过调整成分股进行“自救”，试图用真正的AI龙头置换传统的软件股，以挽回持续落后的指数表现。但这一换血能否成功，取决于新纳入的标的是否能兑现盈利，而不是成为新的泡沫载体。</w:t>
      </w:r>
    </w:p>
    <w:p w14:paraId="311F9C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0" w:right="0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宏观层面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，英伟达用金融杠杆构建的算力泡沫，正在被DeepSeek等低成本技术路径所冲击。整个AI行业的估值逻辑，正在从“堆算力”转向“拼效率”。</w:t>
      </w:r>
    </w:p>
    <w:p w14:paraId="646725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对于投资者而言，当前的关键问题不是“AI泡沫会不会破”，而是“泡沫破裂后，谁还能活着”。对于那些真正拥有技术壁垒、能够实现健康现金流、不依赖融资输血的公司，当前的估值重估恰恰是长期布局的黄金窗口。而对于那些仅靠概念、低流通盘和指数被动买盘支撑的标的，每一次反弹都可能是最后的离场机会。</w:t>
      </w:r>
    </w:p>
    <w:p w14:paraId="229741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换句话说：现在挤泡沫，总比将来泡沫自己炸了要好。</w:t>
      </w:r>
    </w:p>
    <w:p w14:paraId="754852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400" w:afterAutospacing="0"/>
        <w:ind w:left="0" w:right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期待您的关注，欢迎留言讨论！</w:t>
      </w:r>
    </w:p>
    <w:p w14:paraId="1A76E2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0" w:beforeAutospacing="0" w:after="0" w:afterAutospacing="0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#AI泡沫 #MiniMax #智谱 #恒生科技指数 #英伟达 #大模型 #港股 #DeepSeek #估值重估 #林俊旸 #腾讯AI #阿里云 #字节跳动 #快手可灵 #投资风险 #科技股 #A+H上市 #入通 #算力军备竞赛</w:t>
      </w:r>
    </w:p>
    <w:p w14:paraId="316B68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F831F"/>
    <w:multiLevelType w:val="multilevel"/>
    <w:tmpl w:val="C5FF8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ADE5F27"/>
    <w:multiLevelType w:val="multilevel"/>
    <w:tmpl w:val="DADE5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B7F687F"/>
    <w:multiLevelType w:val="multilevel"/>
    <w:tmpl w:val="FB7F6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7E1486"/>
    <w:multiLevelType w:val="multilevel"/>
    <w:tmpl w:val="FF7E1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7DED97F"/>
    <w:multiLevelType w:val="multilevel"/>
    <w:tmpl w:val="77DED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7FDA6FB"/>
    <w:multiLevelType w:val="multilevel"/>
    <w:tmpl w:val="77FDA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B7FC520"/>
    <w:multiLevelType w:val="multilevel"/>
    <w:tmpl w:val="7B7FC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D7F18"/>
    <w:rsid w:val="1E7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2026-06-01T00:01:00Z</dcterms:created>
  <dc:creator>刘宁</dc:creator>
  <cp:lastModifiedBy>刘宁</cp:lastModifiedBy>
  <dcterms:modified xsi:type="dcterms:W3CDTF">2026-06-01T00:01:40Z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AC2B42B9CE7FCFDA445B1C6A39B747B1_41</vt:lpwstr>
  </property>
</Properties>
</file>