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a4d2e"/>
          <w:sz w:val="36"/>
          <w:szCs w:val="36"/>
        </w:rPr>
        <w:t xml:space="preserve">Gêmeo Digital para Otimização de Irrigação em Culturas de Pequena Escala</w:t>
      </w:r>
    </w:p>
    <w:p>
      <w:pPr>
        <w:spacing w:after="360"/>
        <w:jc w:val="center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Resumo Metodológico — Proposta Técnica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a4d2e"/>
          <w:sz w:val="28"/>
          <w:szCs w:val="28"/>
        </w:rPr>
        <w:t xml:space="preserve">1. Introdução e Definição do Problema</w:t>
      </w:r>
    </w:p>
    <w:p>
      <w:pPr>
        <w:spacing w:after="18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Este documento apresenta a metodologia desenvolvida para a construção de um gêmeo digital aplicado à otimização da irrigação em culturas de pequena escala. A proposta original previa quatro sensores físicos capturando, em tempo real, temperatura e umidade do solo e do ar; um banco de dados centralizando essas leituras; um sistema integrador com a previsão meteorológica do INPE para a região; e um dashboard de visualização operacional. Sobre essa infraestrutura, o objetivo era acoplar um modelo preditivo capaz de antecipar, com taxa de confiança quantificável, quando a próxima irrigação deveria ocorrer e qual o volume ótimo de água a ser aplicado.</w:t>
      </w:r>
    </w:p>
    <w:p>
      <w:pPr>
        <w:spacing w:after="18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Ao iniciarmos o desenho técnico do sistema, identificamos uma série de obstáculos não triviais que precisaram ser resolvidos antes da implementação. Esses obstáculos compõem o núcleo da contribuição metodológica deste trabalho e são detalhados nas seções seguintes.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d7a45"/>
          <w:sz w:val="24"/>
          <w:szCs w:val="24"/>
        </w:rPr>
        <w:t xml:space="preserve">1.1. Desafios Identificados na Concepção do Sistema</w:t>
      </w:r>
    </w:p>
    <w:p>
      <w:pPr>
        <w:spacing w:after="18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primeiro desafio é a ausência de hardware implementado no momento atual do projeto. Sem sensores físicos instalados em campo, não há leituras reais para alimentar o pipeline, o que torna inviável tanto a demonstração do dashboard em tempo real quanto o treinamento de um modelo preditivo a partir de dados próprios.</w:t>
      </w:r>
    </w:p>
    <w:p>
      <w:pPr>
        <w:spacing w:after="18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segundo desafio, mais profundo, é a ausência de rótulos supervisionados para a tarefa de predição. Mesmo que dispuséssemos dos sensores instalados, não teríamos uma medida direta da “irrigação correta” a cada instante. Não há instrumentação agronômica suficiente — como tensiômetros de matricial hídrico no solo ou câmaras de pressão para medir estresse foliar — que permita rotular cada momento como “devia irrigar” ou “não devia”. Isso transforma o problema em algo intrinsecamente sem supervisão direta.</w:t>
      </w:r>
    </w:p>
    <w:p>
      <w:pPr>
        <w:spacing w:after="18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terceiro desafio é a falta de informações biológicas, físicas e químicas detalhadas do sistema solo-planta. Não dispomos de análise pedológica completa do talhão (textura, densidade, capacidade de campo medida em laboratório), nem do estágio fenológico exato da cultura, nem dos coeficientes culturais específicos calibrados para a planta-alvo. Para um modelo de predição de irrigação rigoroso, essas variáveis seriam ideais. Operar sem elas exige decisões metodológicas explícitas, fundamentadas em literatura agronômica consolidada.</w:t>
      </w:r>
    </w:p>
    <w:p>
      <w:pPr>
        <w:spacing w:after="18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solução desenvolvida endereça simultaneamente os três desafios através de três pilares complementares: a geração de um dataset sintético fisicamente coerente, a adoção da equação de Penman-Monteith como pseudo-rótulo supervisionado, e a definição de premissas pedológicas tabuladas da FAO como substituto às medições in loco que não temos.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a4d2e"/>
          <w:sz w:val="28"/>
          <w:szCs w:val="28"/>
        </w:rPr>
        <w:t xml:space="preserve">2. Por Que Não Utilizamos um Dataset Pronto</w:t>
      </w:r>
    </w:p>
    <w:p>
      <w:pPr>
        <w:spacing w:after="18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primeira opção avaliada — e descartada — foi a utilização de datasets agrícolas públicos disponíveis em repositórios como Kaggle, UCI Machine Learning Repository, ou conjuntos disponibilizados pela EMBRAPA. Há razões metodológicas fortes para essa rejeição.</w:t>
      </w:r>
    </w:p>
    <w:p>
      <w:pPr>
        <w:spacing w:after="18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Os datasets agrícolas públicos disponíveis raramente combinam, simultaneamente, todas as variáveis que nosso sistema integra: temperatura do solo, umidade do solo, temperatura do ar, umidade relativa do ar, radiação solar incidente, velocidade do vento, e eventos de irrigação rotulados com volume aplicado. Quando combinam parte dessas variáveis, normalmente é em escala temporal incompatível — leituras diárias ou semanais, enquanto o pipeline requer granularidade de 30 minutos para capturar o ciclo diurno completo.</w:t>
      </w:r>
    </w:p>
    <w:p>
      <w:pPr>
        <w:spacing w:after="18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Além disso, datasets reais carregam o viés pedológico e climático do local onde foram coletados. Um dataset obtido em vinhedos da Califórnia ou em campos de milho do Meio-Oeste americano transferiria mal para as condições do cerrado goiano, onde a temperatura média do ar oscila entre 14 °C no inverno e 36 °C no verão, com sazonalidade marcada de chuvas concentradas entre outubro e março, e solos predominantemente argissolos vermelho-amarelos. A diferença pedoclimática introduziria distorções sistemáticas no aprendizado do modelo.</w:t>
      </w:r>
    </w:p>
    <w:p>
      <w:pPr>
        <w:spacing w:after="18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Por fim, e mais importante metodologicamente: ao gerar nosso próprio dataset, controlamos integralmente sua estrutura, ruído, sazonalidade e a lógica de eventos de irrigação. Isso nos permite usar o dataset não apenas como insumo de treinamento, mas como ferramenta de avaliação — sabemos exatamente o que o modelo deveria estar aprendendo, porque nós mesmos definimos o processo gerador de dados.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a4d2e"/>
          <w:sz w:val="28"/>
          <w:szCs w:val="28"/>
        </w:rPr>
        <w:t xml:space="preserve">3. Construção do Dataset Sintético Inicial</w:t>
      </w:r>
    </w:p>
    <w:p>
      <w:pPr>
        <w:spacing w:after="18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Desenvolvemos um gerador de dados sintéticos calibrado para a região de Goiânia (latitude −16,7°, altitude 748 m) que produz dois conjuntos de dados estruturalmente idênticos: um dataset histórico com 390 dias de leituras em granularidade de 30 minutos, totalizando 18.720 registros para treinamento, e um dataset futuro com 14 dias de leituras para uso em demonstração ao vivo como se fossem dados chegando dos sensores em tempo real.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d7a45"/>
          <w:sz w:val="24"/>
          <w:szCs w:val="24"/>
        </w:rPr>
        <w:t xml:space="preserve">3.1. Variáveis Geradas e Suas Fontes Físicas</w:t>
      </w:r>
    </w:p>
    <w:p>
      <w:pPr>
        <w:spacing w:after="18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dataset contém as seguintes variáveis por registro: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timestamp</w:t>
      </w:r>
      <w:r>
        <w:rPr>
          <w:rFonts w:ascii="Calibri" w:cs="Calibri" w:eastAsia="Calibri" w:hAnsi="Calibri"/>
          <w:sz w:val="22"/>
          <w:szCs w:val="22"/>
        </w:rPr>
        <w:t xml:space="preserve"> — marca temporal de 30 em 30 minutos.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temp_ar_C, umid_ar_pct</w:t>
      </w:r>
      <w:r>
        <w:rPr>
          <w:rFonts w:ascii="Calibri" w:cs="Calibri" w:eastAsia="Calibri" w:hAnsi="Calibri"/>
          <w:sz w:val="22"/>
          <w:szCs w:val="22"/>
        </w:rPr>
        <w:t xml:space="preserve"> — temperatura e umidade relativa do ar.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temp_solo_C, umid_solo_pct</w:t>
      </w:r>
      <w:r>
        <w:rPr>
          <w:rFonts w:ascii="Calibri" w:cs="Calibri" w:eastAsia="Calibri" w:hAnsi="Calibri"/>
          <w:sz w:val="22"/>
          <w:szCs w:val="22"/>
        </w:rPr>
        <w:t xml:space="preserve"> — temperatura e umidade volumétrica do solo (quatro sensores agregados).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radiacao_solar_Wm2, vento_ms</w:t>
      </w:r>
      <w:r>
        <w:rPr>
          <w:rFonts w:ascii="Calibri" w:cs="Calibri" w:eastAsia="Calibri" w:hAnsi="Calibri"/>
          <w:sz w:val="22"/>
          <w:szCs w:val="22"/>
        </w:rPr>
        <w:t xml:space="preserve"> — variáveis meteorológicas complementares para cálculo da evapotranspiração.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eto_penman_monteith_mm</w:t>
      </w:r>
      <w:r>
        <w:rPr>
          <w:rFonts w:ascii="Calibri" w:cs="Calibri" w:eastAsia="Calibri" w:hAnsi="Calibri"/>
          <w:sz w:val="22"/>
          <w:szCs w:val="22"/>
        </w:rPr>
        <w:t xml:space="preserve"> — evapotranspiração de referência calculada a cada leitura via equação FAO-56.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irrigou, volume_irrigado_L_m2, dias_ultima_irrigacao, confianca_label</w:t>
      </w:r>
      <w:r>
        <w:rPr>
          <w:rFonts w:ascii="Calibri" w:cs="Calibri" w:eastAsia="Calibri" w:hAnsi="Calibri"/>
          <w:sz w:val="22"/>
          <w:szCs w:val="22"/>
        </w:rPr>
        <w:t xml:space="preserve"> — eventos de irrigação e metadados associados.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d7a45"/>
          <w:sz w:val="24"/>
          <w:szCs w:val="24"/>
        </w:rPr>
        <w:t xml:space="preserve">3.2. Fontes Utilizadas para Cada Variável</w:t>
      </w:r>
    </w:p>
    <w:p>
      <w:pPr>
        <w:spacing w:after="18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Para variáveis atmosféricas — temperatura do ar, umidade do ar, radiação solar, velocidade do vento — o gerador utiliza equações de modelagem climatológica estabelecidas. A temperatura do ar segue uma decomposição com componente sazonal anual (senóide de amplitude 5 °C centrada em 24 °C, com mínima no inverno seco de junho-julho e máxima na transição setembro-outubro), componente diurna (variação de ±6 °C entre 06h e 18h), e ruído gaussiano calibrado com desvio padrão de 0,6 °C. Esses parâmetros foram ajustados a partir de séries históricas públicas do INMET para a estação de Goiânia.</w:t>
      </w:r>
    </w:p>
    <w:p>
      <w:pPr>
        <w:spacing w:after="18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Para a radiação solar extraterrestre — variável de entrada da equação de Penman-Monteith — utilizamos a equação 21 do documento FAO-56 (Allen et al., 1998), que calcula a radiação extraterrestre Ra em função da latitude, do ângulo de declinação solar e do dia do ano. A radiação incidente é então modulada por um fator de nebulosidade estocástico (distribuição beta) para simular dias parcialmente nublados, ensolarados ou encobertos.</w:t>
      </w:r>
    </w:p>
    <w:p>
      <w:pPr>
        <w:spacing w:after="18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Para as variáveis pedológicas — temperatura e umidade do solo — não há, evidentemente, fontes diretas, já que o objetivo é justamente gerá-las. Adotamos duas estratégias de aproximação física. A temperatura do solo segue a temperatura do ar com uma defasagem média de −3 °C e ruído reduzido (desvio padrão 0,4 °C), refletindo a inércia térmica do solo argissolo. A umidade do solo evolui dinamicamente em um modelo de balanço hídrico simplificado: a cada leitura, subtrai-se da umidade atual a evapotranspiração da cultura (ETc = ETo × Kc, com Kc = 0,75 para cultura intermediária), e adiciona-se um termo estocástico de chuva — probabilidade calibrada por estação do ano, mais frequente entre novembro e março — que repõe 40% do volume precipitado no perfil de raízes.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d7a45"/>
          <w:sz w:val="24"/>
          <w:szCs w:val="24"/>
        </w:rPr>
        <w:t xml:space="preserve">3.3. A Equação de Penman-Monteith como Cálculo da ETo</w:t>
      </w:r>
    </w:p>
    <w:p>
      <w:pPr>
        <w:spacing w:after="18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evapotranspiração de referência (ETo) é calculada para cada registro do dataset utilizando a equação completa de Penman-Monteith FAO-56 (Allen, R. G.; Pereira, L. S.; Raes, D.; Smith, M. Crop evapotranspiration — Guidelines for computing crop water requirements. FAO Irrigation and Drainage Paper No. 56. Roma: Organização das Nações Unidas para a Alimentação e a Agricultura, 1998). Essa equação combina o balanço energético da superfície e o transporte aerodinâmico do vapor d’água para estimar quanto de água, em mm/dia, evapora de uma superfície de referência (grama bem irrigada, 12 cm de altura, resistência aerodinâmica fixada).</w:t>
      </w:r>
    </w:p>
    <w:p>
      <w:pPr>
        <w:spacing w:after="18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escolha desta equação como pilar do dataset não é arbitrária: trata-se do padrão internacional adotado pela FAO desde 1998 para estimativa de demanda hídrica em sistemas agrícolas sem instrumentação completa. Toda a literatura agronômica brasileira referente a manejo de irrigação, incluindo as recomendações da EMBRAPA, parte da Penman-Monteith como ponto de cálculo.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d7a45"/>
          <w:sz w:val="24"/>
          <w:szCs w:val="24"/>
        </w:rPr>
        <w:t xml:space="preserve">3.4. Lógica de Geração dos Eventos de Irrigação</w:t>
      </w:r>
    </w:p>
    <w:p>
      <w:pPr>
        <w:spacing w:after="18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dataset inclui rótulos sintéticos de eventos de irrigação, gerados por uma regra agronômica explícita: dispara-se irrigação quando a umidade do solo cai abaixo de um limiar estocástico em torno de 22% (variando ±2% para simular incertezas de medição), ou quando se ultrapassam quatro a sete dias sem irrigação. O volume aplicado é proporcional ao déficit hídrico acumulado, com base na ETo dos dias anteriores e em uma reposição mínima de 3 mm. A confiança do rótulo, registrada em uma coluna separada, é calculada a partir da magnitude do déficit hídrico no momento da decisão — quanto maior o déficit, mais segura a decisão de irrigar.</w:t>
      </w:r>
    </w:p>
    <w:p>
      <w:pPr>
        <w:spacing w:after="18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Essa lógica é importante por dois motivos. Primeiro, ela é cientificamente defensável: replica o processo de tomada de decisão de um agrônomo seguindo recomendações FAO. Segundo, ela cria uma estrutura aprendível: o modelo treinado nesse dataset não está aprendendo padrões arbitrários, mas a relação entre variáveis ambientais e a decisão ótima — relação esta que tem sentido físico e que pode ser transferida para dados reais quando o hardware estiver implementado.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d7a45"/>
          <w:sz w:val="24"/>
          <w:szCs w:val="24"/>
        </w:rPr>
        <w:t xml:space="preserve">3.5. Estatísticas do Dataset Gerado</w:t>
      </w:r>
    </w:p>
    <w:p>
      <w:pPr>
        <w:spacing w:after="18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dataset histórico final contém 18.720 registros distribuídos em 390 dias, com 95 eventos de irrigação rotulados, intervalo médio entre irrigações de 4,1 dias, volume médio aplicado de 12,3 L/m² e confiança média do rótulo de 0,72. A prevalência da classe de irrigação (registros com irrigou = 1) é de aproximadamente 0,51%, refletindo o desbalanceamento natural típico de problemas de detecção de eventos esparsos.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a4d2e"/>
          <w:sz w:val="28"/>
          <w:szCs w:val="28"/>
        </w:rPr>
        <w:t xml:space="preserve">4. Coletores de Dados Externos: INPE e Sensores</w:t>
      </w:r>
    </w:p>
    <w:p>
      <w:pPr>
        <w:spacing w:after="18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Em produção, com o hardware instalado, o sistema integrará duas fontes contínuas de dados que se somam ao histórico sintético inicial: o pipeline de previsão meteorológica do INPE e o stream de leituras dos sensores físicos.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d7a45"/>
          <w:sz w:val="24"/>
          <w:szCs w:val="24"/>
        </w:rPr>
        <w:t xml:space="preserve">4.1. Coletor INPE/CPTEC</w:t>
      </w:r>
    </w:p>
    <w:p>
      <w:pPr>
        <w:spacing w:after="18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Implementamos um coletor em Python que consulta a API pública do CPTEC/INPE no endpoint XML de previsão de sete dias por código de cidade. Os dados retornados pelo CPTEC para cada um dos sete dias previstos incluem: temperatura máxima e mínima, condição prevista (ensolarado, parcialmente nublado, chuvoso), índice ultravioleta e probabilidade de precipitação. Adicionalmente, configuramos uma fonte secundária — a API Open-Meteo, gratuita e alinhada com os padrões WMO — que fornece previsões horárias de temperatura, umidade relativa, velocidade do vento, precipitação, radiação solar de ondas curtas e, criticamente, ETo calculada via FAO-56 pelo próprio serviço.</w:t>
      </w:r>
    </w:p>
    <w:p>
      <w:pPr>
        <w:spacing w:after="18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vantagem da fonte Open-Meteo é poder comparar diretamente a ETo calculada localmente, com base nos sensores físicos, com a ETo estimada pelo INPE para a mesma região e horário. Essa comparação se torna uma feature analítica do dashboard e, no modelo preditivo, um sinal cruzado de validação.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d7a45"/>
          <w:sz w:val="24"/>
          <w:szCs w:val="24"/>
        </w:rPr>
        <w:t xml:space="preserve">4.2. Stream de Sensores Físicos</w:t>
      </w:r>
    </w:p>
    <w:p>
      <w:pPr>
        <w:spacing w:after="18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Os quatro sensores propostos no projeto coletam, a cada 30 minutos, os seguintes valores: temperatura do ar (com precisão ±0,3 °C esperada), umidade relativa do ar (±2%), temperatura do solo a aproximadamente 10 cm de profundidade (±0,5 °C), e umidade volumétrica do solo via sonda capacitiva (±3%). Cada leitura é encapsulada em um pacote JSON contendo timestamp, identificador do sensor, valor medido e flag de qualidade. Em produção, o transporte é feito via broker MQTT para um banco de dados de séries temporais.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d7a45"/>
          <w:sz w:val="24"/>
          <w:szCs w:val="24"/>
        </w:rPr>
        <w:t xml:space="preserve">4.3. Integração ao Pipeline de Treinamento</w:t>
      </w:r>
    </w:p>
    <w:p>
      <w:pPr>
        <w:spacing w:after="18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As leituras dos sensores físicos, à medida que chegam, são incorporadas ao histórico que originalmente partia apenas do dataset sintético. A integração se dá por janelas deslizantes: o modelo é re-treinado periodicamente — sugerido a cada 30 dias de dados reais acumulados — com pesos progressivamente maiores nas observações reais. Inicialmente, o modelo treinado apenas em dados sintéticos toma decisões; conforme os dados reais se acumulam, o modelo migra gradualmente para uma representação aprendida a partir de medições reais, mantendo, contudo, a coerência física garantida pela estrutura inicial do dataset sintético. Esse mecanismo é conhecido na literatura como aprendizado por currículo (curriculum learning), e é particularmente eficaz em cenários onde dados reais começam escassos.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a4d2e"/>
          <w:sz w:val="28"/>
          <w:szCs w:val="28"/>
        </w:rPr>
        <w:t xml:space="preserve">5. Modelo Preditivo: Aprendizado Autossupervisionado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d7a45"/>
          <w:sz w:val="24"/>
          <w:szCs w:val="24"/>
        </w:rPr>
        <w:t xml:space="preserve">5.1. A Pseudo-Label Penman-Monteith como Solução para Ausência de Rótulos</w:t>
      </w:r>
    </w:p>
    <w:p>
      <w:pPr>
        <w:spacing w:after="18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contribuição metodológica central deste projeto reside na adoção da equação de Penman-Monteith (FAO-56) como pseudo-rótulo supervisionado para o modelo preditivo. A justificativa é a seguinte: na ausência de rótulos reais de “irrigação ótima” — que exigiriam instrumentação agronômica que não temos — utilizamos a ETo calculada via Penman-Monteith como o sinal supervisionado contra o qual o modelo se calibra.</w:t>
      </w:r>
    </w:p>
    <w:p>
      <w:pPr>
        <w:spacing w:after="18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Isso é tecnicamente defensável porque a Penman-Monteith é, ela própria, o padrão FAO para estimativa de demanda hídrica em ausência de medição direta. Ou seja, estamos pedindo ao modelo que aprenda a antecipar o que a equação física faria, adicionando como entrada informações de lookahead — a previsão meteorológica do INPE para as próximas 48 a 72 horas — que a equação física pura não considera quando aplicada apenas em dados presentes.</w:t>
      </w:r>
    </w:p>
    <w:p>
      <w:pPr>
        <w:spacing w:after="18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ganho conceitual sobre rodar apenas a equação direta é triplo. Primeiro, o modelo aprende a integrar a previsão futura na decisão presente: se chuva está prevista para o período noturno, irrigar agora pode ser desperdício. Segundo, o modelo aprende padrões temporais que a equação puntual não captura: a história das últimas 6 a 24 horas é resumida em features estatísticas que enriquecem a decisão. Terceiro, o modelo é capaz de produzir, ao mesmo tempo, três saídas regredidas — quando irrigar (em horas), volume (em L/m²) e confiança (em %) — em uma única passagem de inferência, enquanto a equação isolada produz apenas a ETo.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d7a45"/>
          <w:sz w:val="24"/>
          <w:szCs w:val="24"/>
        </w:rPr>
        <w:t xml:space="preserve">5.2. Arquitetura e Features</w:t>
      </w:r>
    </w:p>
    <w:p>
      <w:pPr>
        <w:spacing w:after="18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Adotamos o algoritmo XGBoost em configuração MultiOutputRegressor, treinado simultaneamente nos três alvos. A escolha do XGBoost (em vez de redes neurais recorrentes mais sofisticadas) tem duas razões: a quantidade de dados disponíveis no início é modesta (18.720 registros sintéticos), o que favorece modelos baseados em árvores que generalizam bem com dados limitados; e a interpretabilidade das importâncias de features é alta, característica desejável em sistemas de apoio à decisão agrícola.</w:t>
      </w:r>
    </w:p>
    <w:p>
      <w:pPr>
        <w:spacing w:after="18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conjunto de features de entrada inclui 20 variáveis: o estado atual dos quatro sensores e da ETo calculada, estatísticas de janela deslizante de seis horas (média, desvio padrão, mínimo, máximo) para cada variável, codificação cíclica da hora do dia e do dia do ano (via funções seno e cosseno, para preservar a periodicidade), ETo acumulada nas últimas 24 horas como proxy de déficit hídrico, e o número de dias desde a última irrigação.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d7a45"/>
          <w:sz w:val="24"/>
          <w:szCs w:val="24"/>
        </w:rPr>
        <w:t xml:space="preserve">5.3. Calibração da Confiança sem Rótulos Reais</w:t>
      </w:r>
    </w:p>
    <w:p>
      <w:pPr>
        <w:spacing w:after="18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Um ponto sutil e cientificamente relevante é a obtenção de uma estimativa de confiança das predições na ausência de rótulos verdadeiramente supervisionados. A solução adotada combina dois mecanismos. No nível do dataset, a confiança do rótulo é proxy ao déficit hídrico no momento da decisão: quanto maior o déficit, maior a confiança de que a irrigação era necessária. Esse rótulo de confiança é, por sua vez, um dos alvos do modelo. No nível da inferência, propõe-se evolução futura para regressão por quantis (objetivo reg:quantileerror do XGBoost), produzindo intervalos de predição reais — por exemplo, “com 80% de confiança, a próxima irrigação ocorrerá entre X e Y horas”. Essa evolução eleva a robustez científica do trabalho e está prevista como próximo passo metodológico, condicionada à disponibilidade de dados reais para calibração final.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d7a45"/>
          <w:sz w:val="24"/>
          <w:szCs w:val="24"/>
        </w:rPr>
        <w:t xml:space="preserve">5.4. Tratamento da Ausência de Estratificação por Fase Fenológica</w:t>
      </w:r>
    </w:p>
    <w:p>
      <w:pPr>
        <w:spacing w:after="18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coeficiente cultural Kc, que multiplica a ETo para calcular a evapotranspiração efetiva da cultura específica, varia substancialmente ao longo do ciclo da planta. Em modelos completos, é necessário estratificar Kc em quatro fases — inicial, desenvolvimento, meio do ciclo e maturação — com valores tabelados pela FAO para cada cultura. Não dispomos dessa informação detalhada no projeto atual.</w:t>
      </w:r>
    </w:p>
    <w:p>
      <w:pPr>
        <w:spacing w:after="18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Para contornar essa limitação sem comprometer a coerência física, adotamos um Kc médio fixado em 0,75, valor compatível com culturas hortícolas intermediárias em estágio de desenvolvimento. Documentamos essa escolha como premissa explícita do modelo e tornamos o valor parametrizável: quando o sistema for instalado em campo e a cultura-alvo for conhecida (milho, feijão, alface, etc.), o Kc poderá ser ajustado para o ciclo específico da planta, e o número de dias desde o plantio entra como nova feature de entrada do modelo. Essa modularidade preserva a generalidade do sistema para diferentes contextos agrícolas.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a4d2e"/>
          <w:sz w:val="28"/>
          <w:szCs w:val="28"/>
        </w:rPr>
        <w:t xml:space="preserve">6. Banco de Dados Ideal para Séries Temporais</w:t>
      </w:r>
    </w:p>
    <w:p>
      <w:pPr>
        <w:spacing w:after="18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Para os propósitos de demonstração e validação inicial, utilizamos o Firebase Realtime Database como banco de dados de demonstração ao vivo: o motor de física implementado no dashboard publica leituras a cada três segundos em formato JSON, e o dashboard, hospedado em Firebase Hosting, lê esses dados via WebSocket com atualização instantânea no navegador. Essa configuração é adequada para apresentação acadêmica e demonstrações pontuais.</w:t>
      </w:r>
    </w:p>
    <w:p>
      <w:pPr>
        <w:spacing w:after="18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Para produção real, contudo, recomenda-se a migração para um banco de dados especializado em séries temporais, como TimescaleDB (extensão do PostgreSQL) ou InfluxDB. Esses sistemas oferecem compressão automática que reduz em até 90% o volume de armazenamento típico de séries temporais densas, e expõem funções nativas de janelas deslizantes, downsampling automático e agregações temporais — operações essenciais para construção das features de entrada do modelo. A migração é facilitada pela arquitetura do projeto: o motor de física e o coletor de dados externos são independentes do destino de armazenamento, bastando reconfigurar a camada de persistência.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a4d2e"/>
          <w:sz w:val="28"/>
          <w:szCs w:val="28"/>
        </w:rPr>
        <w:t xml:space="preserve">7. Validação do Sistema e Avaliação de Resultados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d7a45"/>
          <w:sz w:val="24"/>
          <w:szCs w:val="24"/>
        </w:rPr>
        <w:t xml:space="preserve">7.1. Estratégia de Validação Adotada</w:t>
      </w:r>
    </w:p>
    <w:p>
      <w:pPr>
        <w:spacing w:after="18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Dado que não dispomos ainda de hardware implementado, a validação atual ocorre integralmente sobre o conjunto de dados sintéticos calibrado para o clima de Goiânia. O dataset de 390 dias foi dividido temporalmente em 70% para treinamento e 30% para validação, sem embaralhamento — respeitando a estrutura temporal e evitando vazamento de informação futura para o treinamento. Essa divisão temporal é mais conservadora do que a divisão aleatória usual e produz métricas mais próximas do que seria observado em produção.</w:t>
      </w:r>
    </w:p>
    <w:p>
      <w:pPr>
        <w:spacing w:after="18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Sobre o conjunto de validação, calculamos métricas distintas para cada um dos três alvos preditos. Para a predição de “horas até a próxima irrigação”, utilizamos o erro absoluto médio (MAE) em horas e o coeficiente de determinação (R²). Para o volume previsto em L/m², as mesmas métricas são aplicadas. Para a confiança predita, monitoramos R² e a correlação com o déficit hídrico observado. Os resultados obtidos com a configuração atual são: MAE de aproximadamente 13 horas no horizonte de 72 horas, e R² de 0,83 na predição de confiança, indicando que o modelo capta corretamente a estrutura do problema.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d7a45"/>
          <w:sz w:val="24"/>
          <w:szCs w:val="24"/>
        </w:rPr>
        <w:t xml:space="preserve">7.2. Avaliação Qualitativa e o Dashboard como Ferramenta de Validação</w:t>
      </w:r>
    </w:p>
    <w:p>
      <w:pPr>
        <w:spacing w:after="18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Além das métricas quantitativas, implementamos um motor de simulação física diretamente no dashboard, que reproduz no navegador o comportamento dinâmico do sistema solo-planta-atmosfera. Esse motor calcula, a cada três segundos reais (equivalente a 30 minutos simulados), a evapotranspiração via Penman-Monteith, o decaimento da umidade do solo, a inércia térmica entre solo e ar, e os eventos estocásticos de chuva. Quando o sistema decide irrigar — automaticamente ou por intervenção do usuário via botão — a umidade do solo sobe instantaneamente, há efeito residual de absorção profunda nas cinco horas subsequentes, e a temperatura do solo cai proporcionalmente ao volume aplicado.</w:t>
      </w:r>
    </w:p>
    <w:p>
      <w:pPr>
        <w:spacing w:after="18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Esse motor de simulação cumpre dupla função. Como ferramenta de demonstração, permite que avaliadores acompanhem visualmente o ciclo completo de secagem e irrigação em aproximadamente 60 segundos de demonstração, observando os dados dos sensores se atualizando em tempo real, a imagem de fundo trocando entre cenários (dia/noite, ensolarado/nublado/chuvoso, solo seco/úmido/saturado), e os badges de classificação agronômica mudando de cor conforme as faixas FAO. Como ferramenta de validação metodológica, oferece um ambiente controlado onde é possível inspecionar se o comportamento físico do sistema corresponde ao esperado pela literatura — se a ETo aumenta apropriadamente nas horas de pico solar, se a umidade do solo cai linearmente em ausência de irrigação, se a chuva eleva corretamente umidade e abate temperatura do ar.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d7a45"/>
          <w:sz w:val="24"/>
          <w:szCs w:val="24"/>
        </w:rPr>
        <w:t xml:space="preserve">7.3. Por Que Esta Abordagem Funciona</w:t>
      </w:r>
    </w:p>
    <w:p>
      <w:pPr>
        <w:spacing w:after="18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validade da estratégia metodológica adotada repousa em três argumentos convergentes. Primeiro, o dataset sintético, embora não seja real, tem estrutura próxima dos dados reais que serão coletados quando o hardware for implementado: as mesmas variáveis, na mesma granularidade temporal, geradas por modelos físicos consagrados (Penman-Monteith FAO-56), calibrados para o clima local. A transferência do modelo para dados reais será, portanto, suave — o modelo já conhece o espaço de variáveis em que precisará operar.</w:t>
      </w:r>
    </w:p>
    <w:p>
      <w:pPr>
        <w:spacing w:after="18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Segundo, ao utilizarmos a equação de Penman-Monteith como pseudo-rótulo, o modelo aprende a generalizar a partir de um princípio físico que é, ele próprio, fisicamente correto. Não estamos pedindo ao modelo que aprenda padrões empíricos de origem desconhecida; estamos pedindo que ele aprenda uma equação fisicamente fundamentada, enriquecida por informações temporais que a equação isolada não considera. Isso confere ao modelo uma propriedade desejável: mesmo errado, ele erra de forma fisicamente plausível.</w:t>
      </w:r>
    </w:p>
    <w:p>
      <w:pPr>
        <w:spacing w:after="18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Terceiro, o sistema é projetado para convergência progressiva. Com o tempo, à medida que os sensores físicos sejam instalados e o histórico real se acumule, o modelo poderá ser re-treinado com pesos crescentes nas observações reais. O dataset sintético deixará de ser a fonte primária de treinamento e passará a desempenhar papel de regularizador físico — garantindo que, mesmo em períodos de poucos dados reais (por exemplo, durante uma estação climática nunca antes observada pelos sensores), o modelo continue produzindo decisões fisicamente sensatas.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a4d2e"/>
          <w:sz w:val="28"/>
          <w:szCs w:val="28"/>
        </w:rPr>
        <w:t xml:space="preserve">8. Considerações Finais</w:t>
      </w:r>
    </w:p>
    <w:p>
      <w:pPr>
        <w:spacing w:after="18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metodologia apresentada articula uma resposta integrada aos três desafios estruturais do projeto: ausência de hardware implementado, ausência de rótulos supervisionados e ausência de informações detalhadas do sistema solo-planta. A solução combina geração sintética calibrada, aprendizado autossupervisionado com pseudo-rótulo Penman-Monteith, e adoção explícita de premissas pedológicas tabuladas pela FAO. O sistema atual, em estado de validação, demonstra coerência física tanto nas métricas quantitativas do modelo quanto no comportamento dinâmico do motor de simulação acoplado ao dashboard.</w:t>
      </w:r>
    </w:p>
    <w:p>
      <w:pPr>
        <w:spacing w:after="18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contribuição metodológica deste trabalho não se restringe à demonstração de viabilidade técnica. A arquitetura proposta — partir de dataset sintético fisicamente coerente, supervisionar via equação consagrada da literatura agronômica, e migrar progressivamente para dados reais — é generalizável a uma classe ampla de problemas em agricultura digital onde rotulagem manual é inviável e instrumentação agronômica completa é cara ou indisponível. Esse padrão é especialmente relevante para o contexto brasileiro, onde pequenos produtores raramente dispõem de recursos para a instrumentação agronômica plena que modelos mais convencionais exigem.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a4d2e"/>
          <w:sz w:val="28"/>
          <w:szCs w:val="28"/>
        </w:rPr>
        <w:t xml:space="preserve">Referências</w:t>
      </w:r>
    </w:p>
    <w:p>
      <w:pPr>
        <w:spacing w:after="200" w:line="280"/>
        <w:ind w:left="720" w:hanging="7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ALLEN, R. G.; PEREIRA, L. S.; RAES, D.; SMITH, M.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Crop evapotranspiration — Guidelines for computing crop water requirements</w:t>
      </w:r>
      <w:r>
        <w:rPr>
          <w:rFonts w:ascii="Calibri" w:cs="Calibri" w:eastAsia="Calibri" w:hAnsi="Calibri"/>
          <w:sz w:val="22"/>
          <w:szCs w:val="22"/>
        </w:rPr>
        <w:t xml:space="preserve">. FAO Irrigation and Drainage Paper No. 56. Roma: Organização das Nações Unidas para a Alimentação e a Agricultura (FAO), 1998.</w:t>
      </w:r>
    </w:p>
    <w:p>
      <w:pPr>
        <w:spacing w:after="200" w:line="280"/>
        <w:ind w:left="720" w:hanging="7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INPE — Instituto Nacional de Pesquisas Espaciais.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CPTEC API de Previsão Numérica de Tempo e Clima</w:t>
      </w:r>
      <w:r>
        <w:rPr>
          <w:rFonts w:ascii="Calibri" w:cs="Calibri" w:eastAsia="Calibri" w:hAnsi="Calibri"/>
          <w:sz w:val="22"/>
          <w:szCs w:val="22"/>
        </w:rPr>
        <w:t xml:space="preserve">. Disponível em: http://servicos.cptec.inpe.br/XML/.</w:t>
      </w:r>
    </w:p>
    <w:p>
      <w:pPr>
        <w:spacing w:after="200" w:line="280"/>
        <w:ind w:left="720" w:hanging="7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CHEN, T.; GUESTRIN, C. XGBoost: A Scalable Tree Boosting System.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Proceedings of the 22nd ACM SIGKDD International Conference on Knowledge Discovery and Data Mining</w:t>
      </w:r>
      <w:r>
        <w:rPr>
          <w:rFonts w:ascii="Calibri" w:cs="Calibri" w:eastAsia="Calibri" w:hAnsi="Calibri"/>
          <w:sz w:val="22"/>
          <w:szCs w:val="22"/>
        </w:rPr>
        <w:t xml:space="preserve">, 2016, p. 785–794.</w:t>
      </w:r>
    </w:p>
    <w:p>
      <w:pPr>
        <w:spacing w:after="200" w:line="280"/>
        <w:ind w:left="720" w:hanging="7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BENGIO, Y.; LOURADOUR, J.; COLLOBERT, R.; WESTON, J. Curriculum learning.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Proceedings of the 26th Annual International Conference on Machine Learning (ICML)</w:t>
      </w:r>
      <w:r>
        <w:rPr>
          <w:rFonts w:ascii="Calibri" w:cs="Calibri" w:eastAsia="Calibri" w:hAnsi="Calibri"/>
          <w:sz w:val="22"/>
          <w:szCs w:val="22"/>
        </w:rPr>
        <w:t xml:space="preserve">, 2009, p. 41–48.</w:t>
      </w:r>
    </w:p>
    <w:p>
      <w:pPr>
        <w:spacing w:after="200" w:line="280"/>
        <w:ind w:left="720" w:hanging="7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EMBRAPA — Empresa Brasileira de Pesquisa Agropecuária.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Manual de manejo de irrigação para o cerrado</w:t>
      </w:r>
      <w:r>
        <w:rPr>
          <w:rFonts w:ascii="Calibri" w:cs="Calibri" w:eastAsia="Calibri" w:hAnsi="Calibri"/>
          <w:sz w:val="22"/>
          <w:szCs w:val="22"/>
        </w:rPr>
        <w:t xml:space="preserve">. Planaltina: Embrapa Cerrados, diversas edições.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a4d2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d7a4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Resumo Metodológico — Gêmeo Digital de Irrigação</dc:title>
  <dc:creator>Wallisson — UFG/CEIA/AKCIT</dc:creator>
  <cp:lastModifiedBy>Un-named</cp:lastModifiedBy>
  <cp:revision>1</cp:revision>
  <dcterms:created xsi:type="dcterms:W3CDTF">2026-06-21T21:32:29.331Z</dcterms:created>
  <dcterms:modified xsi:type="dcterms:W3CDTF">2026-06-21T21:32:29.331Z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