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pPr>
      <w:r>
        <w:rPr>
          <w:b/>
          <w:bCs/>
          <w:color w:val="0E2A3A"/>
          <w:sz w:val="50"/>
          <w:szCs w:val="50"/>
        </w:rPr>
        <w:t xml:space="preserve">HydroGeoChem Explorer</w:t>
      </w:r>
    </w:p>
    <w:p>
      <w:pPr>
        <w:spacing w:after="30"/>
      </w:pPr>
      <w:r>
        <w:rPr>
          <w:color w:val="1F6F8B"/>
          <w:sz w:val="30"/>
          <w:szCs w:val="30"/>
        </w:rPr>
        <w:t xml:space="preserve">Alignment with the WaterSoftHack Initiative</w:t>
      </w:r>
    </w:p>
    <w:p>
      <w:pPr>
        <w:spacing w:after="340"/>
      </w:pPr>
      <w:r>
        <w:rPr>
          <w:i/>
          <w:iCs/>
          <w:color w:val="5A6472"/>
          <w:sz w:val="22"/>
          <w:szCs w:val="22"/>
        </w:rPr>
        <w:t xml:space="preserve">How this cyberinfrastructure and machine-learning tool supports the vision and objectives of the NSF-funded WaterSoftHack project</w:t>
      </w:r>
    </w:p>
    <w:p>
      <w:pPr>
        <w:pBdr>
          <w:top w:val="single" w:color="C96F4A" w:sz="6"/>
        </w:pBdr>
        <w:spacing w:after="200"/>
      </w:pPr>
    </w:p>
    <w:p>
      <w:pPr>
        <w:spacing w:after="120" w:line="278"/>
        <w:jc w:val="left"/>
      </w:pPr>
      <w:r>
        <w:rPr>
          <w:b w:val="false"/>
          <w:bCs w:val="false"/>
          <w:i w:val="false"/>
          <w:iCs w:val="false"/>
          <w:color w:val="222222"/>
          <w:sz w:val="22"/>
          <w:szCs w:val="22"/>
        </w:rPr>
        <w:t xml:space="preserve">WaterSoftHack, led by Dr. Vidya Samadi (Clemson University) with the University of Iowa, Tulane University, and CUAHSI, sets out to cultivate a workforce that creates, uses, and supports advanced cyberinfrastructure (CI) and machine-learning (ML) workflows for water science. </w:t>
      </w:r>
      <w:r>
        <w:rPr>
          <w:b/>
          <w:bCs/>
          <w:i w:val="false"/>
          <w:iCs w:val="false"/>
          <w:color w:val="0E2A3A"/>
          <w:sz w:val="22"/>
          <w:szCs w:val="22"/>
        </w:rPr>
        <w:t xml:space="preserve">HydroGeoChem Explorer is a working example of exactly that kind of tool.</w:t>
      </w:r>
    </w:p>
    <w:tbl>
      <w:tblPr>
        <w:tblW w:type="dxa" w:w="9360"/>
        <w:tblBorders>
          <w:top w:val="single" w:color="1F6F8B" w:sz="2"/>
          <w:left w:val="single" w:color="1F6F8B" w:sz="14"/>
          <w:bottom w:val="single" w:color="1F6F8B" w:sz="2"/>
          <w:right w:val="single" w:color="1F6F8B" w:sz="2"/>
          <w:insideH w:val="none"/>
          <w:insideV w:val="none"/>
        </w:tblBorders>
      </w:tblPr>
      <w:tblGrid>
        <w:gridCol w:w="9360"/>
      </w:tblGrid>
      <w:tr>
        <w:tc>
          <w:tcPr>
            <w:tcW w:type="dxa" w:w="9360"/>
            <w:shd w:fill="EEF3F6" w:val="clear"/>
            <w:tcMar>
              <w:top w:type="dxa" w:w="120"/>
              <w:left w:type="dxa" w:w="160"/>
              <w:bottom w:type="dxa" w:w="120"/>
              <w:right w:type="dxa" w:w="160"/>
            </w:tcMar>
          </w:tcPr>
          <w:p>
            <w:pPr>
              <w:spacing w:after="60"/>
            </w:pPr>
            <w:r>
              <w:rPr>
                <w:b/>
                <w:bCs/>
                <w:color w:val="1F6F8B"/>
                <w:sz w:val="22"/>
                <w:szCs w:val="22"/>
              </w:rPr>
              <w:t xml:space="preserve">The short answer</w:t>
            </w:r>
          </w:p>
          <w:p>
            <w:pPr>
              <w:spacing w:after="60"/>
            </w:pPr>
            <w:r>
              <w:rPr>
                <w:b/>
                <w:bCs/>
                <w:i w:val="false"/>
                <w:iCs w:val="false"/>
                <w:color w:val="C96F4A"/>
                <w:sz w:val="22"/>
                <w:szCs w:val="22"/>
              </w:rPr>
              <w:t xml:space="preserve">Yes, it fits well. </w:t>
            </w:r>
            <w:r>
              <w:rPr>
                <w:b w:val="false"/>
                <w:bCs w:val="false"/>
                <w:i w:val="false"/>
                <w:iCs w:val="false"/>
                <w:color w:val="222222"/>
                <w:sz w:val="22"/>
                <w:szCs w:val="22"/>
              </w:rPr>
              <w:t xml:space="preserve">HydroGeoChem is a reproducible, cloud-ready CI workflow that takes real water-quality data, runs a trusted geochemistry model, and produces machine-learning training data. It is open in design, documented in plain English, and small enough to teach. Every one of the four WaterSoftHack objectives maps onto something the tool already does.</w:t>
            </w:r>
          </w:p>
          <w:p>
            <w:pPr>
              <w:spacing w:after="0"/>
            </w:pPr>
            <w:r>
              <w:rPr>
                <w:b/>
                <w:bCs/>
                <w:i w:val="false"/>
                <w:iCs w:val="false"/>
                <w:color w:val="222222"/>
                <w:sz w:val="22"/>
                <w:szCs w:val="22"/>
              </w:rPr>
              <w:t xml:space="preserve">Its goal speaks to the whole water community: </w:t>
            </w:r>
            <w:r>
              <w:rPr>
                <w:b w:val="false"/>
                <w:bCs w:val="false"/>
                <w:i w:val="false"/>
                <w:iCs w:val="false"/>
                <w:color w:val="222222"/>
                <w:sz w:val="22"/>
                <w:szCs w:val="22"/>
              </w:rPr>
              <w:t xml:space="preserve">make the hidden chemistry of water understandable and predictable, so that communities, utilities, farmers, regulators, and researchers can act before a problem reaches the tap. That is exactly the audience WaterSoftHack seeks to reach and empower.</w:t>
            </w:r>
          </w:p>
        </w:tc>
      </w:tr>
    </w:tbl>
    <w:p>
      <w:r>
        <w:br w:type="page"/>
      </w:r>
    </w:p>
    <w:p>
      <w:pPr>
        <w:pStyle w:val="Heading1"/>
        <w:spacing w:after="130" w:before="320"/>
      </w:pPr>
      <w:r>
        <w:rPr>
          <w:b/>
          <w:bCs/>
          <w:color w:val="0E2A3A"/>
          <w:sz w:val="30"/>
          <w:szCs w:val="30"/>
        </w:rPr>
        <w:t xml:space="preserve">1. What HydroGeoChem is, in one page</w:t>
      </w:r>
    </w:p>
    <w:p>
      <w:pPr>
        <w:spacing w:after="120" w:line="278"/>
        <w:jc w:val="left"/>
      </w:pPr>
      <w:r>
        <w:rPr>
          <w:color w:val="222222"/>
          <w:sz w:val="22"/>
          <w:szCs w:val="22"/>
        </w:rPr>
        <w:t xml:space="preserve">HydroGeoChem Explorer answers a practical water-science question: given the chemistry of a water sample, which minerals will it dissolve and which will it form? It automates a task that scientists otherwise do by hand, retyping spreadsheet numbers into the PHREEQC geochemistry program, one site at a time.</w:t>
      </w:r>
    </w:p>
    <w:p>
      <w:pPr>
        <w:spacing w:after="120" w:line="278"/>
        <w:jc w:val="left"/>
      </w:pPr>
      <w:r>
        <w:rPr>
          <w:color w:val="222222"/>
          <w:sz w:val="22"/>
          <w:szCs w:val="22"/>
        </w:rPr>
        <w:t xml:space="preserve">The tool does five things, front to back:</w:t>
      </w:r>
    </w:p>
    <w:p>
      <w:pPr>
        <w:pStyle w:val="ListParagraph"/>
        <w:numPr>
          <w:ilvl w:val="0"/>
          <w:numId w:val="2"/>
        </w:numPr>
        <w:spacing w:after="80" w:line="272"/>
      </w:pPr>
      <w:r>
        <w:rPr>
          <w:b/>
          <w:bCs/>
          <w:i w:val="false"/>
          <w:iCs w:val="false"/>
          <w:color w:val="222222"/>
          <w:sz w:val="22"/>
          <w:szCs w:val="22"/>
        </w:rPr>
        <w:t xml:space="preserve">Finds </w:t>
      </w:r>
      <w:r>
        <w:rPr>
          <w:b w:val="false"/>
          <w:bCs w:val="false"/>
          <w:i w:val="false"/>
          <w:iCs w:val="false"/>
          <w:color w:val="222222"/>
          <w:sz w:val="22"/>
          <w:szCs w:val="22"/>
        </w:rPr>
        <w:t xml:space="preserve">monitoring sites that actually carry the measurements a model needs.</w:t>
      </w:r>
    </w:p>
    <w:p>
      <w:pPr>
        <w:pStyle w:val="ListParagraph"/>
        <w:numPr>
          <w:ilvl w:val="0"/>
          <w:numId w:val="2"/>
        </w:numPr>
        <w:spacing w:after="80" w:line="272"/>
      </w:pPr>
      <w:r>
        <w:rPr>
          <w:b/>
          <w:bCs/>
          <w:i w:val="false"/>
          <w:iCs w:val="false"/>
          <w:color w:val="222222"/>
          <w:sz w:val="22"/>
          <w:szCs w:val="22"/>
        </w:rPr>
        <w:t xml:space="preserve">Fetches and cleans </w:t>
      </w:r>
      <w:r>
        <w:rPr>
          <w:b w:val="false"/>
          <w:bCs w:val="false"/>
          <w:i w:val="false"/>
          <w:iCs w:val="false"/>
          <w:color w:val="222222"/>
          <w:sz w:val="22"/>
          <w:szCs w:val="22"/>
        </w:rPr>
        <w:t xml:space="preserve">the analyses, converting every value into correct units and conventions.</w:t>
      </w:r>
    </w:p>
    <w:p>
      <w:pPr>
        <w:pStyle w:val="ListParagraph"/>
        <w:numPr>
          <w:ilvl w:val="0"/>
          <w:numId w:val="2"/>
        </w:numPr>
        <w:spacing w:after="80" w:line="272"/>
      </w:pPr>
      <w:r>
        <w:rPr>
          <w:b/>
          <w:bCs/>
          <w:i w:val="false"/>
          <w:iCs w:val="false"/>
          <w:color w:val="222222"/>
          <w:sz w:val="22"/>
          <w:szCs w:val="22"/>
        </w:rPr>
        <w:t xml:space="preserve">Builds and previews </w:t>
      </w:r>
      <w:r>
        <w:rPr>
          <w:b w:val="false"/>
          <w:bCs w:val="false"/>
          <w:i w:val="false"/>
          <w:iCs w:val="false"/>
          <w:color w:val="222222"/>
          <w:sz w:val="22"/>
          <w:szCs w:val="22"/>
        </w:rPr>
        <w:t xml:space="preserve">the exact PHREEQC input before anything runs.</w:t>
      </w:r>
    </w:p>
    <w:p>
      <w:pPr>
        <w:pStyle w:val="ListParagraph"/>
        <w:numPr>
          <w:ilvl w:val="0"/>
          <w:numId w:val="2"/>
        </w:numPr>
        <w:spacing w:after="80" w:line="272"/>
      </w:pPr>
      <w:r>
        <w:rPr>
          <w:b/>
          <w:bCs/>
          <w:i w:val="false"/>
          <w:iCs w:val="false"/>
          <w:color w:val="222222"/>
          <w:sz w:val="22"/>
          <w:szCs w:val="22"/>
        </w:rPr>
        <w:t xml:space="preserve">Runs the model safely </w:t>
      </w:r>
      <w:r>
        <w:rPr>
          <w:b w:val="false"/>
          <w:bCs w:val="false"/>
          <w:i w:val="false"/>
          <w:iCs w:val="false"/>
          <w:color w:val="222222"/>
          <w:sz w:val="22"/>
          <w:szCs w:val="22"/>
        </w:rPr>
        <w:t xml:space="preserve">in isolated worker processes, and returns saturation indices with charts.</w:t>
      </w:r>
    </w:p>
    <w:p>
      <w:pPr>
        <w:pStyle w:val="ListParagraph"/>
        <w:numPr>
          <w:ilvl w:val="0"/>
          <w:numId w:val="2"/>
        </w:numPr>
        <w:spacing w:after="80" w:line="272"/>
      </w:pPr>
      <w:r>
        <w:rPr>
          <w:b/>
          <w:bCs/>
          <w:i w:val="false"/>
          <w:iCs w:val="false"/>
          <w:color w:val="222222"/>
          <w:sz w:val="22"/>
          <w:szCs w:val="22"/>
        </w:rPr>
        <w:t xml:space="preserve">Exports a machine-learning dataset </w:t>
      </w:r>
      <w:r>
        <w:rPr>
          <w:b w:val="false"/>
          <w:bCs w:val="false"/>
          <w:i w:val="false"/>
          <w:iCs w:val="false"/>
          <w:color w:val="222222"/>
          <w:sz w:val="22"/>
          <w:szCs w:val="22"/>
        </w:rPr>
        <w:t xml:space="preserve">that joins the inputs and outputs into one flat table, for one site or many at once.</w:t>
      </w:r>
    </w:p>
    <w:p>
      <w:pPr>
        <w:spacing w:after="60"/>
      </w:pPr>
    </w:p>
    <w:p>
      <w:pPr>
        <w:spacing w:after="120" w:line="278"/>
        <w:jc w:val="left"/>
      </w:pPr>
      <w:r>
        <w:rPr>
          <w:b w:val="false"/>
          <w:bCs w:val="false"/>
          <w:i w:val="false"/>
          <w:iCs w:val="false"/>
          <w:color w:val="222222"/>
          <w:sz w:val="22"/>
          <w:szCs w:val="22"/>
        </w:rPr>
        <w:t xml:space="preserve">Under the hood it is a modern CI stack: a Python domain library for the chemistry, a FastAPI web service, a Streamlit interface, a PHREEQC process pool, PostgreSQL for reproducible records, Redis and Celery for batch jobs, and Docker for packaging. It is API-first, containerized, and horizontally scalable, so it runs the same on a laptop or in the cloud.</w:t>
      </w:r>
    </w:p>
    <w:p>
      <w:pPr>
        <w:spacing w:after="120"/>
      </w:pPr>
    </w:p>
    <w:p>
      <w:pPr>
        <w:pStyle w:val="Heading1"/>
        <w:spacing w:after="130" w:before="320"/>
      </w:pPr>
      <w:r>
        <w:rPr>
          <w:b/>
          <w:bCs/>
          <w:color w:val="0E2A3A"/>
          <w:sz w:val="30"/>
          <w:szCs w:val="30"/>
        </w:rPr>
        <w:t xml:space="preserve">2. Alignment at a glance</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3100"/>
        <w:gridCol w:w="6260"/>
      </w:tblGrid>
      <w:tr>
        <w:trPr>
          <w:tblHeader/>
        </w:trPr>
        <w:tc>
          <w:tcPr>
            <w:tcW w:type="dxa" w:w="3100"/>
            <w:shd w:fill="0E2A3A" w:val="clear"/>
            <w:tcMar>
              <w:top w:type="dxa" w:w="80"/>
              <w:left w:type="dxa" w:w="110"/>
              <w:bottom w:type="dxa" w:w="80"/>
              <w:right w:type="dxa" w:w="110"/>
            </w:tcMar>
          </w:tcPr>
          <w:p>
            <w:r>
              <w:rPr>
                <w:b/>
                <w:bCs/>
                <w:color w:val="FFFFFF"/>
                <w:sz w:val="20"/>
                <w:szCs w:val="20"/>
              </w:rPr>
              <w:t xml:space="preserve">WaterSoftHack element</w:t>
            </w:r>
          </w:p>
        </w:tc>
        <w:tc>
          <w:tcPr>
            <w:tcW w:type="dxa" w:w="6260"/>
            <w:shd w:fill="0E2A3A" w:val="clear"/>
            <w:tcMar>
              <w:top w:type="dxa" w:w="80"/>
              <w:left w:type="dxa" w:w="110"/>
              <w:bottom w:type="dxa" w:w="80"/>
              <w:right w:type="dxa" w:w="110"/>
            </w:tcMar>
          </w:tcPr>
          <w:p>
            <w:r>
              <w:rPr>
                <w:b/>
                <w:bCs/>
                <w:color w:val="FFFFFF"/>
                <w:sz w:val="20"/>
                <w:szCs w:val="20"/>
              </w:rPr>
              <w:t xml:space="preserve">How HydroGeoChem contributes</w:t>
            </w:r>
          </w:p>
        </w:tc>
      </w:tr>
      <w:tr>
        <w:tc>
          <w:tcPr>
            <w:tcW w:type="dxa" w:w="3100"/>
            <w:shd w:fill="EEF3F6" w:val="clear"/>
            <w:tcMar>
              <w:top w:type="dxa" w:w="70"/>
              <w:left w:type="dxa" w:w="110"/>
              <w:bottom w:type="dxa" w:w="70"/>
              <w:right w:type="dxa" w:w="110"/>
            </w:tcMar>
          </w:tcPr>
          <w:p>
            <w:r>
              <w:rPr>
                <w:color w:val="222222"/>
                <w:sz w:val="20"/>
                <w:szCs w:val="20"/>
              </w:rPr>
              <w:t xml:space="preserve">Vision: democratize CI access</w:t>
            </w:r>
          </w:p>
        </w:tc>
        <w:tc>
          <w:tcPr>
            <w:tcW w:type="dxa" w:w="6260"/>
            <w:shd w:fill="EEF3F6" w:val="clear"/>
            <w:tcMar>
              <w:top w:type="dxa" w:w="70"/>
              <w:left w:type="dxa" w:w="110"/>
              <w:bottom w:type="dxa" w:w="70"/>
              <w:right w:type="dxa" w:w="110"/>
            </w:tcMar>
          </w:tcPr>
          <w:p>
            <w:r>
              <w:rPr>
                <w:color w:val="222222"/>
                <w:sz w:val="20"/>
                <w:szCs w:val="20"/>
              </w:rPr>
              <w:t xml:space="preserve">Turns a manual, expert-only workflow into an accessible service with a UI for scientists and an API for coders; documented in plain English.</w:t>
            </w:r>
          </w:p>
        </w:tc>
      </w:tr>
      <w:tr>
        <w:tc>
          <w:tcPr>
            <w:tcW w:type="dxa" w:w="3100"/>
            <w:shd w:fill="FFFFFF" w:val="clear"/>
            <w:tcMar>
              <w:top w:type="dxa" w:w="70"/>
              <w:left w:type="dxa" w:w="110"/>
              <w:bottom w:type="dxa" w:w="70"/>
              <w:right w:type="dxa" w:w="110"/>
            </w:tcMar>
          </w:tcPr>
          <w:p>
            <w:r>
              <w:rPr>
                <w:color w:val="222222"/>
                <w:sz w:val="20"/>
                <w:szCs w:val="20"/>
              </w:rPr>
              <w:t xml:space="preserve">Educational Empowerment</w:t>
            </w:r>
          </w:p>
        </w:tc>
        <w:tc>
          <w:tcPr>
            <w:tcW w:type="dxa" w:w="6260"/>
            <w:shd w:fill="FFFFFF" w:val="clear"/>
            <w:tcMar>
              <w:top w:type="dxa" w:w="70"/>
              <w:left w:type="dxa" w:w="110"/>
              <w:bottom w:type="dxa" w:w="70"/>
              <w:right w:type="dxa" w:w="110"/>
            </w:tcMar>
          </w:tcPr>
          <w:p>
            <w:r>
              <w:rPr>
                <w:color w:val="222222"/>
                <w:sz w:val="20"/>
                <w:szCs w:val="20"/>
              </w:rPr>
              <w:t xml:space="preserve">A small, hackable, fully tested reference project that bridges traditional water science (PHREEQC, USGS data) and modern CI (APIs, containers, ML).</w:t>
            </w:r>
          </w:p>
        </w:tc>
      </w:tr>
      <w:tr>
        <w:tc>
          <w:tcPr>
            <w:tcW w:type="dxa" w:w="3100"/>
            <w:shd w:fill="EEF3F6" w:val="clear"/>
            <w:tcMar>
              <w:top w:type="dxa" w:w="70"/>
              <w:left w:type="dxa" w:w="110"/>
              <w:bottom w:type="dxa" w:w="70"/>
              <w:right w:type="dxa" w:w="110"/>
            </w:tcMar>
          </w:tcPr>
          <w:p>
            <w:r>
              <w:rPr>
                <w:color w:val="222222"/>
                <w:sz w:val="20"/>
                <w:szCs w:val="20"/>
              </w:rPr>
              <w:t xml:space="preserve">Research Innovation</w:t>
            </w:r>
          </w:p>
        </w:tc>
        <w:tc>
          <w:tcPr>
            <w:tcW w:type="dxa" w:w="6260"/>
            <w:shd w:fill="EEF3F6" w:val="clear"/>
            <w:tcMar>
              <w:top w:type="dxa" w:w="70"/>
              <w:left w:type="dxa" w:w="110"/>
              <w:bottom w:type="dxa" w:w="70"/>
              <w:right w:type="dxa" w:w="110"/>
            </w:tcMar>
          </w:tcPr>
          <w:p>
            <w:r>
              <w:rPr>
                <w:color w:val="222222"/>
                <w:sz w:val="20"/>
                <w:szCs w:val="20"/>
              </w:rPr>
              <w:t xml:space="preserve">Generates open ML training data (features and targets) for geochemical surrogate models; cloud-ready and reproducible.</w:t>
            </w:r>
          </w:p>
        </w:tc>
      </w:tr>
      <w:tr>
        <w:tc>
          <w:tcPr>
            <w:tcW w:type="dxa" w:w="3100"/>
            <w:shd w:fill="FFFFFF" w:val="clear"/>
            <w:tcMar>
              <w:top w:type="dxa" w:w="70"/>
              <w:left w:type="dxa" w:w="110"/>
              <w:bottom w:type="dxa" w:w="70"/>
              <w:right w:type="dxa" w:w="110"/>
            </w:tcMar>
          </w:tcPr>
          <w:p>
            <w:r>
              <w:rPr>
                <w:color w:val="222222"/>
                <w:sz w:val="20"/>
                <w:szCs w:val="20"/>
              </w:rPr>
              <w:t xml:space="preserve">Collaborative Synergy</w:t>
            </w:r>
          </w:p>
        </w:tc>
        <w:tc>
          <w:tcPr>
            <w:tcW w:type="dxa" w:w="6260"/>
            <w:shd w:fill="FFFFFF" w:val="clear"/>
            <w:tcMar>
              <w:top w:type="dxa" w:w="70"/>
              <w:left w:type="dxa" w:w="110"/>
              <w:bottom w:type="dxa" w:w="70"/>
              <w:right w:type="dxa" w:w="110"/>
            </w:tcMar>
          </w:tcPr>
          <w:p>
            <w:r>
              <w:rPr>
                <w:color w:val="222222"/>
                <w:sz w:val="20"/>
                <w:szCs w:val="20"/>
              </w:rPr>
              <w:t xml:space="preserve">A worked example of a CI workflow that shows the three roles: those who create, use, and support such tools.</w:t>
            </w:r>
          </w:p>
        </w:tc>
      </w:tr>
      <w:tr>
        <w:tc>
          <w:tcPr>
            <w:tcW w:type="dxa" w:w="3100"/>
            <w:shd w:fill="EEF3F6" w:val="clear"/>
            <w:tcMar>
              <w:top w:type="dxa" w:w="70"/>
              <w:left w:type="dxa" w:w="110"/>
              <w:bottom w:type="dxa" w:w="70"/>
              <w:right w:type="dxa" w:w="110"/>
            </w:tcMar>
          </w:tcPr>
          <w:p>
            <w:r>
              <w:rPr>
                <w:color w:val="222222"/>
                <w:sz w:val="20"/>
                <w:szCs w:val="20"/>
              </w:rPr>
              <w:t xml:space="preserve">Community Engagement</w:t>
            </w:r>
          </w:p>
        </w:tc>
        <w:tc>
          <w:tcPr>
            <w:tcW w:type="dxa" w:w="6260"/>
            <w:shd w:fill="EEF3F6" w:val="clear"/>
            <w:tcMar>
              <w:top w:type="dxa" w:w="70"/>
              <w:left w:type="dxa" w:w="110"/>
              <w:bottom w:type="dxa" w:w="70"/>
              <w:right w:type="dxa" w:w="110"/>
            </w:tcMar>
          </w:tcPr>
          <w:p>
            <w:r>
              <w:rPr>
                <w:color w:val="222222"/>
                <w:sz w:val="20"/>
                <w:szCs w:val="20"/>
              </w:rPr>
              <w:t xml:space="preserve">API-first and open by design; integrates the community's own data services (USGS, Water Quality Portal) and points to their modern successors.</w:t>
            </w:r>
          </w:p>
        </w:tc>
      </w:tr>
    </w:tbl>
    <w:p>
      <w:pPr>
        <w:spacing w:after="120"/>
      </w:pPr>
    </w:p>
    <w:p>
      <w:pPr>
        <w:pStyle w:val="Heading1"/>
        <w:spacing w:after="130" w:before="320"/>
      </w:pPr>
      <w:r>
        <w:rPr>
          <w:b/>
          <w:bCs/>
          <w:color w:val="0E2A3A"/>
          <w:sz w:val="30"/>
          <w:szCs w:val="30"/>
        </w:rPr>
        <w:t xml:space="preserve">3. Fit with the vision</w:t>
      </w:r>
    </w:p>
    <w:p>
      <w:pPr>
        <w:spacing w:after="120" w:line="278"/>
        <w:jc w:val="left"/>
      </w:pPr>
      <w:r>
        <w:rPr>
          <w:b w:val="false"/>
          <w:bCs w:val="false"/>
          <w:i w:val="false"/>
          <w:iCs w:val="false"/>
          <w:color w:val="222222"/>
          <w:sz w:val="22"/>
          <w:szCs w:val="22"/>
        </w:rPr>
        <w:t xml:space="preserve">WaterSoftHack's vision is to </w:t>
      </w:r>
      <w:r>
        <w:rPr>
          <w:b w:val="false"/>
          <w:bCs w:val="false"/>
          <w:i/>
          <w:iCs/>
          <w:color w:val="1F6F8B"/>
          <w:sz w:val="22"/>
          <w:szCs w:val="22"/>
        </w:rPr>
        <w:t xml:space="preserve">democratize access to advanced CI approaches</w:t>
      </w:r>
      <w:r>
        <w:rPr>
          <w:b w:val="false"/>
          <w:bCs w:val="false"/>
          <w:i w:val="false"/>
          <w:iCs w:val="false"/>
          <w:color w:val="222222"/>
          <w:sz w:val="22"/>
          <w:szCs w:val="22"/>
        </w:rPr>
        <w:t xml:space="preserve"> and to raise researchers' competence and confidence in CI prototyping and workflow development.</w:t>
      </w:r>
    </w:p>
    <w:p>
      <w:pPr>
        <w:spacing w:after="120" w:line="278"/>
        <w:jc w:val="left"/>
      </w:pPr>
      <w:r>
        <w:rPr>
          <w:color w:val="222222"/>
          <w:sz w:val="22"/>
          <w:szCs w:val="22"/>
        </w:rPr>
        <w:t xml:space="preserve">HydroGeoChem lowers the barrier in three concrete ways:</w:t>
      </w:r>
    </w:p>
    <w:p>
      <w:pPr>
        <w:pStyle w:val="ListParagraph"/>
        <w:numPr>
          <w:ilvl w:val="0"/>
          <w:numId w:val="2"/>
        </w:numPr>
        <w:spacing w:after="80" w:line="272"/>
      </w:pPr>
      <w:r>
        <w:rPr>
          <w:b/>
          <w:bCs/>
          <w:i w:val="false"/>
          <w:iCs w:val="false"/>
          <w:color w:val="222222"/>
          <w:sz w:val="22"/>
          <w:szCs w:val="22"/>
        </w:rPr>
        <w:t xml:space="preserve">Two front doors. </w:t>
      </w:r>
      <w:r>
        <w:rPr>
          <w:b w:val="false"/>
          <w:bCs w:val="false"/>
          <w:i w:val="false"/>
          <w:iCs w:val="false"/>
          <w:color w:val="222222"/>
          <w:sz w:val="22"/>
          <w:szCs w:val="22"/>
        </w:rPr>
        <w:t xml:space="preserve">A scientist with no programming background can use the point-and-click interface; a researcher who writes code gets the same results from a documented API. Nobody is forced to learn PHREEQC's input language to get a correct answer.</w:t>
      </w:r>
    </w:p>
    <w:p>
      <w:pPr>
        <w:pStyle w:val="ListParagraph"/>
        <w:numPr>
          <w:ilvl w:val="0"/>
          <w:numId w:val="2"/>
        </w:numPr>
        <w:spacing w:after="80" w:line="272"/>
      </w:pPr>
      <w:r>
        <w:rPr>
          <w:b/>
          <w:bCs/>
          <w:i w:val="false"/>
          <w:iCs w:val="false"/>
          <w:color w:val="222222"/>
          <w:sz w:val="22"/>
          <w:szCs w:val="22"/>
        </w:rPr>
        <w:t xml:space="preserve">It is a prototyping template. </w:t>
      </w:r>
      <w:r>
        <w:rPr>
          <w:b w:val="false"/>
          <w:bCs w:val="false"/>
          <w:i w:val="false"/>
          <w:iCs w:val="false"/>
          <w:color w:val="222222"/>
          <w:sz w:val="22"/>
          <w:szCs w:val="22"/>
        </w:rPr>
        <w:t xml:space="preserve">The codebase is deliberately layered and small, so it reads as a teachable example of how to design a CI workflow: separate the domain knowledge, put ports and adapters around external services, and keep the interface thin.</w:t>
      </w:r>
    </w:p>
    <w:p>
      <w:pPr>
        <w:pStyle w:val="ListParagraph"/>
        <w:numPr>
          <w:ilvl w:val="0"/>
          <w:numId w:val="2"/>
        </w:numPr>
        <w:spacing w:after="80" w:line="272"/>
      </w:pPr>
      <w:r>
        <w:rPr>
          <w:b/>
          <w:bCs/>
          <w:i w:val="false"/>
          <w:iCs w:val="false"/>
          <w:color w:val="222222"/>
          <w:sz w:val="22"/>
          <w:szCs w:val="22"/>
        </w:rPr>
        <w:t xml:space="preserve">Confidence through honesty. </w:t>
      </w:r>
      <w:r>
        <w:rPr>
          <w:b w:val="false"/>
          <w:bCs w:val="false"/>
          <w:i w:val="false"/>
          <w:iCs w:val="false"/>
          <w:color w:val="222222"/>
          <w:sz w:val="22"/>
          <w:szCs w:val="22"/>
        </w:rPr>
        <w:t xml:space="preserve">Every result carries a charge-balance check and a named reason for any failure, so a newcomer learns to trust, and to question, computational output rather than treat it as a black box.</w:t>
      </w:r>
    </w:p>
    <w:p>
      <w:pPr>
        <w:spacing w:after="120"/>
      </w:pPr>
    </w:p>
    <w:p>
      <w:pPr>
        <w:pStyle w:val="Heading1"/>
        <w:spacing w:after="130" w:before="320"/>
      </w:pPr>
      <w:r>
        <w:rPr>
          <w:b/>
          <w:bCs/>
          <w:color w:val="0E2A3A"/>
          <w:sz w:val="30"/>
          <w:szCs w:val="30"/>
        </w:rPr>
        <w:t xml:space="preserve">4. Objective 1: Educational Empowerment</w:t>
      </w:r>
    </w:p>
    <w:tbl>
      <w:tblPr>
        <w:tblW w:type="dxa" w:w="9360"/>
        <w:tblBorders>
          <w:top w:val="single" w:color="1C7293" w:sz="2"/>
          <w:left w:val="single" w:color="1C7293" w:sz="14"/>
          <w:bottom w:val="single" w:color="1C7293" w:sz="2"/>
          <w:right w:val="single" w:color="1C7293" w:sz="2"/>
          <w:insideH w:val="none"/>
          <w:insideV w:val="none"/>
        </w:tblBorders>
      </w:tblPr>
      <w:tblGrid>
        <w:gridCol w:w="9360"/>
      </w:tblGrid>
      <w:tr>
        <w:tc>
          <w:tcPr>
            <w:tcW w:type="dxa" w:w="9360"/>
            <w:shd w:fill="EEF3F6" w:val="clear"/>
            <w:tcMar>
              <w:top w:type="dxa" w:w="120"/>
              <w:left w:type="dxa" w:w="160"/>
              <w:bottom w:type="dxa" w:w="120"/>
              <w:right w:type="dxa" w:w="160"/>
            </w:tcMar>
          </w:tcPr>
          <w:p>
            <w:pPr>
              <w:spacing w:after="60"/>
            </w:pPr>
            <w:r>
              <w:rPr>
                <w:b/>
                <w:bCs/>
                <w:color w:val="1C7293"/>
                <w:sz w:val="22"/>
                <w:szCs w:val="22"/>
              </w:rPr>
              <w:t xml:space="preserve">The objective</w:t>
            </w:r>
          </w:p>
          <w:p>
            <w:pPr>
              <w:spacing w:after="0"/>
            </w:pPr>
            <w:r>
              <w:rPr>
                <w:b w:val="false"/>
                <w:bCs w:val="false"/>
                <w:i/>
                <w:iCs/>
                <w:color w:val="222222"/>
                <w:sz w:val="22"/>
                <w:szCs w:val="22"/>
              </w:rPr>
              <w:t xml:space="preserve">Provide accessible, high-quality cyber training and hackathons that bridge the gap between traditional water science research and cutting-edge computational methodologies.</w:t>
            </w:r>
          </w:p>
        </w:tc>
      </w:tr>
    </w:tbl>
    <w:p>
      <w:pPr>
        <w:pStyle w:val="Heading2"/>
        <w:spacing w:after="90" w:before="180"/>
      </w:pPr>
      <w:r>
        <w:rPr>
          <w:b/>
          <w:bCs/>
          <w:color w:val="1F6F8B"/>
          <w:sz w:val="24"/>
          <w:szCs w:val="24"/>
        </w:rPr>
        <w:t xml:space="preserve">How HydroGeoChem contributes</w:t>
      </w:r>
    </w:p>
    <w:p>
      <w:pPr>
        <w:pStyle w:val="ListParagraph"/>
        <w:numPr>
          <w:ilvl w:val="0"/>
          <w:numId w:val="2"/>
        </w:numPr>
        <w:spacing w:after="80" w:line="272"/>
      </w:pPr>
      <w:r>
        <w:rPr>
          <w:b/>
          <w:bCs/>
          <w:i w:val="false"/>
          <w:iCs w:val="false"/>
          <w:color w:val="222222"/>
          <w:sz w:val="22"/>
          <w:szCs w:val="22"/>
        </w:rPr>
        <w:t xml:space="preserve">A ready-made hackathon artifact. </w:t>
      </w:r>
      <w:r>
        <w:rPr>
          <w:b w:val="false"/>
          <w:bCs w:val="false"/>
          <w:i w:val="false"/>
          <w:iCs w:val="false"/>
          <w:color w:val="222222"/>
          <w:sz w:val="22"/>
          <w:szCs w:val="22"/>
        </w:rPr>
        <w:t xml:space="preserve">The whole system installs and runs with a handful of commands, and the 35-test suite runs in under a second with no database or PHREEQC installation required. That makes it an ideal starting point for a hackathon team to extend in a weekend.</w:t>
      </w:r>
    </w:p>
    <w:p>
      <w:pPr>
        <w:pStyle w:val="ListParagraph"/>
        <w:numPr>
          <w:ilvl w:val="0"/>
          <w:numId w:val="2"/>
        </w:numPr>
        <w:spacing w:after="80" w:line="272"/>
      </w:pPr>
      <w:r>
        <w:rPr>
          <w:b/>
          <w:bCs/>
          <w:i w:val="false"/>
          <w:iCs w:val="false"/>
          <w:color w:val="222222"/>
          <w:sz w:val="22"/>
          <w:szCs w:val="22"/>
        </w:rPr>
        <w:t xml:space="preserve">It literally bridges old and new. </w:t>
      </w:r>
      <w:r>
        <w:rPr>
          <w:b w:val="false"/>
          <w:bCs w:val="false"/>
          <w:i w:val="false"/>
          <w:iCs w:val="false"/>
          <w:color w:val="222222"/>
          <w:sz w:val="22"/>
          <w:szCs w:val="22"/>
        </w:rPr>
        <w:t xml:space="preserve">PHREEQC (1980s Fortran science) sits behind a FastAPI service, a containerized deployment, and a machine-learning export. Learners see, in one project, how a trusted legacy model is wrapped in a modern CI workflow.</w:t>
      </w:r>
    </w:p>
    <w:p>
      <w:pPr>
        <w:pStyle w:val="ListParagraph"/>
        <w:numPr>
          <w:ilvl w:val="0"/>
          <w:numId w:val="2"/>
        </w:numPr>
        <w:spacing w:after="80" w:line="272"/>
      </w:pPr>
      <w:r>
        <w:rPr>
          <w:b/>
          <w:bCs/>
          <w:i w:val="false"/>
          <w:iCs w:val="false"/>
          <w:color w:val="222222"/>
          <w:sz w:val="22"/>
          <w:szCs w:val="22"/>
        </w:rPr>
        <w:t xml:space="preserve">Plain-English learning materials. </w:t>
      </w:r>
      <w:r>
        <w:rPr>
          <w:b w:val="false"/>
          <w:bCs w:val="false"/>
          <w:i w:val="false"/>
          <w:iCs w:val="false"/>
          <w:color w:val="222222"/>
          <w:sz w:val="22"/>
          <w:szCs w:val="22"/>
        </w:rPr>
        <w:t xml:space="preserve">The project ships a conceptual guide written for non-specialists and an architecture document for engineers, so the same tool teaches at two levels.</w:t>
      </w:r>
    </w:p>
    <w:tbl>
      <w:tblPr>
        <w:tblW w:type="dxa" w:w="9360"/>
        <w:tblBorders>
          <w:top w:val="single" w:color="1F6F8B" w:sz="2"/>
          <w:left w:val="single" w:color="1F6F8B" w:sz="14"/>
          <w:bottom w:val="single" w:color="1F6F8B" w:sz="2"/>
          <w:right w:val="single" w:color="1F6F8B" w:sz="2"/>
          <w:insideH w:val="none"/>
          <w:insideV w:val="none"/>
        </w:tblBorders>
      </w:tblPr>
      <w:tblGrid>
        <w:gridCol w:w="9360"/>
      </w:tblGrid>
      <w:tr>
        <w:tc>
          <w:tcPr>
            <w:tcW w:type="dxa" w:w="9360"/>
            <w:shd w:fill="EEF3F6" w:val="clear"/>
            <w:tcMar>
              <w:top w:type="dxa" w:w="120"/>
              <w:left w:type="dxa" w:w="160"/>
              <w:bottom w:type="dxa" w:w="120"/>
              <w:right w:type="dxa" w:w="160"/>
            </w:tcMar>
          </w:tcPr>
          <w:p>
            <w:pPr>
              <w:spacing w:after="60"/>
            </w:pPr>
            <w:r>
              <w:rPr>
                <w:b/>
                <w:bCs/>
                <w:color w:val="1F6F8B"/>
                <w:sz w:val="22"/>
                <w:szCs w:val="22"/>
              </w:rPr>
              <w:t xml:space="preserve">Hackathon prompt ideas this tool already supports</w:t>
            </w:r>
          </w:p>
          <w:p>
            <w:pPr>
              <w:spacing w:after="60"/>
            </w:pPr>
            <w:r>
              <w:rPr>
                <w:color w:val="222222"/>
                <w:sz w:val="21"/>
                <w:szCs w:val="21"/>
              </w:rPr>
              <w:t xml:space="preserve">Add a new water-data source (for example the USGS Samples API) behind the existing adapter port.</w:t>
            </w:r>
          </w:p>
          <w:p>
            <w:pPr>
              <w:spacing w:after="60"/>
            </w:pPr>
            <w:r>
              <w:rPr>
                <w:color w:val="222222"/>
                <w:sz w:val="21"/>
                <w:szCs w:val="21"/>
              </w:rPr>
              <w:t xml:space="preserve">Train an ML model on the exported dataset to predict a mineral's saturation index from raw chemistry, then compare it to the physics-based answer.</w:t>
            </w:r>
          </w:p>
          <w:p>
            <w:pPr>
              <w:spacing w:after="0"/>
            </w:pPr>
            <w:r>
              <w:rPr>
                <w:color w:val="222222"/>
                <w:sz w:val="21"/>
                <w:szCs w:val="21"/>
              </w:rPr>
              <w:t xml:space="preserve">Add a new visualization (a Piper or Stiff diagram) to the interface.</w:t>
            </w:r>
          </w:p>
        </w:tc>
      </w:tr>
    </w:tbl>
    <w:p>
      <w:pPr>
        <w:spacing w:after="120"/>
      </w:pPr>
    </w:p>
    <w:p>
      <w:pPr>
        <w:pStyle w:val="Heading1"/>
        <w:spacing w:after="130" w:before="320"/>
      </w:pPr>
      <w:r>
        <w:rPr>
          <w:b/>
          <w:bCs/>
          <w:color w:val="0E2A3A"/>
          <w:sz w:val="30"/>
          <w:szCs w:val="30"/>
        </w:rPr>
        <w:t xml:space="preserve">5. Objective 2: Research Innovation</w:t>
      </w:r>
    </w:p>
    <w:tbl>
      <w:tblPr>
        <w:tblW w:type="dxa" w:w="9360"/>
        <w:tblBorders>
          <w:top w:val="single" w:color="1C7293" w:sz="2"/>
          <w:left w:val="single" w:color="1C7293" w:sz="14"/>
          <w:bottom w:val="single" w:color="1C7293" w:sz="2"/>
          <w:right w:val="single" w:color="1C7293" w:sz="2"/>
          <w:insideH w:val="none"/>
          <w:insideV w:val="none"/>
        </w:tblBorders>
      </w:tblPr>
      <w:tblGrid>
        <w:gridCol w:w="9360"/>
      </w:tblGrid>
      <w:tr>
        <w:tc>
          <w:tcPr>
            <w:tcW w:type="dxa" w:w="9360"/>
            <w:shd w:fill="EEF3F6" w:val="clear"/>
            <w:tcMar>
              <w:top w:type="dxa" w:w="120"/>
              <w:left w:type="dxa" w:w="160"/>
              <w:bottom w:type="dxa" w:w="120"/>
              <w:right w:type="dxa" w:w="160"/>
            </w:tcMar>
          </w:tcPr>
          <w:p>
            <w:pPr>
              <w:spacing w:after="60"/>
            </w:pPr>
            <w:r>
              <w:rPr>
                <w:b/>
                <w:bCs/>
                <w:color w:val="1C7293"/>
                <w:sz w:val="22"/>
                <w:szCs w:val="22"/>
              </w:rPr>
              <w:t xml:space="preserve">The objective</w:t>
            </w:r>
          </w:p>
          <w:p>
            <w:pPr>
              <w:spacing w:after="0"/>
            </w:pPr>
            <w:r>
              <w:rPr>
                <w:b w:val="false"/>
                <w:bCs w:val="false"/>
                <w:i/>
                <w:iCs/>
                <w:color w:val="222222"/>
                <w:sz w:val="22"/>
                <w:szCs w:val="22"/>
              </w:rPr>
              <w:t xml:space="preserve">Spearhead the development of open-source machine-learning models and cloud-computing approaches that contribute to sustainable water practices.</w:t>
            </w:r>
          </w:p>
        </w:tc>
      </w:tr>
    </w:tbl>
    <w:p>
      <w:pPr>
        <w:pStyle w:val="Heading2"/>
        <w:spacing w:after="90" w:before="180"/>
      </w:pPr>
      <w:r>
        <w:rPr>
          <w:b/>
          <w:bCs/>
          <w:color w:val="1F6F8B"/>
          <w:sz w:val="24"/>
          <w:szCs w:val="24"/>
        </w:rPr>
        <w:t xml:space="preserve">How HydroGeoChem contributes</w:t>
      </w:r>
    </w:p>
    <w:p>
      <w:pPr>
        <w:spacing w:after="120" w:line="278"/>
        <w:jc w:val="left"/>
      </w:pPr>
      <w:r>
        <w:rPr>
          <w:b w:val="false"/>
          <w:bCs w:val="false"/>
          <w:i w:val="false"/>
          <w:iCs w:val="false"/>
          <w:color w:val="222222"/>
          <w:sz w:val="22"/>
          <w:szCs w:val="22"/>
        </w:rPr>
        <w:t xml:space="preserve">This is the strongest and most direct fit. The tool includes a dataset builder that turns geochemical modeling into </w:t>
      </w:r>
      <w:r>
        <w:rPr>
          <w:b/>
          <w:bCs/>
          <w:i w:val="false"/>
          <w:iCs w:val="false"/>
          <w:color w:val="222222"/>
          <w:sz w:val="22"/>
          <w:szCs w:val="22"/>
        </w:rPr>
        <w:t xml:space="preserve">machine-learning-ready data</w:t>
      </w:r>
      <w:r>
        <w:rPr>
          <w:b w:val="false"/>
          <w:bCs w:val="false"/>
          <w:i w:val="false"/>
          <w:iCs w:val="false"/>
          <w:color w:val="222222"/>
          <w:sz w:val="22"/>
          <w:szCs w:val="22"/>
        </w:rPr>
        <w:t xml:space="preserve">. Each row is one water sample; the columns are grouped so the features and targets are obvious: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700"/>
        <w:gridCol w:w="4560"/>
        <w:gridCol w:w="3100"/>
      </w:tblGrid>
      <w:tr>
        <w:trPr>
          <w:tblHeader/>
        </w:trPr>
        <w:tc>
          <w:tcPr>
            <w:tcW w:type="dxa" w:w="1700"/>
            <w:shd w:fill="0E2A3A" w:val="clear"/>
            <w:tcMar>
              <w:top w:type="dxa" w:w="80"/>
              <w:left w:type="dxa" w:w="110"/>
              <w:bottom w:type="dxa" w:w="80"/>
              <w:right w:type="dxa" w:w="110"/>
            </w:tcMar>
          </w:tcPr>
          <w:p>
            <w:r>
              <w:rPr>
                <w:b/>
                <w:bCs/>
                <w:color w:val="FFFFFF"/>
                <w:sz w:val="20"/>
                <w:szCs w:val="20"/>
              </w:rPr>
              <w:t xml:space="preserve">Column group</w:t>
            </w:r>
          </w:p>
        </w:tc>
        <w:tc>
          <w:tcPr>
            <w:tcW w:type="dxa" w:w="4560"/>
            <w:shd w:fill="0E2A3A" w:val="clear"/>
            <w:tcMar>
              <w:top w:type="dxa" w:w="80"/>
              <w:left w:type="dxa" w:w="110"/>
              <w:bottom w:type="dxa" w:w="80"/>
              <w:right w:type="dxa" w:w="110"/>
            </w:tcMar>
          </w:tcPr>
          <w:p>
            <w:r>
              <w:rPr>
                <w:b/>
                <w:bCs/>
                <w:color w:val="FFFFFF"/>
                <w:sz w:val="20"/>
                <w:szCs w:val="20"/>
              </w:rPr>
              <w:t xml:space="preserve">Contents</w:t>
            </w:r>
          </w:p>
        </w:tc>
        <w:tc>
          <w:tcPr>
            <w:tcW w:type="dxa" w:w="3100"/>
            <w:shd w:fill="0E2A3A" w:val="clear"/>
            <w:tcMar>
              <w:top w:type="dxa" w:w="80"/>
              <w:left w:type="dxa" w:w="110"/>
              <w:bottom w:type="dxa" w:w="80"/>
              <w:right w:type="dxa" w:w="110"/>
            </w:tcMar>
          </w:tcPr>
          <w:p>
            <w:r>
              <w:rPr>
                <w:b/>
                <w:bCs/>
                <w:color w:val="FFFFFF"/>
                <w:sz w:val="20"/>
                <w:szCs w:val="20"/>
              </w:rPr>
              <w:t xml:space="preserve">ML role</w:t>
            </w:r>
          </w:p>
        </w:tc>
      </w:tr>
      <w:tr>
        <w:tc>
          <w:tcPr>
            <w:tcW w:type="dxa" w:w="1700"/>
            <w:shd w:fill="EEF3F6" w:val="clear"/>
            <w:tcMar>
              <w:top w:type="dxa" w:w="70"/>
              <w:left w:type="dxa" w:w="110"/>
              <w:bottom w:type="dxa" w:w="70"/>
              <w:right w:type="dxa" w:w="110"/>
            </w:tcMar>
          </w:tcPr>
          <w:p>
            <w:r>
              <w:rPr>
                <w:rFonts w:ascii="Consolas" w:cs="Consolas" w:eastAsia="Consolas" w:hAnsi="Consolas"/>
                <w:color w:val="0E2A3A"/>
                <w:sz w:val="20"/>
                <w:szCs w:val="20"/>
              </w:rPr>
              <w:t xml:space="preserve">in_*</w:t>
            </w:r>
          </w:p>
        </w:tc>
        <w:tc>
          <w:tcPr>
            <w:tcW w:type="dxa" w:w="4560"/>
            <w:shd w:fill="EEF3F6" w:val="clear"/>
            <w:tcMar>
              <w:top w:type="dxa" w:w="70"/>
              <w:left w:type="dxa" w:w="110"/>
              <w:bottom w:type="dxa" w:w="70"/>
              <w:right w:type="dxa" w:w="110"/>
            </w:tcMar>
          </w:tcPr>
          <w:p>
            <w:r>
              <w:rPr>
                <w:color w:val="222222"/>
                <w:sz w:val="20"/>
                <w:szCs w:val="20"/>
              </w:rPr>
              <w:t xml:space="preserve">the input analytes (calcium, sulfate, pH, and so on)</w:t>
            </w:r>
          </w:p>
        </w:tc>
        <w:tc>
          <w:tcPr>
            <w:tcW w:type="dxa" w:w="3100"/>
            <w:shd w:fill="EEF3F6" w:val="clear"/>
            <w:tcMar>
              <w:top w:type="dxa" w:w="70"/>
              <w:left w:type="dxa" w:w="110"/>
              <w:bottom w:type="dxa" w:w="70"/>
              <w:right w:type="dxa" w:w="110"/>
            </w:tcMar>
          </w:tcPr>
          <w:p>
            <w:r>
              <w:rPr>
                <w:color w:val="222222"/>
                <w:sz w:val="20"/>
                <w:szCs w:val="20"/>
              </w:rPr>
              <w:t xml:space="preserve">features</w:t>
            </w:r>
          </w:p>
        </w:tc>
      </w:tr>
      <w:tr>
        <w:tc>
          <w:tcPr>
            <w:tcW w:type="dxa" w:w="1700"/>
            <w:shd w:fill="FFFFFF" w:val="clear"/>
            <w:tcMar>
              <w:top w:type="dxa" w:w="70"/>
              <w:left w:type="dxa" w:w="110"/>
              <w:bottom w:type="dxa" w:w="70"/>
              <w:right w:type="dxa" w:w="110"/>
            </w:tcMar>
          </w:tcPr>
          <w:p>
            <w:r>
              <w:rPr>
                <w:rFonts w:ascii="Consolas" w:cs="Consolas" w:eastAsia="Consolas" w:hAnsi="Consolas"/>
                <w:color w:val="0E2A3A"/>
                <w:sz w:val="20"/>
                <w:szCs w:val="20"/>
              </w:rPr>
              <w:t xml:space="preserve">si_*</w:t>
            </w:r>
          </w:p>
        </w:tc>
        <w:tc>
          <w:tcPr>
            <w:tcW w:type="dxa" w:w="4560"/>
            <w:shd w:fill="FFFFFF" w:val="clear"/>
            <w:tcMar>
              <w:top w:type="dxa" w:w="70"/>
              <w:left w:type="dxa" w:w="110"/>
              <w:bottom w:type="dxa" w:w="70"/>
              <w:right w:type="dxa" w:w="110"/>
            </w:tcMar>
          </w:tcPr>
          <w:p>
            <w:r>
              <w:rPr>
                <w:color w:val="222222"/>
                <w:sz w:val="20"/>
                <w:szCs w:val="20"/>
              </w:rPr>
              <w:t xml:space="preserve">a saturation index for each mineral</w:t>
            </w:r>
          </w:p>
        </w:tc>
        <w:tc>
          <w:tcPr>
            <w:tcW w:type="dxa" w:w="3100"/>
            <w:shd w:fill="FFFFFF" w:val="clear"/>
            <w:tcMar>
              <w:top w:type="dxa" w:w="70"/>
              <w:left w:type="dxa" w:w="110"/>
              <w:bottom w:type="dxa" w:w="70"/>
              <w:right w:type="dxa" w:w="110"/>
            </w:tcMar>
          </w:tcPr>
          <w:p>
            <w:r>
              <w:rPr>
                <w:color w:val="222222"/>
                <w:sz w:val="20"/>
                <w:szCs w:val="20"/>
              </w:rPr>
              <w:t xml:space="preserve">prediction targets</w:t>
            </w:r>
          </w:p>
        </w:tc>
      </w:tr>
      <w:tr>
        <w:tc>
          <w:tcPr>
            <w:tcW w:type="dxa" w:w="1700"/>
            <w:shd w:fill="EEF3F6" w:val="clear"/>
            <w:tcMar>
              <w:top w:type="dxa" w:w="70"/>
              <w:left w:type="dxa" w:w="110"/>
              <w:bottom w:type="dxa" w:w="70"/>
              <w:right w:type="dxa" w:w="110"/>
            </w:tcMar>
          </w:tcPr>
          <w:p>
            <w:r>
              <w:rPr>
                <w:rFonts w:ascii="Consolas" w:cs="Consolas" w:eastAsia="Consolas" w:hAnsi="Consolas"/>
                <w:color w:val="0E2A3A"/>
                <w:sz w:val="20"/>
                <w:szCs w:val="20"/>
              </w:rPr>
              <w:t xml:space="preserve">out_*</w:t>
            </w:r>
          </w:p>
        </w:tc>
        <w:tc>
          <w:tcPr>
            <w:tcW w:type="dxa" w:w="4560"/>
            <w:shd w:fill="EEF3F6" w:val="clear"/>
            <w:tcMar>
              <w:top w:type="dxa" w:w="70"/>
              <w:left w:type="dxa" w:w="110"/>
              <w:bottom w:type="dxa" w:w="70"/>
              <w:right w:type="dxa" w:w="110"/>
            </w:tcMar>
          </w:tcPr>
          <w:p>
            <w:r>
              <w:rPr>
                <w:color w:val="222222"/>
                <w:sz w:val="20"/>
                <w:szCs w:val="20"/>
              </w:rPr>
              <w:t xml:space="preserve">acidity, ionic strength from the model</w:t>
            </w:r>
          </w:p>
        </w:tc>
        <w:tc>
          <w:tcPr>
            <w:tcW w:type="dxa" w:w="3100"/>
            <w:shd w:fill="EEF3F6" w:val="clear"/>
            <w:tcMar>
              <w:top w:type="dxa" w:w="70"/>
              <w:left w:type="dxa" w:w="110"/>
              <w:bottom w:type="dxa" w:w="70"/>
              <w:right w:type="dxa" w:w="110"/>
            </w:tcMar>
          </w:tcPr>
          <w:p>
            <w:r>
              <w:rPr>
                <w:color w:val="222222"/>
                <w:sz w:val="20"/>
                <w:szCs w:val="20"/>
              </w:rPr>
              <w:t xml:space="preserve">additional outputs</w:t>
            </w:r>
          </w:p>
        </w:tc>
      </w:tr>
      <w:tr>
        <w:tc>
          <w:tcPr>
            <w:tcW w:type="dxa" w:w="1700"/>
            <w:shd w:fill="FFFFFF" w:val="clear"/>
            <w:tcMar>
              <w:top w:type="dxa" w:w="70"/>
              <w:left w:type="dxa" w:w="110"/>
              <w:bottom w:type="dxa" w:w="70"/>
              <w:right w:type="dxa" w:w="110"/>
            </w:tcMar>
          </w:tcPr>
          <w:p>
            <w:r>
              <w:rPr>
                <w:rFonts w:ascii="Consolas" w:cs="Consolas" w:eastAsia="Consolas" w:hAnsi="Consolas"/>
                <w:color w:val="0E2A3A"/>
                <w:sz w:val="20"/>
                <w:szCs w:val="20"/>
              </w:rPr>
              <w:t xml:space="preserve">meta_*</w:t>
            </w:r>
          </w:p>
        </w:tc>
        <w:tc>
          <w:tcPr>
            <w:tcW w:type="dxa" w:w="4560"/>
            <w:shd w:fill="FFFFFF" w:val="clear"/>
            <w:tcMar>
              <w:top w:type="dxa" w:w="70"/>
              <w:left w:type="dxa" w:w="110"/>
              <w:bottom w:type="dxa" w:w="70"/>
              <w:right w:type="dxa" w:w="110"/>
            </w:tcMar>
          </w:tcPr>
          <w:p>
            <w:r>
              <w:rPr>
                <w:color w:val="222222"/>
                <w:sz w:val="20"/>
                <w:szCs w:val="20"/>
              </w:rPr>
              <w:t xml:space="preserve">database version, engine version</w:t>
            </w:r>
          </w:p>
        </w:tc>
        <w:tc>
          <w:tcPr>
            <w:tcW w:type="dxa" w:w="3100"/>
            <w:shd w:fill="FFFFFF" w:val="clear"/>
            <w:tcMar>
              <w:top w:type="dxa" w:w="70"/>
              <w:left w:type="dxa" w:w="110"/>
              <w:bottom w:type="dxa" w:w="70"/>
              <w:right w:type="dxa" w:w="110"/>
            </w:tcMar>
          </w:tcPr>
          <w:p>
            <w:r>
              <w:rPr>
                <w:color w:val="222222"/>
                <w:sz w:val="20"/>
                <w:szCs w:val="20"/>
              </w:rPr>
              <w:t xml:space="preserve">reproducibility</w:t>
            </w:r>
          </w:p>
        </w:tc>
      </w:tr>
    </w:tbl>
    <w:p>
      <w:pPr>
        <w:spacing w:after="60"/>
      </w:pPr>
    </w:p>
    <w:p>
      <w:pPr>
        <w:pStyle w:val="ListParagraph"/>
        <w:numPr>
          <w:ilvl w:val="0"/>
          <w:numId w:val="2"/>
        </w:numPr>
        <w:spacing w:after="80" w:line="272"/>
      </w:pPr>
      <w:r>
        <w:rPr>
          <w:b/>
          <w:bCs/>
          <w:i w:val="false"/>
          <w:iCs w:val="false"/>
          <w:color w:val="222222"/>
          <w:sz w:val="22"/>
          <w:szCs w:val="22"/>
        </w:rPr>
        <w:t xml:space="preserve">A path to surrogate models. </w:t>
      </w:r>
      <w:r>
        <w:rPr>
          <w:b w:val="false"/>
          <w:bCs w:val="false"/>
          <w:i w:val="false"/>
          <w:iCs w:val="false"/>
          <w:color w:val="222222"/>
          <w:sz w:val="22"/>
          <w:szCs w:val="22"/>
        </w:rPr>
        <w:t xml:space="preserve">With this dataset, a researcher can train a fast ML model that approximates the slower physics-based calculation, one of the most active ideas in computational water science.</w:t>
      </w:r>
    </w:p>
    <w:p>
      <w:pPr>
        <w:pStyle w:val="ListParagraph"/>
        <w:numPr>
          <w:ilvl w:val="0"/>
          <w:numId w:val="2"/>
        </w:numPr>
        <w:spacing w:after="80" w:line="272"/>
      </w:pPr>
      <w:r>
        <w:rPr>
          <w:b/>
          <w:bCs/>
          <w:i w:val="false"/>
          <w:iCs w:val="false"/>
          <w:color w:val="222222"/>
          <w:sz w:val="22"/>
          <w:szCs w:val="22"/>
        </w:rPr>
        <w:t xml:space="preserve">Cloud-computing by design. </w:t>
      </w:r>
      <w:r>
        <w:rPr>
          <w:b w:val="false"/>
          <w:bCs w:val="false"/>
          <w:i w:val="false"/>
          <w:iCs w:val="false"/>
          <w:color w:val="222222"/>
          <w:sz w:val="22"/>
          <w:szCs w:val="22"/>
        </w:rPr>
        <w:t xml:space="preserve">The service is stateless, containerized, and scales horizontally; batch jobs fan out across workers. It is built to run at scale in the cloud, not only on a laptop.</w:t>
      </w:r>
    </w:p>
    <w:p>
      <w:pPr>
        <w:pStyle w:val="ListParagraph"/>
        <w:numPr>
          <w:ilvl w:val="0"/>
          <w:numId w:val="2"/>
        </w:numPr>
        <w:spacing w:after="80" w:line="272"/>
      </w:pPr>
      <w:r>
        <w:rPr>
          <w:b/>
          <w:bCs/>
          <w:i w:val="false"/>
          <w:iCs w:val="false"/>
          <w:color w:val="222222"/>
          <w:sz w:val="22"/>
          <w:szCs w:val="22"/>
        </w:rPr>
        <w:t xml:space="preserve">Sustainable water practices. </w:t>
      </w:r>
      <w:r>
        <w:rPr>
          <w:b w:val="false"/>
          <w:bCs w:val="false"/>
          <w:i w:val="false"/>
          <w:iCs w:val="false"/>
          <w:color w:val="222222"/>
          <w:sz w:val="22"/>
          <w:szCs w:val="22"/>
        </w:rPr>
        <w:t xml:space="preserve">Predicting mineral scaling and corrosion, or screening groundwater quality across many sites, supports drinking-water treatment, infrastructure protection, and resource management.</w:t>
      </w:r>
    </w:p>
    <w:p>
      <w:pPr>
        <w:pStyle w:val="ListParagraph"/>
        <w:numPr>
          <w:ilvl w:val="0"/>
          <w:numId w:val="2"/>
        </w:numPr>
        <w:spacing w:after="80" w:line="272"/>
      </w:pPr>
      <w:r>
        <w:rPr>
          <w:b/>
          <w:bCs/>
          <w:i w:val="false"/>
          <w:iCs w:val="false"/>
          <w:color w:val="222222"/>
          <w:sz w:val="22"/>
          <w:szCs w:val="22"/>
        </w:rPr>
        <w:t xml:space="preserve">Reproducible and citable. </w:t>
      </w:r>
      <w:r>
        <w:rPr>
          <w:b w:val="false"/>
          <w:bCs w:val="false"/>
          <w:i w:val="false"/>
          <w:iCs w:val="false"/>
          <w:color w:val="222222"/>
          <w:sz w:val="22"/>
          <w:szCs w:val="22"/>
        </w:rPr>
        <w:t xml:space="preserve">Every result is tied to the exact data and software version that produced it, which is what makes ML work built on top of it credible.</w:t>
      </w:r>
    </w:p>
    <w:p>
      <w:pPr>
        <w:spacing w:after="120"/>
      </w:pPr>
    </w:p>
    <w:p>
      <w:pPr>
        <w:pStyle w:val="Heading1"/>
        <w:spacing w:after="130" w:before="320"/>
      </w:pPr>
      <w:r>
        <w:rPr>
          <w:b/>
          <w:bCs/>
          <w:color w:val="0E2A3A"/>
          <w:sz w:val="30"/>
          <w:szCs w:val="30"/>
        </w:rPr>
        <w:t xml:space="preserve">6. Objective 3: Collaborative Synergy</w:t>
      </w:r>
    </w:p>
    <w:tbl>
      <w:tblPr>
        <w:tblW w:type="dxa" w:w="9360"/>
        <w:tblBorders>
          <w:top w:val="single" w:color="1C7293" w:sz="2"/>
          <w:left w:val="single" w:color="1C7293" w:sz="14"/>
          <w:bottom w:val="single" w:color="1C7293" w:sz="2"/>
          <w:right w:val="single" w:color="1C7293" w:sz="2"/>
          <w:insideH w:val="none"/>
          <w:insideV w:val="none"/>
        </w:tblBorders>
      </w:tblPr>
      <w:tblGrid>
        <w:gridCol w:w="9360"/>
      </w:tblGrid>
      <w:tr>
        <w:tc>
          <w:tcPr>
            <w:tcW w:type="dxa" w:w="9360"/>
            <w:shd w:fill="EEF3F6" w:val="clear"/>
            <w:tcMar>
              <w:top w:type="dxa" w:w="120"/>
              <w:left w:type="dxa" w:w="160"/>
              <w:bottom w:type="dxa" w:w="120"/>
              <w:right w:type="dxa" w:w="160"/>
            </w:tcMar>
          </w:tcPr>
          <w:p>
            <w:pPr>
              <w:spacing w:after="60"/>
            </w:pPr>
            <w:r>
              <w:rPr>
                <w:b/>
                <w:bCs/>
                <w:color w:val="1C7293"/>
                <w:sz w:val="22"/>
                <w:szCs w:val="22"/>
              </w:rPr>
              <w:t xml:space="preserve">The objective</w:t>
            </w:r>
          </w:p>
          <w:p>
            <w:pPr>
              <w:spacing w:after="0"/>
            </w:pPr>
            <w:r>
              <w:rPr>
                <w:b w:val="false"/>
                <w:bCs w:val="false"/>
                <w:i/>
                <w:iCs/>
                <w:color w:val="222222"/>
                <w:sz w:val="22"/>
                <w:szCs w:val="22"/>
              </w:rPr>
              <w:t xml:space="preserve">Cultivate the workforce that creates, utilizes, and supports advanced CI workflows and tools to transform water science education and research.</w:t>
            </w:r>
          </w:p>
        </w:tc>
      </w:tr>
    </w:tbl>
    <w:p>
      <w:pPr>
        <w:pStyle w:val="Heading2"/>
        <w:spacing w:after="90" w:before="180"/>
      </w:pPr>
      <w:r>
        <w:rPr>
          <w:b/>
          <w:bCs/>
          <w:color w:val="1F6F8B"/>
          <w:sz w:val="24"/>
          <w:szCs w:val="24"/>
        </w:rPr>
        <w:t xml:space="preserve">How HydroGeoChem contributes</w:t>
      </w:r>
    </w:p>
    <w:p>
      <w:pPr>
        <w:spacing w:after="120" w:line="278"/>
        <w:jc w:val="left"/>
      </w:pPr>
      <w:r>
        <w:rPr>
          <w:color w:val="222222"/>
          <w:sz w:val="22"/>
          <w:szCs w:val="22"/>
        </w:rPr>
        <w:t xml:space="preserve">The project is a compact case study in the three roles WaterSoftHack wants to grow:</w:t>
      </w:r>
    </w:p>
    <w:p>
      <w:pPr>
        <w:pStyle w:val="ListParagraph"/>
        <w:numPr>
          <w:ilvl w:val="0"/>
          <w:numId w:val="2"/>
        </w:numPr>
        <w:spacing w:after="80" w:line="272"/>
      </w:pPr>
      <w:r>
        <w:rPr>
          <w:b/>
          <w:bCs/>
          <w:i w:val="false"/>
          <w:iCs w:val="false"/>
          <w:color w:val="222222"/>
          <w:sz w:val="22"/>
          <w:szCs w:val="22"/>
        </w:rPr>
        <w:t xml:space="preserve">Those who create. </w:t>
      </w:r>
      <w:r>
        <w:rPr>
          <w:b w:val="false"/>
          <w:bCs w:val="false"/>
          <w:i w:val="false"/>
          <w:iCs w:val="false"/>
          <w:color w:val="222222"/>
          <w:sz w:val="22"/>
          <w:szCs w:val="22"/>
        </w:rPr>
        <w:t xml:space="preserve">The ports-and-adapters design shows how to add new data sources, new model types, or new exports without breaking the core, the exact skill a CI developer needs.</w:t>
      </w:r>
    </w:p>
    <w:p>
      <w:pPr>
        <w:pStyle w:val="ListParagraph"/>
        <w:numPr>
          <w:ilvl w:val="0"/>
          <w:numId w:val="2"/>
        </w:numPr>
        <w:spacing w:after="80" w:line="272"/>
      </w:pPr>
      <w:r>
        <w:rPr>
          <w:b/>
          <w:bCs/>
          <w:i w:val="false"/>
          <w:iCs w:val="false"/>
          <w:color w:val="222222"/>
          <w:sz w:val="22"/>
          <w:szCs w:val="22"/>
        </w:rPr>
        <w:t xml:space="preserve">Those who utilize. </w:t>
      </w:r>
      <w:r>
        <w:rPr>
          <w:b w:val="false"/>
          <w:bCs w:val="false"/>
          <w:i w:val="false"/>
          <w:iCs w:val="false"/>
          <w:color w:val="222222"/>
          <w:sz w:val="22"/>
          <w:szCs w:val="22"/>
        </w:rPr>
        <w:t xml:space="preserve">Scientists use it through the interface or the API to get answers, without needing to understand the internals.</w:t>
      </w:r>
    </w:p>
    <w:p>
      <w:pPr>
        <w:pStyle w:val="ListParagraph"/>
        <w:numPr>
          <w:ilvl w:val="0"/>
          <w:numId w:val="2"/>
        </w:numPr>
        <w:spacing w:after="80" w:line="272"/>
      </w:pPr>
      <w:r>
        <w:rPr>
          <w:b/>
          <w:bCs/>
          <w:i w:val="false"/>
          <w:iCs w:val="false"/>
          <w:color w:val="222222"/>
          <w:sz w:val="22"/>
          <w:szCs w:val="22"/>
        </w:rPr>
        <w:t xml:space="preserve">Those who support. </w:t>
      </w:r>
      <w:r>
        <w:rPr>
          <w:b w:val="false"/>
          <w:bCs w:val="false"/>
          <w:i w:val="false"/>
          <w:iCs w:val="false"/>
          <w:color w:val="222222"/>
          <w:sz w:val="22"/>
          <w:szCs w:val="22"/>
        </w:rPr>
        <w:t xml:space="preserve">It ships with health checks, structured logs, and metrics, so students learn what it takes to keep a CI service running, not just to build one.</w:t>
      </w:r>
    </w:p>
    <w:p>
      <w:pPr>
        <w:spacing w:after="120" w:line="278"/>
        <w:jc w:val="left"/>
      </w:pPr>
      <w:r>
        <w:rPr>
          <w:b w:val="false"/>
          <w:bCs w:val="false"/>
          <w:i w:val="false"/>
          <w:iCs w:val="false"/>
          <w:color w:val="222222"/>
          <w:sz w:val="22"/>
          <w:szCs w:val="22"/>
        </w:rPr>
        <w:t xml:space="preserve">Because it spans all three roles in one modest codebase, it works well as a shared teaching platform across the collaborating institutions, and its use of multi-agency public data mirrors the collaborative, multi-source nature of real water science.</w:t>
      </w:r>
    </w:p>
    <w:p>
      <w:pPr>
        <w:spacing w:after="120"/>
      </w:pPr>
    </w:p>
    <w:p>
      <w:pPr>
        <w:pStyle w:val="Heading1"/>
        <w:spacing w:after="130" w:before="320"/>
      </w:pPr>
      <w:r>
        <w:rPr>
          <w:b/>
          <w:bCs/>
          <w:color w:val="0E2A3A"/>
          <w:sz w:val="30"/>
          <w:szCs w:val="30"/>
        </w:rPr>
        <w:t xml:space="preserve">7. Objective 4: Community Engagement</w:t>
      </w:r>
    </w:p>
    <w:tbl>
      <w:tblPr>
        <w:tblW w:type="dxa" w:w="9360"/>
        <w:tblBorders>
          <w:top w:val="single" w:color="1C7293" w:sz="2"/>
          <w:left w:val="single" w:color="1C7293" w:sz="14"/>
          <w:bottom w:val="single" w:color="1C7293" w:sz="2"/>
          <w:right w:val="single" w:color="1C7293" w:sz="2"/>
          <w:insideH w:val="none"/>
          <w:insideV w:val="none"/>
        </w:tblBorders>
      </w:tblPr>
      <w:tblGrid>
        <w:gridCol w:w="9360"/>
      </w:tblGrid>
      <w:tr>
        <w:tc>
          <w:tcPr>
            <w:tcW w:type="dxa" w:w="9360"/>
            <w:shd w:fill="EEF3F6" w:val="clear"/>
            <w:tcMar>
              <w:top w:type="dxa" w:w="120"/>
              <w:left w:type="dxa" w:w="160"/>
              <w:bottom w:type="dxa" w:w="120"/>
              <w:right w:type="dxa" w:w="160"/>
            </w:tcMar>
          </w:tcPr>
          <w:p>
            <w:pPr>
              <w:spacing w:after="60"/>
            </w:pPr>
            <w:r>
              <w:rPr>
                <w:b/>
                <w:bCs/>
                <w:color w:val="1C7293"/>
                <w:sz w:val="22"/>
                <w:szCs w:val="22"/>
              </w:rPr>
              <w:t xml:space="preserve">The objective</w:t>
            </w:r>
          </w:p>
          <w:p>
            <w:pPr>
              <w:spacing w:after="0"/>
            </w:pPr>
            <w:r>
              <w:rPr>
                <w:b w:val="false"/>
                <w:bCs w:val="false"/>
                <w:i/>
                <w:iCs/>
                <w:color w:val="222222"/>
                <w:sz w:val="22"/>
                <w:szCs w:val="22"/>
              </w:rPr>
              <w:t xml:space="preserve">Broaden the adoption of advanced CI tools and move the larger water science community toward more widely adopting CI approaches.</w:t>
            </w:r>
          </w:p>
        </w:tc>
      </w:tr>
    </w:tbl>
    <w:p>
      <w:pPr>
        <w:pStyle w:val="Heading2"/>
        <w:spacing w:after="90" w:before="180"/>
      </w:pPr>
      <w:r>
        <w:rPr>
          <w:b/>
          <w:bCs/>
          <w:color w:val="1F6F8B"/>
          <w:sz w:val="24"/>
          <w:szCs w:val="24"/>
        </w:rPr>
        <w:t xml:space="preserve">How HydroGeoChem contributes</w:t>
      </w:r>
    </w:p>
    <w:p>
      <w:pPr>
        <w:pStyle w:val="ListParagraph"/>
        <w:numPr>
          <w:ilvl w:val="0"/>
          <w:numId w:val="2"/>
        </w:numPr>
        <w:spacing w:after="80" w:line="272"/>
      </w:pPr>
      <w:r>
        <w:rPr>
          <w:b/>
          <w:bCs/>
          <w:i w:val="false"/>
          <w:iCs w:val="false"/>
          <w:color w:val="222222"/>
          <w:sz w:val="22"/>
          <w:szCs w:val="22"/>
        </w:rPr>
        <w:t xml:space="preserve">Low adoption cost. </w:t>
      </w:r>
      <w:r>
        <w:rPr>
          <w:b w:val="false"/>
          <w:bCs w:val="false"/>
          <w:i w:val="false"/>
          <w:iCs w:val="false"/>
          <w:color w:val="222222"/>
          <w:sz w:val="22"/>
          <w:szCs w:val="22"/>
        </w:rPr>
        <w:t xml:space="preserve">An API-first, documented, containerized tool is easy for another group to try, extend, or run in their own environment.</w:t>
      </w:r>
    </w:p>
    <w:p>
      <w:pPr>
        <w:pStyle w:val="ListParagraph"/>
        <w:numPr>
          <w:ilvl w:val="0"/>
          <w:numId w:val="2"/>
        </w:numPr>
        <w:spacing w:after="80" w:line="272"/>
      </w:pPr>
      <w:r>
        <w:rPr>
          <w:b/>
          <w:bCs/>
          <w:i w:val="false"/>
          <w:iCs w:val="false"/>
          <w:color w:val="222222"/>
          <w:sz w:val="22"/>
          <w:szCs w:val="22"/>
        </w:rPr>
        <w:t xml:space="preserve">Built on community infrastructure. </w:t>
      </w:r>
      <w:r>
        <w:rPr>
          <w:b w:val="false"/>
          <w:bCs w:val="false"/>
          <w:i w:val="false"/>
          <w:iCs w:val="false"/>
          <w:color w:val="222222"/>
          <w:sz w:val="22"/>
          <w:szCs w:val="22"/>
        </w:rPr>
        <w:t xml:space="preserve">It reads from the shared Water Quality Portal and the USGS services the community already relies on, and it documents how those services are changing (for example, the recent move of USGS discrete data to the new Samples API). That honesty helps others adopt CI without hitting the same surprises.</w:t>
      </w:r>
    </w:p>
    <w:p>
      <w:pPr>
        <w:pStyle w:val="ListParagraph"/>
        <w:numPr>
          <w:ilvl w:val="0"/>
          <w:numId w:val="2"/>
        </w:numPr>
        <w:spacing w:after="80" w:line="272"/>
      </w:pPr>
      <w:r>
        <w:rPr>
          <w:b/>
          <w:bCs/>
          <w:i w:val="false"/>
          <w:iCs w:val="false"/>
          <w:color w:val="222222"/>
          <w:sz w:val="22"/>
          <w:szCs w:val="22"/>
        </w:rPr>
        <w:t xml:space="preserve">A concrete demonstration. </w:t>
      </w:r>
      <w:r>
        <w:rPr>
          <w:b w:val="false"/>
          <w:bCs w:val="false"/>
          <w:i w:val="false"/>
          <w:iCs w:val="false"/>
          <w:color w:val="222222"/>
          <w:sz w:val="22"/>
          <w:szCs w:val="22"/>
        </w:rPr>
        <w:t xml:space="preserve">For a community still weighing whether CI approaches are worth the effort, a small tool that plainly turns twenty minutes of manual work into a reproducible service is a persuasive, tangible example.</w:t>
      </w:r>
    </w:p>
    <w:p>
      <w:pPr>
        <w:spacing w:after="120"/>
      </w:pPr>
    </w:p>
    <w:p>
      <w:pPr>
        <w:pStyle w:val="Heading1"/>
        <w:spacing w:after="130" w:before="320"/>
      </w:pPr>
      <w:r>
        <w:rPr>
          <w:b/>
          <w:bCs/>
          <w:color w:val="0E2A3A"/>
          <w:sz w:val="30"/>
          <w:szCs w:val="30"/>
        </w:rPr>
        <w:t xml:space="preserve">8. Honest gaps, and how to strengthen the fit</w:t>
      </w:r>
    </w:p>
    <w:p>
      <w:pPr>
        <w:spacing w:after="120" w:line="278"/>
        <w:jc w:val="left"/>
      </w:pPr>
      <w:r>
        <w:rPr>
          <w:color w:val="222222"/>
          <w:sz w:val="22"/>
          <w:szCs w:val="22"/>
        </w:rPr>
        <w:t xml:space="preserve">To be candid, HydroGeoChem was not built as a WaterSoftHack deliverable; it aligns with the initiative, and a few focused additions would turn alignment into a direct contribution:</w:t>
      </w:r>
    </w:p>
    <w:p>
      <w:pPr>
        <w:pStyle w:val="ListParagraph"/>
        <w:numPr>
          <w:ilvl w:val="0"/>
          <w:numId w:val="2"/>
        </w:numPr>
        <w:spacing w:after="80" w:line="272"/>
      </w:pPr>
      <w:r>
        <w:rPr>
          <w:b/>
          <w:bCs/>
          <w:i w:val="false"/>
          <w:iCs w:val="false"/>
          <w:color w:val="222222"/>
          <w:sz w:val="22"/>
          <w:szCs w:val="22"/>
        </w:rPr>
        <w:t xml:space="preserve">Package it as a teaching module </w:t>
      </w:r>
      <w:r>
        <w:rPr>
          <w:b w:val="false"/>
          <w:bCs w:val="false"/>
          <w:i w:val="false"/>
          <w:iCs w:val="false"/>
          <w:color w:val="222222"/>
          <w:sz w:val="22"/>
          <w:szCs w:val="22"/>
        </w:rPr>
        <w:t xml:space="preserve">with a guided notebook and a short exercise set, so it can drop into a hackathon or course.</w:t>
      </w:r>
    </w:p>
    <w:p>
      <w:pPr>
        <w:pStyle w:val="ListParagraph"/>
        <w:numPr>
          <w:ilvl w:val="0"/>
          <w:numId w:val="2"/>
        </w:numPr>
        <w:spacing w:after="80" w:line="272"/>
      </w:pPr>
      <w:r>
        <w:rPr>
          <w:b/>
          <w:bCs/>
          <w:i w:val="false"/>
          <w:iCs w:val="false"/>
          <w:color w:val="222222"/>
          <w:sz w:val="22"/>
          <w:szCs w:val="22"/>
        </w:rPr>
        <w:t xml:space="preserve">Add the USGS Samples API adapter </w:t>
      </w:r>
      <w:r>
        <w:rPr>
          <w:b w:val="false"/>
          <w:bCs w:val="false"/>
          <w:i w:val="false"/>
          <w:iCs w:val="false"/>
          <w:color w:val="222222"/>
          <w:sz w:val="22"/>
          <w:szCs w:val="22"/>
        </w:rPr>
        <w:t xml:space="preserve">so learners work with the community's current, supported data service.</w:t>
      </w:r>
    </w:p>
    <w:p>
      <w:pPr>
        <w:pStyle w:val="ListParagraph"/>
        <w:numPr>
          <w:ilvl w:val="0"/>
          <w:numId w:val="2"/>
        </w:numPr>
        <w:spacing w:after="80" w:line="272"/>
      </w:pPr>
      <w:r>
        <w:rPr>
          <w:b/>
          <w:bCs/>
          <w:i w:val="false"/>
          <w:iCs w:val="false"/>
          <w:color w:val="222222"/>
          <w:sz w:val="22"/>
          <w:szCs w:val="22"/>
        </w:rPr>
        <w:t xml:space="preserve">Ship a baseline ML notebook </w:t>
      </w:r>
      <w:r>
        <w:rPr>
          <w:b w:val="false"/>
          <w:bCs w:val="false"/>
          <w:i w:val="false"/>
          <w:iCs w:val="false"/>
          <w:color w:val="222222"/>
          <w:sz w:val="22"/>
          <w:szCs w:val="22"/>
        </w:rPr>
        <w:t xml:space="preserve">that trains a surrogate model on the exported dataset, closing the loop from data to model.</w:t>
      </w:r>
    </w:p>
    <w:p>
      <w:pPr>
        <w:pStyle w:val="ListParagraph"/>
        <w:numPr>
          <w:ilvl w:val="0"/>
          <w:numId w:val="2"/>
        </w:numPr>
        <w:spacing w:after="80" w:line="272"/>
      </w:pPr>
      <w:r>
        <w:rPr>
          <w:b/>
          <w:bCs/>
          <w:i w:val="false"/>
          <w:iCs w:val="false"/>
          <w:color w:val="222222"/>
          <w:sz w:val="22"/>
          <w:szCs w:val="22"/>
        </w:rPr>
        <w:t xml:space="preserve">Publish it openly </w:t>
      </w:r>
      <w:r>
        <w:rPr>
          <w:b w:val="false"/>
          <w:bCs w:val="false"/>
          <w:i w:val="false"/>
          <w:iCs w:val="false"/>
          <w:color w:val="222222"/>
          <w:sz w:val="22"/>
          <w:szCs w:val="22"/>
        </w:rPr>
        <w:t xml:space="preserve">with an open-source license and a citable release, to match the initiative's open-science goals.</w:t>
      </w:r>
    </w:p>
    <w:p>
      <w:pPr>
        <w:spacing w:after="80"/>
      </w:pPr>
    </w:p>
    <w:tbl>
      <w:tblPr>
        <w:tblW w:type="dxa" w:w="9360"/>
        <w:tblBorders>
          <w:top w:val="single" w:color="C96F4A" w:sz="2"/>
          <w:left w:val="single" w:color="C96F4A" w:sz="14"/>
          <w:bottom w:val="single" w:color="C96F4A" w:sz="2"/>
          <w:right w:val="single" w:color="C96F4A" w:sz="2"/>
          <w:insideH w:val="none"/>
          <w:insideV w:val="none"/>
        </w:tblBorders>
      </w:tblPr>
      <w:tblGrid>
        <w:gridCol w:w="9360"/>
      </w:tblGrid>
      <w:tr>
        <w:tc>
          <w:tcPr>
            <w:tcW w:type="dxa" w:w="9360"/>
            <w:shd w:fill="FBF0EC" w:val="clear"/>
            <w:tcMar>
              <w:top w:type="dxa" w:w="120"/>
              <w:left w:type="dxa" w:w="160"/>
              <w:bottom w:type="dxa" w:w="120"/>
              <w:right w:type="dxa" w:w="160"/>
            </w:tcMar>
          </w:tcPr>
          <w:p>
            <w:pPr>
              <w:spacing w:after="60"/>
            </w:pPr>
            <w:r>
              <w:rPr>
                <w:b/>
                <w:bCs/>
                <w:color w:val="C96F4A"/>
                <w:sz w:val="22"/>
                <w:szCs w:val="22"/>
              </w:rPr>
              <w:t xml:space="preserve">In summary</w:t>
            </w:r>
          </w:p>
          <w:p>
            <w:pPr>
              <w:spacing w:after="0"/>
            </w:pPr>
            <w:r>
              <w:rPr>
                <w:color w:val="222222"/>
                <w:sz w:val="21"/>
                <w:szCs w:val="21"/>
              </w:rPr>
              <w:t xml:space="preserve">HydroGeoChem Explorer already embodies what WaterSoftHack sets out to build: an accessible, reproducible, cloud-ready CI workflow that couples a trusted water-science model with machine learning, and that is small and clear enough to teach. It fits the vision and all four objectives, and with a few targeted additions it could serve as a hands-on training and research asset for the initiative.</w:t>
            </w:r>
          </w:p>
        </w:tc>
      </w:tr>
    </w:tbl>
    <w:p>
      <w:pPr>
        <w:spacing w:after="120"/>
      </w:pPr>
    </w:p>
    <w:p>
      <w:pPr>
        <w:pBdr>
          <w:top w:val="single" w:color="CCCCCC" w:sz="4"/>
        </w:pBdr>
        <w:spacing w:after="60" w:before="160"/>
      </w:pPr>
    </w:p>
    <w:p>
      <w:r>
        <w:rPr>
          <w:i/>
          <w:iCs/>
          <w:color w:val="5A6472"/>
          <w:sz w:val="20"/>
          <w:szCs w:val="20"/>
        </w:rPr>
        <w:t xml:space="preserve">Companion materials: HydroGeoChem_Team_Guide.docx (plain-English overview), HydroGeoChem_Overview.pptx (slide deck), and docs/ARCHITECTURE.md (full engineering detail).</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96F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E2A3A"/>
      <w:sz w:val="30"/>
      <w:szCs w:val="30"/>
    </w:rPr>
  </w:style>
  <w:style w:type="paragraph" w:styleId="Heading2">
    <w:name w:val="Heading 2"/>
    <w:basedOn w:val="Normal"/>
    <w:next w:val="Normal"/>
    <w:qFormat/>
    <w:rPr>
      <w:rFonts w:ascii="Calibri" w:cs="Calibri" w:eastAsia="Calibri" w:hAnsi="Calibri"/>
      <w:b/>
      <w:bCs/>
      <w:color w:val="1F6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HydroGeoChem Explorer: WaterSoftHack Alignment</dc:title>
  <dc:creator>HydroGeoChem team</dc:creator>
  <cp:lastModifiedBy>Un-named</cp:lastModifiedBy>
  <cp:revision>1</cp:revision>
  <dcterms:created xsi:type="dcterms:W3CDTF">2026-07-25T00:16:23.759Z</dcterms:created>
  <dcterms:modified xsi:type="dcterms:W3CDTF">2026-07-25T00:16:23.760Z</dcterms:modified>
</cp:coreProperties>
</file>

<file path=docProps/custom.xml><?xml version="1.0" encoding="utf-8"?>
<Properties xmlns="http://schemas.openxmlformats.org/officeDocument/2006/custom-properties" xmlns:vt="http://schemas.openxmlformats.org/officeDocument/2006/docPropsVTypes"/>
</file>