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2219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Introduction</w:t>
      </w:r>
    </w:p>
    <w:p w14:paraId="2CB505A8" w14:textId="0BD17991" w:rsid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Statement of the problem</w:t>
      </w:r>
    </w:p>
    <w:p w14:paraId="7E317727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6B913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Why it is important to conduct research about the problem, motivation, purpose</w:t>
      </w:r>
    </w:p>
    <w:p w14:paraId="1216ECD7" w14:textId="77777777" w:rsidR="00692D86" w:rsidRPr="00692D86" w:rsidRDefault="00692D86" w:rsidP="00692D86">
      <w:pPr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Since its public release in November 2019, GHA has become the most dominant CI/CD service, only 18 months after its introduction [8]. Its Marketplace of reusable actions has been growing exponentially ever since, reaching 12K reusable actions in February 2022. It is therefore fair to say that GHA has become a software ecosystem of its own, comparable to ecosystems of reusable software libraries (such as </w:t>
      </w:r>
      <w:proofErr w:type="spellStart"/>
      <w:r w:rsidRPr="00692D86"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692D86"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692D86"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RubyGems</w:t>
      </w:r>
      <w:proofErr w:type="spellEnd"/>
      <w:r w:rsidRPr="00692D86"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CRAN, Maven, and </w:t>
      </w:r>
      <w:proofErr w:type="spellStart"/>
      <w:r w:rsidRPr="00692D86"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PyPI</w:t>
      </w:r>
      <w:proofErr w:type="spellEnd"/>
      <w:r w:rsidRPr="00692D86"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that have been empirically studied by many researchers in recent years (e.g., [9]–[14]).</w:t>
      </w:r>
    </w:p>
    <w:p w14:paraId="1488ACE7" w14:textId="77777777" w:rsidR="00692D86" w:rsidRPr="00692D86" w:rsidRDefault="00692D86" w:rsidP="00692D86">
      <w:pPr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DE79E" w14:textId="25EE76FC" w:rsidR="00692D86" w:rsidRPr="00692D86" w:rsidRDefault="00692D86" w:rsidP="00692D86">
      <w:pPr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emerging GHA ecosystem is worthy of being empirically studied </w:t>
      </w:r>
      <w:r w:rsidRPr="00692D86"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since</w:t>
      </w:r>
      <w:r w:rsidRPr="00692D86">
        <w:rPr>
          <w:rFonts w:ascii="Aptos" w:hAnsi="Aptos"/>
          <w:bCs/>
          <w:i/>
          <w:iCs/>
          <w:color w:val="000000" w:themeColor="text1"/>
          <w:spacing w:val="10"/>
          <w:sz w:val="16"/>
          <w:szCs w:val="1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 is likely to suffer from the same issues related to dependency management, security vulnerabilities, outdated or obsolete components, backward compatibility, and so on. </w:t>
      </w:r>
    </w:p>
    <w:p w14:paraId="5F8B8019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Key existing literature about the problem and why the problem is not solved or more</w:t>
      </w:r>
    </w:p>
    <w:p w14:paraId="05BE27E9" w14:textId="55DBB5B8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work is </w:t>
      </w: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needed.</w:t>
      </w:r>
    </w:p>
    <w:p w14:paraId="6B0DCD8A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For the above three items, a minimum of 4 trustworthy references (in total) must be</w:t>
      </w:r>
    </w:p>
    <w:p w14:paraId="0B93144F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used in the introduction when describing the problem, why it is important etc.</w:t>
      </w:r>
    </w:p>
    <w:p w14:paraId="247EC0D7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In the introduction, describe briefly what the methodology will be and give a few</w:t>
      </w:r>
    </w:p>
    <w:p w14:paraId="2DB8BD0A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details on how the study will be conducted. Are there participants? Who are they</w:t>
      </w:r>
    </w:p>
    <w:p w14:paraId="233906AB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and why are they suitable for the study?</w:t>
      </w:r>
    </w:p>
    <w:p w14:paraId="5DC1A663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State the research questions (RQ(s)) and link them to the motivation.</w:t>
      </w:r>
    </w:p>
    <w:p w14:paraId="6918FCC1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– State clear and concise research questions that will be investigated</w:t>
      </w:r>
    </w:p>
    <w:p w14:paraId="7EA55B51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– State at least two research questions (main or sub research questions)</w:t>
      </w:r>
    </w:p>
    <w:p w14:paraId="28AD1F26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Related Work</w:t>
      </w:r>
    </w:p>
    <w:p w14:paraId="1490BDDD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Describes the results of other studies that are closely related to the study being</w:t>
      </w:r>
    </w:p>
    <w:p w14:paraId="0FD07E96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proposed</w:t>
      </w:r>
    </w:p>
    <w:p w14:paraId="4C94F5EA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Include the 4 references from the introduction, but add additional references, a minimum of 4 in addition.</w:t>
      </w:r>
    </w:p>
    <w:p w14:paraId="09AAFF68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Describes related literature in enough detail to understand why they are included in</w:t>
      </w:r>
    </w:p>
    <w:p w14:paraId="0014F3C1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the section, but not in too much detail to distract from the key message.</w:t>
      </w:r>
    </w:p>
    <w:p w14:paraId="3ED7E4B7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Consider the use of sub-sections to organize the literature into topics.</w:t>
      </w:r>
    </w:p>
    <w:p w14:paraId="7B6E23C2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This section could contain both related work – work closely related to your topic –</w:t>
      </w:r>
    </w:p>
    <w:p w14:paraId="4B5ECACD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and background – work that the reader needs to understand your topic. If both are</w:t>
      </w:r>
    </w:p>
    <w:p w14:paraId="0E970819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present, differentiate between the two.</w:t>
      </w:r>
    </w:p>
    <w:p w14:paraId="531E5097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It should be clear why this work needs to be done, how does the existing literature,</w:t>
      </w:r>
    </w:p>
    <w:p w14:paraId="4D06A2D2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either individually or in groups, not sufficiently solve your problem of focus.</w:t>
      </w:r>
    </w:p>
    <w:p w14:paraId="12A136B2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Acknowledgement</w:t>
      </w:r>
    </w:p>
    <w:p w14:paraId="4DBC0D6D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Write who is responsible for what part of the report</w:t>
      </w:r>
    </w:p>
    <w:p w14:paraId="425BE25E" w14:textId="77777777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References</w:t>
      </w:r>
    </w:p>
    <w:p w14:paraId="5A080CD5" w14:textId="7DF1FBF2" w:rsidR="00692D86" w:rsidRPr="00692D86" w:rsidRDefault="00692D86" w:rsidP="00692D86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92D86"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• A list of refere</w:t>
      </w:r>
      <w: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nces</w:t>
      </w:r>
    </w:p>
    <w:p w14:paraId="576A37FE" w14:textId="77777777" w:rsidR="000E0C84" w:rsidRPr="00692D86" w:rsidRDefault="004F2CE7">
      <w:pPr>
        <w:rPr>
          <w:rFonts w:ascii="Aptos" w:hAnsi="Aptos"/>
          <w:bCs/>
          <w:color w:val="000000" w:themeColor="text1"/>
          <w:spacing w:val="10"/>
          <w:sz w:val="18"/>
          <w:szCs w:val="1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E0C84" w:rsidRPr="00692D8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1A"/>
    <w:rsid w:val="00162957"/>
    <w:rsid w:val="003F566C"/>
    <w:rsid w:val="00692D86"/>
    <w:rsid w:val="00CE0236"/>
    <w:rsid w:val="00F2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5024"/>
  <w15:chartTrackingRefBased/>
  <w15:docId w15:val="{46A6BE65-20F5-4660-B84E-59AA4513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Marof Kardo</dc:creator>
  <cp:keywords/>
  <dc:description/>
  <cp:lastModifiedBy>Marof Kardo</cp:lastModifiedBy>
  <cp:revision>3</cp:revision>
  <dcterms:created xsi:type="dcterms:W3CDTF">2024-02-08T19:00:00Z</dcterms:created>
  <dcterms:modified xsi:type="dcterms:W3CDTF">2024-02-08T22:25:00Z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2024-02-08T19:01:28Z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12f700a7-fc53-4c60-a0d1-e7d541f0df33</vt:lpwstr>
  </property>
  <property fmtid="{D5CDD505-2E9C-101B-9397-08002B2CF9AE}" pid="8" name="MSIP_Label_19540963-e559-4020-8a90-fe8a502c2801_ContentBits">
    <vt:lpwstr>0</vt:lpwstr>
  </property>
</Properties>
</file>