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D553D" w:rsidR="00177915" w:rsidP="007D553D" w:rsidRDefault="00BA25B9" w14:paraId="405259C6" wp14:textId="77777777">
      <w:pPr>
        <w:pStyle w:val="Heading1"/>
      </w:pPr>
      <w:bookmarkStart w:name="_GoBack" w:id="0"/>
      <w:bookmarkEnd w:id="0"/>
      <w:r w:rsidRPr="007D553D">
        <w:t>CS 405 Project Two Script Template</w:t>
      </w:r>
    </w:p>
    <w:p xmlns:wp14="http://schemas.microsoft.com/office/word/2010/wordml" w:rsidR="007D553D" w:rsidP="007D553D" w:rsidRDefault="007D553D" w14:paraId="672A6659" wp14:textId="77777777">
      <w:pPr>
        <w:suppressAutoHyphens/>
        <w:spacing w:after="0" w:line="240" w:lineRule="auto"/>
        <w:jc w:val="center"/>
        <w:rPr>
          <w:b/>
        </w:rPr>
      </w:pPr>
    </w:p>
    <w:p xmlns:wp14="http://schemas.microsoft.com/office/word/2010/wordml" w:rsidRPr="007D553D" w:rsidR="007D553D" w:rsidP="007D553D" w:rsidRDefault="007D553D" w14:paraId="06AF9225" wp14:textId="77777777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xmlns:wp14="http://schemas.microsoft.com/office/word/2010/wordml" w:rsidRPr="007D553D" w:rsidR="007D553D" w:rsidP="007D553D" w:rsidRDefault="007D553D" w14:paraId="0A37501D" wp14:textId="77777777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55"/>
      </w:tblGrid>
      <w:tr xmlns:wp14="http://schemas.microsoft.com/office/word/2010/wordml" w:rsidRPr="007D553D" w:rsidR="00177915" w:rsidTr="73D2260D" w14:paraId="17B1005E" wp14:textId="77777777">
        <w:trPr>
          <w:trHeight w:val="1373"/>
          <w:tblHeader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2EB67A1A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tcMar/>
            <w:vAlign w:val="center"/>
          </w:tcPr>
          <w:p w:rsidRPr="007D553D" w:rsidR="00177915" w:rsidP="007D553D" w:rsidRDefault="00BA25B9" w14:paraId="2C25DDD4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xmlns:wp14="http://schemas.microsoft.com/office/word/2010/wordml" w:rsidRPr="007D553D" w:rsidR="00177915" w:rsidTr="73D2260D" w14:paraId="714002CF" wp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649841BE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  <w:tcMar/>
          </w:tcPr>
          <w:p w:rsidRPr="007D553D" w:rsidR="00177915" w:rsidP="73D2260D" w:rsidRDefault="007D553D" w14:paraId="4BAA6C99" wp14:textId="23A5DB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E81178">
              <w:rPr/>
              <w:t xml:space="preserve">Good afternoon, my name is </w:t>
            </w:r>
            <w:r w:rsidR="0744BECA">
              <w:rPr/>
              <w:t xml:space="preserve">Walter Augustine and today I will be </w:t>
            </w:r>
            <w:r w:rsidR="724DC0CC">
              <w:rPr/>
              <w:t>presenting</w:t>
            </w:r>
            <w:r w:rsidR="0744BECA">
              <w:rPr/>
              <w:t xml:space="preserve"> the </w:t>
            </w:r>
            <w:r w:rsidR="4C3AD0E7">
              <w:rPr/>
              <w:t xml:space="preserve">new </w:t>
            </w:r>
            <w:r w:rsidR="0744BECA">
              <w:rPr/>
              <w:t xml:space="preserve">security policy </w:t>
            </w:r>
            <w:r w:rsidR="37D63E26">
              <w:rPr/>
              <w:t xml:space="preserve">that </w:t>
            </w:r>
            <w:r w:rsidR="043F7176">
              <w:rPr/>
              <w:t>I</w:t>
            </w:r>
            <w:r w:rsidR="46CA7361">
              <w:rPr/>
              <w:t xml:space="preserve"> have developed </w:t>
            </w:r>
            <w:r w:rsidR="369C327B">
              <w:rPr/>
              <w:t xml:space="preserve">for </w:t>
            </w:r>
            <w:r w:rsidR="46CA7361">
              <w:rPr/>
              <w:t>Green Pace over the past 7 weeks.</w:t>
            </w:r>
          </w:p>
        </w:tc>
      </w:tr>
      <w:tr xmlns:wp14="http://schemas.microsoft.com/office/word/2010/wordml" w:rsidRPr="007D553D" w:rsidR="00177915" w:rsidTr="73D2260D" w14:paraId="745252F8" wp14:textId="77777777">
        <w:trPr>
          <w:trHeight w:val="1373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18F999B5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783B8F21" wp14:textId="4A117AC2">
            <w:pPr>
              <w:suppressAutoHyphens/>
            </w:pPr>
            <w:r w:rsidR="5A3FFDA2">
              <w:rPr/>
              <w:t>This security policy was created with the intent of providing a comprehensive and consistent set of stan</w:t>
            </w:r>
            <w:r w:rsidR="37593C62">
              <w:rPr/>
              <w:t>dards to be applied across the whole company, both within the services we offer and our own i</w:t>
            </w:r>
            <w:r w:rsidR="37DD6E84">
              <w:rPr/>
              <w:t>nternal tooling.</w:t>
            </w:r>
            <w:r w:rsidR="0EFEDF8A">
              <w:rPr/>
              <w:t xml:space="preserve"> A security policy is the first step of implementing a defense in depth strategy, which is the concept of having multiple layers of security, so </w:t>
            </w:r>
            <w:r w:rsidR="55D4C64E">
              <w:rPr/>
              <w:t>that if one layer fails or is breached, then another layer can continue to protect the system.</w:t>
            </w:r>
          </w:p>
        </w:tc>
      </w:tr>
      <w:tr xmlns:wp14="http://schemas.microsoft.com/office/word/2010/wordml" w:rsidRPr="007D553D" w:rsidR="00177915" w:rsidTr="73D2260D" w14:paraId="7EDA295D" wp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5FCD5EC4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44DB1C10" wp14:textId="64B95D6F">
            <w:pPr>
              <w:suppressAutoHyphens/>
            </w:pPr>
            <w:r w:rsidR="4C33C82B">
              <w:rPr/>
              <w:t xml:space="preserve">The security policy includes ten coding standards, which I’ll cover in the next slides, organized in this threat matrix by likelihood and </w:t>
            </w:r>
            <w:r w:rsidR="34260501">
              <w:rPr/>
              <w:t>priority. The threat matrix makes it easier to visualize which standards should receive more attention and focus to either</w:t>
            </w:r>
            <w:r w:rsidR="7091B659">
              <w:rPr/>
              <w:t xml:space="preserve"> prevent or remediate.</w:t>
            </w:r>
          </w:p>
        </w:tc>
      </w:tr>
      <w:tr xmlns:wp14="http://schemas.microsoft.com/office/word/2010/wordml" w:rsidRPr="007D553D" w:rsidR="00177915" w:rsidTr="73D2260D" w14:paraId="68B9E885" wp14:textId="77777777">
        <w:trPr>
          <w:trHeight w:val="1373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2598DEE6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63B73654" wp14:textId="326BAB25">
            <w:pPr>
              <w:suppressAutoHyphens/>
            </w:pPr>
            <w:r w:rsidR="6AAF5217">
              <w:rPr/>
              <w:t xml:space="preserve">In addition to ten coding standards, there are also ten </w:t>
            </w:r>
            <w:r w:rsidR="441F606E">
              <w:rPr/>
              <w:t>security principles, some of which are explicitly coding related. The ten coding standards have each been mapped to a principle, with some principles applying to multiple standards.</w:t>
            </w:r>
          </w:p>
          <w:p w:rsidRPr="007D553D" w:rsidR="00177915" w:rsidP="007D553D" w:rsidRDefault="007D553D" w14:paraId="70703441" wp14:textId="7CC74F2B">
            <w:pPr>
              <w:suppressAutoHyphens/>
            </w:pPr>
          </w:p>
          <w:p w:rsidRPr="007D553D" w:rsidR="00177915" w:rsidP="007D553D" w:rsidRDefault="007D553D" w14:paraId="29CDC1EE" wp14:textId="43EAAFB0">
            <w:pPr>
              <w:suppressAutoHyphens/>
            </w:pPr>
            <w:r w:rsidR="2C8065EE">
              <w:rPr/>
              <w:t xml:space="preserve">Number one is “validate input data” which means never </w:t>
            </w:r>
            <w:r w:rsidR="79A7799E">
              <w:rPr/>
              <w:t xml:space="preserve">run </w:t>
            </w:r>
            <w:r w:rsidR="614DB04B">
              <w:rPr/>
              <w:t xml:space="preserve">or evaluate </w:t>
            </w:r>
            <w:r w:rsidR="79A7799E">
              <w:rPr/>
              <w:t xml:space="preserve">user </w:t>
            </w:r>
            <w:r w:rsidR="2C8065EE">
              <w:rPr/>
              <w:t>input</w:t>
            </w:r>
            <w:r w:rsidR="5C6CFAA8">
              <w:rPr/>
              <w:t xml:space="preserve"> unless it has been </w:t>
            </w:r>
            <w:r w:rsidR="0C570AA9">
              <w:rPr/>
              <w:t>determined to be safe.</w:t>
            </w:r>
          </w:p>
          <w:p w:rsidRPr="007D553D" w:rsidR="00177915" w:rsidP="73D2260D" w:rsidRDefault="007D553D" w14:paraId="24F181E1" wp14:textId="60777F36">
            <w:pPr>
              <w:pStyle w:val="Normal"/>
              <w:suppressAutoHyphens/>
            </w:pPr>
          </w:p>
          <w:p w:rsidRPr="007D553D" w:rsidR="00177915" w:rsidP="007D553D" w:rsidRDefault="007D553D" w14:paraId="6A47E445" wp14:textId="652AD82A">
            <w:pPr>
              <w:suppressAutoHyphens/>
            </w:pPr>
            <w:r w:rsidR="0C570AA9">
              <w:rPr/>
              <w:t xml:space="preserve">Number two: </w:t>
            </w:r>
            <w:r w:rsidR="236ACA4B">
              <w:rPr/>
              <w:t>“</w:t>
            </w:r>
            <w:r w:rsidR="0C570AA9">
              <w:rPr/>
              <w:t>heed compiler warnings</w:t>
            </w:r>
            <w:r w:rsidR="702FA3A7">
              <w:rPr/>
              <w:t>”</w:t>
            </w:r>
            <w:r w:rsidR="0C570AA9">
              <w:rPr/>
              <w:t xml:space="preserve">. Some compiler warnings indicate </w:t>
            </w:r>
            <w:r w:rsidR="44955976">
              <w:rPr/>
              <w:t xml:space="preserve">vulnerabilities and bad practices that won’t prevent </w:t>
            </w:r>
            <w:proofErr w:type="gramStart"/>
            <w:r w:rsidR="44955976">
              <w:rPr/>
              <w:t>compilation, but</w:t>
            </w:r>
            <w:proofErr w:type="gramEnd"/>
            <w:r w:rsidR="44955976">
              <w:rPr/>
              <w:t xml:space="preserve"> may cause serious issues if left unchecked.</w:t>
            </w:r>
          </w:p>
          <w:p w:rsidRPr="007D553D" w:rsidR="00177915" w:rsidP="73D2260D" w:rsidRDefault="007D553D" w14:paraId="6EF0CF33" wp14:textId="325B4A9E">
            <w:pPr>
              <w:pStyle w:val="Normal"/>
              <w:suppressAutoHyphens/>
            </w:pPr>
          </w:p>
          <w:p w:rsidRPr="007D553D" w:rsidR="00177915" w:rsidP="73D2260D" w:rsidRDefault="007D553D" w14:paraId="7F5A15E0" wp14:textId="0F68A5D3">
            <w:pPr>
              <w:pStyle w:val="Normal"/>
              <w:suppressAutoHyphens/>
            </w:pPr>
            <w:r w:rsidR="2A4E6273">
              <w:rPr/>
              <w:t xml:space="preserve">Number three: </w:t>
            </w:r>
            <w:r w:rsidR="1ACB000E">
              <w:rPr/>
              <w:t>“</w:t>
            </w:r>
            <w:r w:rsidR="2A4E6273">
              <w:rPr/>
              <w:t>architect and design for security policies</w:t>
            </w:r>
            <w:r w:rsidR="0C0B2D82">
              <w:rPr/>
              <w:t>.</w:t>
            </w:r>
            <w:r w:rsidR="5D7B91CA">
              <w:rPr/>
              <w:t>”</w:t>
            </w:r>
            <w:r w:rsidR="2A4E6273">
              <w:rPr/>
              <w:t xml:space="preserve"> Applications and systems should be built securely from the ground up, and not </w:t>
            </w:r>
            <w:r w:rsidR="075371CA">
              <w:rPr/>
              <w:t>bolted on later as an afterthought.</w:t>
            </w:r>
          </w:p>
          <w:p w:rsidRPr="007D553D" w:rsidR="00177915" w:rsidP="73D2260D" w:rsidRDefault="007D553D" w14:paraId="18086C21" wp14:textId="5A4E9278">
            <w:pPr>
              <w:pStyle w:val="Normal"/>
              <w:suppressAutoHyphens/>
            </w:pPr>
          </w:p>
          <w:p w:rsidRPr="007D553D" w:rsidR="00177915" w:rsidP="73D2260D" w:rsidRDefault="007D553D" w14:paraId="0FEA3CBD" wp14:textId="4BDCCA94">
            <w:pPr>
              <w:pStyle w:val="Normal"/>
              <w:suppressAutoHyphens/>
            </w:pPr>
            <w:r w:rsidR="075371CA">
              <w:rPr/>
              <w:t>Number four: “keep it simple</w:t>
            </w:r>
            <w:r w:rsidR="5DCB3111">
              <w:rPr/>
              <w:t>.</w:t>
            </w:r>
            <w:r w:rsidR="075371CA">
              <w:rPr/>
              <w:t>”</w:t>
            </w:r>
            <w:r w:rsidR="5DCB3111">
              <w:rPr/>
              <w:t xml:space="preserve"> </w:t>
            </w:r>
            <w:r w:rsidR="729DAF79">
              <w:rPr/>
              <w:t xml:space="preserve">A simpler system is easier to </w:t>
            </w:r>
            <w:r w:rsidR="63150D1B">
              <w:rPr/>
              <w:t xml:space="preserve">understand, </w:t>
            </w:r>
            <w:r w:rsidR="729DAF79">
              <w:rPr/>
              <w:t>build, maintain, and secure</w:t>
            </w:r>
            <w:r w:rsidR="22A310F5">
              <w:rPr/>
              <w:t>, which is all beneficial to an organization.</w:t>
            </w:r>
          </w:p>
          <w:p w:rsidRPr="007D553D" w:rsidR="00177915" w:rsidP="73D2260D" w:rsidRDefault="007D553D" w14:paraId="3BB40ACE" wp14:textId="6345BAFD">
            <w:pPr>
              <w:pStyle w:val="Normal"/>
              <w:suppressAutoHyphens/>
            </w:pPr>
          </w:p>
          <w:p w:rsidRPr="007D553D" w:rsidR="00177915" w:rsidP="73D2260D" w:rsidRDefault="007D553D" w14:paraId="4EC34A9C" wp14:textId="07D3F9DF">
            <w:pPr>
              <w:pStyle w:val="Normal"/>
              <w:suppressAutoHyphens/>
            </w:pPr>
            <w:r w:rsidR="22A310F5">
              <w:rPr/>
              <w:t xml:space="preserve">Number five: “Default deny.” When it comes to </w:t>
            </w:r>
            <w:r w:rsidR="4CC142B2">
              <w:rPr/>
              <w:t>access management, users should not be able to do anything by default unless they are given explicit permission by an admin user.</w:t>
            </w:r>
          </w:p>
          <w:p w:rsidRPr="007D553D" w:rsidR="00177915" w:rsidP="73D2260D" w:rsidRDefault="007D553D" w14:paraId="74C4004C" wp14:textId="697C5004">
            <w:pPr>
              <w:pStyle w:val="Normal"/>
              <w:suppressAutoHyphens/>
            </w:pPr>
          </w:p>
          <w:p w:rsidRPr="007D553D" w:rsidR="00177915" w:rsidP="73D2260D" w:rsidRDefault="007D553D" w14:paraId="645C68F0" wp14:textId="4A506C96">
            <w:pPr>
              <w:pStyle w:val="Normal"/>
              <w:suppressAutoHyphens/>
            </w:pPr>
            <w:r w:rsidR="78B696D9">
              <w:rPr/>
              <w:t xml:space="preserve">Number six: “Adhere to the principle of least privilege” is like number five with one key difference, which is that </w:t>
            </w:r>
            <w:r w:rsidR="69B76696">
              <w:rPr/>
              <w:t>users</w:t>
            </w:r>
            <w:r w:rsidR="375B7C0B">
              <w:rPr/>
              <w:t xml:space="preserve"> </w:t>
            </w:r>
            <w:r w:rsidR="1BA48878">
              <w:rPr/>
              <w:t xml:space="preserve">are granted </w:t>
            </w:r>
            <w:r w:rsidR="06A3F46B">
              <w:rPr/>
              <w:t xml:space="preserve">as few permissions as </w:t>
            </w:r>
            <w:r w:rsidR="7BE2C57E">
              <w:rPr/>
              <w:t>needed to accomplish their work.</w:t>
            </w:r>
          </w:p>
          <w:p w:rsidRPr="007D553D" w:rsidR="00177915" w:rsidP="73D2260D" w:rsidRDefault="007D553D" w14:paraId="45312F53" wp14:textId="14ED30E1">
            <w:pPr>
              <w:pStyle w:val="Normal"/>
              <w:suppressAutoHyphens/>
            </w:pPr>
          </w:p>
          <w:p w:rsidRPr="007D553D" w:rsidR="00177915" w:rsidP="73D2260D" w:rsidRDefault="007D553D" w14:paraId="7D7B0959" wp14:textId="510A0E7E">
            <w:pPr>
              <w:pStyle w:val="Normal"/>
              <w:suppressAutoHyphens/>
            </w:pPr>
            <w:r w:rsidR="4F706F93">
              <w:rPr/>
              <w:t xml:space="preserve">Number seven is “sanitize data sent to </w:t>
            </w:r>
            <w:r w:rsidR="3909D845">
              <w:rPr/>
              <w:t xml:space="preserve">other systems.”  </w:t>
            </w:r>
            <w:r w:rsidR="5CF3E572">
              <w:rPr/>
              <w:t>S</w:t>
            </w:r>
            <w:r w:rsidR="3909D845">
              <w:rPr/>
              <w:t>anitizing data between other systems</w:t>
            </w:r>
            <w:r w:rsidR="6CAC4F65">
              <w:rPr/>
              <w:t xml:space="preserve"> keeps malformed or incorrect data from being sent more than once</w:t>
            </w:r>
            <w:r w:rsidR="2FFD5D65">
              <w:rPr/>
              <w:t xml:space="preserve"> between multiple systems.</w:t>
            </w:r>
          </w:p>
          <w:p w:rsidRPr="007D553D" w:rsidR="00177915" w:rsidP="73D2260D" w:rsidRDefault="007D553D" w14:paraId="4300C2AC" wp14:textId="37430311">
            <w:pPr>
              <w:pStyle w:val="Normal"/>
              <w:suppressAutoHyphens/>
            </w:pPr>
          </w:p>
          <w:p w:rsidRPr="007D553D" w:rsidR="00177915" w:rsidP="73D2260D" w:rsidRDefault="007D553D" w14:paraId="263C5A42" wp14:textId="0F3D44CC">
            <w:pPr>
              <w:pStyle w:val="Normal"/>
              <w:suppressAutoHyphens/>
            </w:pPr>
            <w:r w:rsidR="703B0DB6">
              <w:rPr/>
              <w:t xml:space="preserve">Number eight “practice defense in depth”, as I mentioned, which is the concept of having multiple layers of security, </w:t>
            </w:r>
            <w:r w:rsidR="02EA9EC1">
              <w:rPr/>
              <w:t xml:space="preserve">as mentioned </w:t>
            </w:r>
            <w:r w:rsidR="02EA9EC1">
              <w:rPr/>
              <w:t>previously</w:t>
            </w:r>
            <w:r w:rsidR="703B0DB6">
              <w:rPr/>
              <w:t>.</w:t>
            </w:r>
          </w:p>
          <w:p w:rsidRPr="007D553D" w:rsidR="00177915" w:rsidP="73D2260D" w:rsidRDefault="007D553D" w14:paraId="279245C1" wp14:textId="22A2C423">
            <w:pPr>
              <w:pStyle w:val="Normal"/>
              <w:suppressAutoHyphens/>
            </w:pPr>
          </w:p>
          <w:p w:rsidRPr="007D553D" w:rsidR="00177915" w:rsidP="73D2260D" w:rsidRDefault="007D553D" w14:paraId="0252C4A3" wp14:textId="7D6B884F">
            <w:pPr>
              <w:pStyle w:val="Normal"/>
              <w:suppressAutoHyphens/>
            </w:pPr>
            <w:r w:rsidR="55F416B3">
              <w:rPr/>
              <w:t xml:space="preserve">Number nine “use effective quality assurance techniques.” Use </w:t>
            </w:r>
            <w:r w:rsidR="5C5AAD17">
              <w:rPr/>
              <w:t xml:space="preserve">the right tools for the job to deliver and maintain high quality code, such as static analysis tools and unit </w:t>
            </w:r>
            <w:r w:rsidR="5C5AAD17">
              <w:rPr/>
              <w:t>testing</w:t>
            </w:r>
            <w:r w:rsidR="3C0BD6F8">
              <w:rPr/>
              <w:t>.</w:t>
            </w:r>
          </w:p>
          <w:p w:rsidRPr="007D553D" w:rsidR="00177915" w:rsidP="73D2260D" w:rsidRDefault="007D553D" w14:paraId="2122349C" wp14:textId="0AC39261">
            <w:pPr>
              <w:pStyle w:val="Normal"/>
              <w:suppressAutoHyphens/>
            </w:pPr>
          </w:p>
          <w:p w:rsidRPr="007D553D" w:rsidR="00177915" w:rsidP="73D2260D" w:rsidRDefault="007D553D" w14:paraId="7CC2FACA" wp14:textId="048FD87C">
            <w:pPr>
              <w:pStyle w:val="Normal"/>
              <w:suppressAutoHyphens/>
            </w:pPr>
            <w:r w:rsidR="3C0BD6F8">
              <w:rPr/>
              <w:t>Number ten is “adopt a secure coding standard.” This</w:t>
            </w:r>
            <w:r w:rsidR="312523D6">
              <w:rPr/>
              <w:t xml:space="preserve"> principle should be applied across the entire organization, because it is</w:t>
            </w:r>
            <w:r w:rsidR="060D6103">
              <w:rPr/>
              <w:t xml:space="preserve"> difficult for</w:t>
            </w:r>
            <w:r w:rsidR="312523D6">
              <w:rPr/>
              <w:t xml:space="preserve"> </w:t>
            </w:r>
            <w:r w:rsidR="312523D6">
              <w:rPr/>
              <w:t xml:space="preserve">a single person </w:t>
            </w:r>
            <w:r w:rsidR="798F424B">
              <w:rPr/>
              <w:t>to</w:t>
            </w:r>
            <w:r w:rsidR="312523D6">
              <w:rPr/>
              <w:t xml:space="preserve"> maintain the security </w:t>
            </w:r>
            <w:r w:rsidR="697B0306">
              <w:rPr/>
              <w:t>of the entire organization by themself. Applying this principle means that everyone is responsible for</w:t>
            </w:r>
            <w:r w:rsidR="7038D1B1">
              <w:rPr/>
              <w:t xml:space="preserve"> maintaining security.</w:t>
            </w:r>
          </w:p>
        </w:tc>
      </w:tr>
      <w:tr xmlns:wp14="http://schemas.microsoft.com/office/word/2010/wordml" w:rsidRPr="007D553D" w:rsidR="00177915" w:rsidTr="73D2260D" w14:paraId="2BB80DEA" wp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73D2260D" w:rsidRDefault="00BA25B9" w14:paraId="78941E47" wp14:textId="2C852AC6">
            <w:pPr>
              <w:suppressAutoHyphens/>
              <w:jc w:val="center"/>
              <w:rPr>
                <w:b w:val="1"/>
                <w:bCs w:val="1"/>
              </w:rPr>
            </w:pPr>
            <w:r w:rsidRPr="73D2260D" w:rsidR="00BA25B9">
              <w:rPr>
                <w:b w:val="1"/>
                <w:bCs w:val="1"/>
              </w:rPr>
              <w:t>5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3C23EF15" wp14:textId="51109EAA">
            <w:pPr>
              <w:suppressAutoHyphens/>
            </w:pPr>
            <w:r w:rsidR="6BDCA747">
              <w:rPr/>
              <w:t xml:space="preserve">With respect to the C++ code </w:t>
            </w:r>
            <w:r w:rsidR="72433DAB">
              <w:rPr/>
              <w:t>owned</w:t>
            </w:r>
            <w:r w:rsidR="6BDCA747">
              <w:rPr/>
              <w:t xml:space="preserve"> by Green </w:t>
            </w:r>
            <w:r w:rsidR="4C251451">
              <w:rPr/>
              <w:t>Pace</w:t>
            </w:r>
            <w:r w:rsidR="6BDCA747">
              <w:rPr/>
              <w:t>, there are ten standards</w:t>
            </w:r>
            <w:r w:rsidR="36CA871F">
              <w:rPr/>
              <w:t xml:space="preserve"> </w:t>
            </w:r>
            <w:r w:rsidR="6BDCA747">
              <w:rPr/>
              <w:t>which every developer will be expected to follow.</w:t>
            </w:r>
            <w:r w:rsidR="7BC490FA">
              <w:rPr/>
              <w:t xml:space="preserve"> Other standards exist for different languages, </w:t>
            </w:r>
            <w:r w:rsidR="36B6E66A">
              <w:rPr/>
              <w:t xml:space="preserve">but this policy only covers C++ </w:t>
            </w:r>
            <w:proofErr w:type="gramStart"/>
            <w:r w:rsidR="36B6E66A">
              <w:rPr/>
              <w:t>at the moment</w:t>
            </w:r>
            <w:proofErr w:type="gramEnd"/>
            <w:r w:rsidR="36B6E66A">
              <w:rPr/>
              <w:t>.</w:t>
            </w:r>
            <w:r w:rsidR="7864934B">
              <w:rPr/>
              <w:t xml:space="preserve"> There are more standards and security rules for C++ that can be found online, but for the sake of simplicity, this policy includes ten that are most relevant to the </w:t>
            </w:r>
            <w:r w:rsidR="3955F6F4">
              <w:rPr/>
              <w:t xml:space="preserve">software development </w:t>
            </w:r>
            <w:r w:rsidR="7864934B">
              <w:rPr/>
              <w:t>processes at Green Pace. Detailed information about each of the standards, including code snippets, can be found in the security policy.</w:t>
            </w:r>
          </w:p>
          <w:p w:rsidRPr="007D553D" w:rsidR="00177915" w:rsidP="73D2260D" w:rsidRDefault="007D553D" w14:paraId="09EDA168" wp14:textId="3DBF1B1B">
            <w:pPr>
              <w:pStyle w:val="Normal"/>
              <w:suppressAutoHyphens/>
            </w:pPr>
          </w:p>
          <w:p w:rsidRPr="007D553D" w:rsidR="00177915" w:rsidP="73D2260D" w:rsidRDefault="007D553D" w14:paraId="0C213146" wp14:textId="24E33D7A">
            <w:pPr>
              <w:pStyle w:val="Normal"/>
              <w:suppressAutoHyphens/>
            </w:pPr>
            <w:r w:rsidR="7864934B">
              <w:rPr/>
              <w:t xml:space="preserve">STD-001-CPP: Never qualify a reference type with const or volatile. </w:t>
            </w:r>
          </w:p>
          <w:p w:rsidRPr="007D553D" w:rsidR="00177915" w:rsidP="73D2260D" w:rsidRDefault="007D553D" w14:paraId="12CA3843" wp14:textId="4A573737">
            <w:pPr>
              <w:pStyle w:val="Normal"/>
              <w:suppressAutoHyphens/>
            </w:pPr>
            <w:r w:rsidR="7864934B">
              <w:rPr/>
              <w:t xml:space="preserve"> </w:t>
            </w:r>
          </w:p>
          <w:p w:rsidRPr="007D553D" w:rsidR="00177915" w:rsidP="73D2260D" w:rsidRDefault="007D553D" w14:paraId="0789A90B" wp14:textId="38424B88">
            <w:pPr>
              <w:pStyle w:val="Normal"/>
              <w:suppressAutoHyphens/>
            </w:pPr>
            <w:r w:rsidR="7864934B">
              <w:rPr/>
              <w:t xml:space="preserve">STD-002-CPP: Copy operations must not mutate the source object. </w:t>
            </w:r>
          </w:p>
          <w:p w:rsidRPr="007D553D" w:rsidR="00177915" w:rsidP="73D2260D" w:rsidRDefault="007D553D" w14:paraId="5778481E" wp14:textId="2EA77528">
            <w:pPr>
              <w:pStyle w:val="Normal"/>
              <w:suppressAutoHyphens/>
            </w:pPr>
            <w:r w:rsidR="7864934B">
              <w:rPr/>
              <w:t xml:space="preserve"> </w:t>
            </w:r>
          </w:p>
          <w:p w:rsidRPr="007D553D" w:rsidR="00177915" w:rsidP="73D2260D" w:rsidRDefault="007D553D" w14:paraId="01E8D6ED" wp14:textId="20645FAD">
            <w:pPr>
              <w:pStyle w:val="Normal"/>
              <w:suppressAutoHyphens/>
            </w:pPr>
            <w:r w:rsidR="7864934B">
              <w:rPr/>
              <w:t xml:space="preserve">STD-003-CPP: Guarantee that storage for strings has sufficient space for character data and the null terminator. </w:t>
            </w:r>
          </w:p>
          <w:p w:rsidRPr="007D553D" w:rsidR="00177915" w:rsidP="73D2260D" w:rsidRDefault="007D553D" w14:paraId="4BB4337D" wp14:textId="36372CBA">
            <w:pPr>
              <w:pStyle w:val="Normal"/>
              <w:suppressAutoHyphens/>
            </w:pPr>
            <w:r w:rsidR="7864934B">
              <w:rPr/>
              <w:t xml:space="preserve"> </w:t>
            </w:r>
          </w:p>
          <w:p w:rsidRPr="007D553D" w:rsidR="00177915" w:rsidP="73D2260D" w:rsidRDefault="007D553D" w14:paraId="2E8B8F58" wp14:textId="615BF399">
            <w:pPr>
              <w:pStyle w:val="Normal"/>
              <w:suppressAutoHyphens/>
            </w:pPr>
            <w:r w:rsidR="7864934B">
              <w:rPr/>
              <w:t xml:space="preserve">STD-004-CPP: Sanitize data passed to complex subsystems. </w:t>
            </w:r>
          </w:p>
          <w:p w:rsidRPr="007D553D" w:rsidR="00177915" w:rsidP="73D2260D" w:rsidRDefault="007D553D" w14:paraId="73AC7B0F" wp14:textId="5639D62F">
            <w:pPr>
              <w:pStyle w:val="Normal"/>
              <w:suppressAutoHyphens/>
            </w:pPr>
            <w:r w:rsidR="7864934B">
              <w:rPr/>
              <w:t xml:space="preserve"> </w:t>
            </w:r>
          </w:p>
          <w:p w:rsidRPr="007D553D" w:rsidR="00177915" w:rsidP="73D2260D" w:rsidRDefault="007D553D" w14:paraId="4BB2B3F0" wp14:textId="62B1173B">
            <w:pPr>
              <w:pStyle w:val="Normal"/>
              <w:suppressAutoHyphens/>
            </w:pPr>
            <w:r w:rsidR="7864934B">
              <w:rPr/>
              <w:t xml:space="preserve">STD-005-CPP: Do not access freed memory. </w:t>
            </w:r>
          </w:p>
          <w:p w:rsidRPr="007D553D" w:rsidR="00177915" w:rsidP="73D2260D" w:rsidRDefault="007D553D" w14:paraId="2F34ECB5" wp14:textId="2136EC5E">
            <w:pPr>
              <w:pStyle w:val="Normal"/>
              <w:suppressAutoHyphens/>
            </w:pPr>
            <w:r w:rsidR="7864934B">
              <w:rPr/>
              <w:t xml:space="preserve"> </w:t>
            </w:r>
          </w:p>
          <w:p w:rsidRPr="007D553D" w:rsidR="00177915" w:rsidP="73D2260D" w:rsidRDefault="007D553D" w14:paraId="7371F338" wp14:textId="3509F186">
            <w:pPr>
              <w:pStyle w:val="Normal"/>
              <w:suppressAutoHyphens/>
            </w:pPr>
            <w:r w:rsidR="7864934B">
              <w:rPr/>
              <w:t xml:space="preserve">STD-006-CPP: Assert liberally. </w:t>
            </w:r>
          </w:p>
          <w:p w:rsidRPr="007D553D" w:rsidR="00177915" w:rsidP="73D2260D" w:rsidRDefault="007D553D" w14:paraId="37291CB9" wp14:textId="2A35FC52">
            <w:pPr>
              <w:pStyle w:val="Normal"/>
              <w:suppressAutoHyphens/>
            </w:pPr>
            <w:r w:rsidR="7864934B">
              <w:rPr/>
              <w:t xml:space="preserve"> </w:t>
            </w:r>
          </w:p>
          <w:p w:rsidRPr="007D553D" w:rsidR="00177915" w:rsidP="73D2260D" w:rsidRDefault="007D553D" w14:paraId="02A73DCF" wp14:textId="30039D5D">
            <w:pPr>
              <w:pStyle w:val="Normal"/>
              <w:suppressAutoHyphens/>
            </w:pPr>
            <w:r w:rsidR="7864934B">
              <w:rPr/>
              <w:t xml:space="preserve">STD-007-CPP: Handle all exceptions. </w:t>
            </w:r>
          </w:p>
          <w:p w:rsidRPr="007D553D" w:rsidR="00177915" w:rsidP="73D2260D" w:rsidRDefault="007D553D" w14:paraId="2D012149" wp14:textId="776EE5EB">
            <w:pPr>
              <w:pStyle w:val="Normal"/>
              <w:suppressAutoHyphens/>
            </w:pPr>
            <w:r w:rsidR="7864934B">
              <w:rPr/>
              <w:t xml:space="preserve"> </w:t>
            </w:r>
          </w:p>
          <w:p w:rsidRPr="007D553D" w:rsidR="00177915" w:rsidP="73D2260D" w:rsidRDefault="007D553D" w14:paraId="3EA97681" wp14:textId="035C498F">
            <w:pPr>
              <w:pStyle w:val="Normal"/>
              <w:suppressAutoHyphens/>
            </w:pPr>
            <w:r w:rsidR="7864934B">
              <w:rPr/>
              <w:t xml:space="preserve">STD-008-CPP: Do not read uninitialized memory. </w:t>
            </w:r>
          </w:p>
          <w:p w:rsidRPr="007D553D" w:rsidR="00177915" w:rsidP="73D2260D" w:rsidRDefault="007D553D" w14:paraId="7FB3C489" wp14:textId="2BA9D7E2">
            <w:pPr>
              <w:pStyle w:val="Normal"/>
              <w:suppressAutoHyphens/>
            </w:pPr>
            <w:r w:rsidR="7864934B">
              <w:rPr/>
              <w:t xml:space="preserve"> </w:t>
            </w:r>
          </w:p>
          <w:p w:rsidRPr="007D553D" w:rsidR="00177915" w:rsidP="73D2260D" w:rsidRDefault="007D553D" w14:paraId="6A4997A7" wp14:textId="0D665637">
            <w:pPr>
              <w:pStyle w:val="Normal"/>
              <w:suppressAutoHyphens/>
            </w:pPr>
            <w:r w:rsidR="7864934B">
              <w:rPr/>
              <w:t xml:space="preserve">STD-009-CPP: Do not modify the standard namespaces. </w:t>
            </w:r>
          </w:p>
          <w:p w:rsidRPr="007D553D" w:rsidR="00177915" w:rsidP="73D2260D" w:rsidRDefault="007D553D" w14:paraId="50B21FD6" wp14:textId="7BF33E50">
            <w:pPr>
              <w:pStyle w:val="Normal"/>
              <w:suppressAutoHyphens/>
            </w:pPr>
            <w:r w:rsidR="7864934B">
              <w:rPr/>
              <w:t xml:space="preserve"> </w:t>
            </w:r>
          </w:p>
          <w:p w:rsidRPr="007D553D" w:rsidR="00177915" w:rsidP="73D2260D" w:rsidRDefault="007D553D" w14:paraId="54976F46" wp14:textId="7084CDB6">
            <w:pPr>
              <w:pStyle w:val="Normal"/>
              <w:suppressAutoHyphens/>
            </w:pPr>
            <w:r w:rsidR="7864934B">
              <w:rPr/>
              <w:t>STD-010-CPP: Prefer special member functions and overloaded operators to C Standard Library functions.</w:t>
            </w:r>
          </w:p>
        </w:tc>
      </w:tr>
      <w:tr xmlns:wp14="http://schemas.microsoft.com/office/word/2010/wordml" w:rsidRPr="007D553D" w:rsidR="00177915" w:rsidTr="73D2260D" w14:paraId="3469C455" wp14:textId="77777777">
        <w:trPr>
          <w:trHeight w:val="1373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29B4EA11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  <w:tcMar/>
          </w:tcPr>
          <w:p w:rsidRPr="007D553D" w:rsidR="00177915" w:rsidP="73D2260D" w:rsidRDefault="007D553D" w14:paraId="70FC4A64" wp14:textId="00C85F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38BE73">
              <w:rPr/>
              <w:t xml:space="preserve">There are three categories in which encrypted data can be </w:t>
            </w:r>
            <w:r w:rsidR="3AA46FCC">
              <w:rPr/>
              <w:t xml:space="preserve">described. In flight, at rest, and in use. Encryption in flight means that data </w:t>
            </w:r>
            <w:r w:rsidR="2EDFA748">
              <w:rPr/>
              <w:t>gets</w:t>
            </w:r>
            <w:r w:rsidR="3AA46FCC">
              <w:rPr/>
              <w:t xml:space="preserve"> encrypted before it is transmitted, then </w:t>
            </w:r>
            <w:r w:rsidR="7AEA4EAF">
              <w:rPr/>
              <w:t>decrypted once it reaches the destination. This is one of the most common use cases for encryption because</w:t>
            </w:r>
            <w:r w:rsidR="5F025DFA">
              <w:rPr/>
              <w:t xml:space="preserve"> data sent across the internet is inherently risky. </w:t>
            </w:r>
            <w:r w:rsidR="26470D69">
              <w:rPr/>
              <w:t>Almost everyone who</w:t>
            </w:r>
            <w:r w:rsidR="26470D69">
              <w:rPr/>
              <w:t xml:space="preserve"> use</w:t>
            </w:r>
            <w:r w:rsidR="7BF881DE">
              <w:rPr/>
              <w:t>s</w:t>
            </w:r>
            <w:r w:rsidR="26470D69">
              <w:rPr/>
              <w:t xml:space="preserve"> the internet has visited a </w:t>
            </w:r>
            <w:r w:rsidR="5F025DFA">
              <w:rPr/>
              <w:t>website</w:t>
            </w:r>
            <w:r w:rsidR="3771386B">
              <w:rPr/>
              <w:t xml:space="preserve"> that</w:t>
            </w:r>
            <w:r w:rsidR="5F025DFA">
              <w:rPr/>
              <w:t xml:space="preserve"> uses HTTPS</w:t>
            </w:r>
            <w:r w:rsidR="1979E0A1">
              <w:rPr/>
              <w:t xml:space="preserve"> to create a secure connection between client devices and the servers</w:t>
            </w:r>
            <w:r w:rsidR="4BED00C1">
              <w:rPr/>
              <w:t>, so that sensitive data such as credit card num</w:t>
            </w:r>
            <w:r w:rsidR="1AF10D8F">
              <w:rPr/>
              <w:t xml:space="preserve">bers </w:t>
            </w:r>
            <w:r w:rsidR="476A93D8">
              <w:rPr/>
              <w:t xml:space="preserve">or </w:t>
            </w:r>
            <w:r w:rsidR="1AF10D8F">
              <w:rPr/>
              <w:t>passwords can be sent safely.</w:t>
            </w:r>
            <w:r w:rsidR="62A485A7">
              <w:rPr/>
              <w:t xml:space="preserve"> Secure connections should always be used whenever possible, and sensitive data should n</w:t>
            </w:r>
            <w:r w:rsidR="761D4DFA">
              <w:rPr/>
              <w:t>ever</w:t>
            </w:r>
            <w:r w:rsidR="62A485A7">
              <w:rPr/>
              <w:t xml:space="preserve"> be sent over insecure connections if a secure connection is not possible.</w:t>
            </w:r>
          </w:p>
          <w:p w:rsidRPr="007D553D" w:rsidR="00177915" w:rsidP="73D2260D" w:rsidRDefault="007D553D" w14:paraId="07296750" wp14:textId="1DF216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7D553D" w:rsidR="00177915" w:rsidP="73D2260D" w:rsidRDefault="007D553D" w14:paraId="56C33B2C" wp14:textId="179A01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AF10D8F">
              <w:rPr/>
              <w:t xml:space="preserve">Encryption at rest refers to data that’s being stored, for example on a hard disk, solid state drive, </w:t>
            </w:r>
            <w:r w:rsidR="5689F952">
              <w:rPr/>
              <w:t>or thumb drive.</w:t>
            </w:r>
            <w:r w:rsidR="797D34B5">
              <w:rPr/>
              <w:t xml:space="preserve"> All data at rest should</w:t>
            </w:r>
            <w:r w:rsidR="4B0C5E9B">
              <w:rPr/>
              <w:t xml:space="preserve"> be encrypted, which can be achieved using tools provided by the operating system, or through downloaded </w:t>
            </w:r>
            <w:r w:rsidR="4B0C5E9B">
              <w:rPr/>
              <w:t>software.</w:t>
            </w:r>
          </w:p>
          <w:p w:rsidRPr="007D553D" w:rsidR="00177915" w:rsidP="73D2260D" w:rsidRDefault="007D553D" w14:paraId="38252223" wp14:textId="558D55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7D553D" w:rsidR="00177915" w:rsidP="73D2260D" w:rsidRDefault="007D553D" w14:paraId="0798AD4C" wp14:textId="75142B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B0C5E9B">
              <w:rPr/>
              <w:t>Encryption in use means data is en</w:t>
            </w:r>
            <w:r w:rsidR="3E2B3B07">
              <w:rPr/>
              <w:t xml:space="preserve">crypted when it is loaded into memory. There aren’t many practical use cases for encryption in use, since encryption in </w:t>
            </w:r>
            <w:r w:rsidR="40D3378A">
              <w:rPr/>
              <w:t>flight can usually achieve the same outcome</w:t>
            </w:r>
            <w:r w:rsidR="504860D5">
              <w:rPr/>
              <w:t xml:space="preserve"> for a fraction of the cost</w:t>
            </w:r>
            <w:r w:rsidR="40D3378A">
              <w:rPr/>
              <w:t xml:space="preserve">. Specialized hardware can provide secure execution environments, such as SGX which is made by Intel. </w:t>
            </w:r>
            <w:r w:rsidR="64ACF396">
              <w:rPr/>
              <w:t>Solutions for encryption in use should be evaluated on an as-needed basis.</w:t>
            </w:r>
          </w:p>
        </w:tc>
      </w:tr>
      <w:tr xmlns:wp14="http://schemas.microsoft.com/office/word/2010/wordml" w:rsidRPr="007D553D" w:rsidR="00177915" w:rsidTr="73D2260D" w14:paraId="0736858A" wp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75697EEC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  <w:tcMar/>
          </w:tcPr>
          <w:p w:rsidRPr="007D553D" w:rsidR="00177915" w:rsidP="73D2260D" w:rsidRDefault="007D553D" w14:paraId="340F161D" wp14:textId="4DFBD2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AEF739">
              <w:rPr/>
              <w:t xml:space="preserve">The Triple-A framework refers to three components of a user management system that when used properly, provide the greatest level of </w:t>
            </w:r>
            <w:r w:rsidR="0EED4607">
              <w:rPr/>
              <w:t xml:space="preserve">security. The components include authentication, authorization, and accounting. Authentication refers to unique username and password combinations, which </w:t>
            </w:r>
            <w:r w:rsidR="0F717829">
              <w:rPr/>
              <w:t xml:space="preserve">provide the users with initial access to a system. The </w:t>
            </w:r>
            <w:r w:rsidR="14D6DAA7">
              <w:rPr/>
              <w:t xml:space="preserve">rules </w:t>
            </w:r>
            <w:r w:rsidR="0F717829">
              <w:rPr/>
              <w:t>for passwords should include</w:t>
            </w:r>
            <w:r w:rsidR="70FD1E9A">
              <w:rPr/>
              <w:t xml:space="preserve"> </w:t>
            </w:r>
            <w:r w:rsidR="6CD64FC5">
              <w:rPr/>
              <w:t xml:space="preserve">a </w:t>
            </w:r>
            <w:r w:rsidR="2AE4BCA7">
              <w:rPr/>
              <w:t>minimum strength threshold</w:t>
            </w:r>
            <w:r w:rsidR="70FD1E9A">
              <w:rPr/>
              <w:t xml:space="preserve">, automatic expiration every 60 </w:t>
            </w:r>
            <w:r w:rsidR="70FD1E9A">
              <w:rPr/>
              <w:t>days</w:t>
            </w:r>
            <w:r w:rsidR="5D3B42F6">
              <w:rPr/>
              <w:t>,</w:t>
            </w:r>
            <w:r w:rsidR="70FD1E9A">
              <w:rPr/>
              <w:t xml:space="preserve"> </w:t>
            </w:r>
            <w:r w:rsidR="5D3B42F6">
              <w:rPr/>
              <w:t>and no reuse of old passwords.</w:t>
            </w:r>
          </w:p>
          <w:p w:rsidRPr="007D553D" w:rsidR="00177915" w:rsidP="73D2260D" w:rsidRDefault="007D553D" w14:paraId="47749F3F" wp14:textId="285FB2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7D553D" w:rsidR="00177915" w:rsidP="73D2260D" w:rsidRDefault="007D553D" w14:paraId="7BB9E9BA" wp14:textId="598CBF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D3B42F6">
              <w:rPr/>
              <w:t xml:space="preserve">Authorization refers to the permissions that users </w:t>
            </w:r>
            <w:r w:rsidR="537BBFD8">
              <w:rPr/>
              <w:t xml:space="preserve">may be granted </w:t>
            </w:r>
            <w:r w:rsidR="5D3B42F6">
              <w:rPr/>
              <w:t>to perform certain actions</w:t>
            </w:r>
            <w:r w:rsidR="32CE3271">
              <w:rPr/>
              <w:t>. One of the principles to be applied here is “default deny” which is that newly created users have zero permissions, which must be granted explicitly on an individual basis</w:t>
            </w:r>
            <w:r w:rsidR="7B6D74F7">
              <w:rPr/>
              <w:t xml:space="preserve">. This ensures that only users with a business requirement </w:t>
            </w:r>
            <w:r w:rsidR="71E1E04C">
              <w:rPr/>
              <w:t>to perform an action as part of their job will be allowed to do so, which makes which makes it easier to audit the history of a system.</w:t>
            </w:r>
          </w:p>
          <w:p w:rsidRPr="007D553D" w:rsidR="00177915" w:rsidP="73D2260D" w:rsidRDefault="007D553D" w14:paraId="60BB929C" wp14:textId="598CBF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7D553D" w:rsidR="00177915" w:rsidP="73D2260D" w:rsidRDefault="007D553D" w14:paraId="66224E44" wp14:textId="14FECC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E1E04C">
              <w:rPr/>
              <w:t xml:space="preserve">The last point is accounting, which refers to maintaining a log of every </w:t>
            </w:r>
            <w:r w:rsidR="43365688">
              <w:rPr/>
              <w:t>system interaction</w:t>
            </w:r>
            <w:r w:rsidR="2288C921">
              <w:rPr/>
              <w:t>. A log</w:t>
            </w:r>
            <w:r w:rsidR="71E1E04C">
              <w:rPr/>
              <w:t xml:space="preserve"> </w:t>
            </w:r>
            <w:r w:rsidR="0B86D2B3">
              <w:rPr/>
              <w:t xml:space="preserve">may </w:t>
            </w:r>
            <w:r w:rsidR="71E1E04C">
              <w:rPr/>
              <w:t>includ</w:t>
            </w:r>
            <w:r w:rsidR="4E09B3AA">
              <w:rPr/>
              <w:t>e</w:t>
            </w:r>
            <w:r w:rsidR="71E1E04C">
              <w:rPr/>
              <w:t xml:space="preserve"> the name </w:t>
            </w:r>
            <w:r w:rsidR="39FB6D38">
              <w:rPr/>
              <w:t xml:space="preserve">and IP address </w:t>
            </w:r>
            <w:r w:rsidR="71E1E04C">
              <w:rPr/>
              <w:t>of the user</w:t>
            </w:r>
            <w:r w:rsidR="5E2D731E">
              <w:rPr/>
              <w:t xml:space="preserve">, the action, </w:t>
            </w:r>
            <w:r w:rsidR="560223D0">
              <w:rPr/>
              <w:t xml:space="preserve">and a timestamp of when the action was performed. A log makes all users accountable for their actions, since only logged-in users can </w:t>
            </w:r>
            <w:r w:rsidR="7BF8D777">
              <w:rPr/>
              <w:t>interact with the system.</w:t>
            </w:r>
          </w:p>
        </w:tc>
      </w:tr>
      <w:tr xmlns:wp14="http://schemas.microsoft.com/office/word/2010/wordml" w:rsidRPr="007D553D" w:rsidR="00177915" w:rsidTr="73D2260D" w14:paraId="27CC20D2" wp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44B0A208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8</w:t>
            </w:r>
          </w:p>
        </w:tc>
        <w:tc>
          <w:tcPr>
            <w:tcW w:w="7455" w:type="dxa"/>
            <w:tcMar/>
          </w:tcPr>
          <w:p w:rsidRPr="007D553D" w:rsidR="00177915" w:rsidP="73D2260D" w:rsidRDefault="007D553D" w14:paraId="780EC164" wp14:textId="0C6DB6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5F2D9E7">
              <w:rPr/>
              <w:t xml:space="preserve">Unit testing is a part of code quality and avoiding vulnerabilities. Unit tests can </w:t>
            </w:r>
            <w:r w:rsidR="1D9740D1">
              <w:rPr/>
              <w:t>include assertions which check for common code smells such as accessing freed memory.</w:t>
            </w:r>
            <w:r w:rsidR="6E35E4DB">
              <w:rPr/>
              <w:t xml:space="preserve"> One unit test framework for C++ is called Google Test, and can be installed in several different IDEs.</w:t>
            </w:r>
            <w:r w:rsidR="750B43E9">
              <w:rPr/>
              <w:t xml:space="preserve"> One future standard that can be implemented for unit tests is a minimum level of test coverage, which is a percentage value indicating how m</w:t>
            </w:r>
            <w:r w:rsidR="4E7B5240">
              <w:rPr/>
              <w:t xml:space="preserve">uch of the source code logic is covered by a test. Once a coverage </w:t>
            </w:r>
            <w:r w:rsidR="13029BB4">
              <w:rPr/>
              <w:t>standard is implemented and reached, then all new code must be accompanied by a test in order to keep the coverage from declining below the minimu</w:t>
            </w:r>
            <w:r w:rsidR="1386CDD6">
              <w:rPr/>
              <w:t>m level.</w:t>
            </w:r>
          </w:p>
        </w:tc>
      </w:tr>
      <w:tr xmlns:wp14="http://schemas.microsoft.com/office/word/2010/wordml" w:rsidRPr="007D553D" w:rsidR="00177915" w:rsidTr="73D2260D" w14:paraId="521BAD85" wp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2B2B7304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  <w:tcMar/>
          </w:tcPr>
          <w:p w:rsidRPr="007D553D" w:rsidR="00177915" w:rsidP="73D2260D" w:rsidRDefault="007D553D" w14:paraId="1132BC5B" wp14:textId="3D5BCC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0355A2C">
              <w:rPr/>
              <w:t>This is a summary of the software development process, which you’ll notice is cyclical, because produc</w:t>
            </w:r>
            <w:r w:rsidR="45E2B861">
              <w:rPr/>
              <w:t xml:space="preserve">tion </w:t>
            </w:r>
            <w:r w:rsidR="50355A2C">
              <w:rPr/>
              <w:t xml:space="preserve">software systems are dynamic </w:t>
            </w:r>
            <w:r w:rsidR="50355A2C">
              <w:rPr/>
              <w:t>entities</w:t>
            </w:r>
            <w:r w:rsidR="7FA58464">
              <w:rPr/>
              <w:t xml:space="preserve"> that must be continuously maintained, at the risk of introducing a defect or vulnerability</w:t>
            </w:r>
            <w:r w:rsidR="0830CDFC">
              <w:rPr/>
              <w:t xml:space="preserve">. </w:t>
            </w:r>
            <w:proofErr w:type="spellStart"/>
            <w:r w:rsidR="0830CDFC">
              <w:rPr/>
              <w:t>DevSecOps</w:t>
            </w:r>
            <w:proofErr w:type="spellEnd"/>
            <w:r w:rsidR="0830CDFC">
              <w:rPr/>
              <w:t xml:space="preserve"> sits in the middle of this diagram because it is integral to both the planning and production stages of software </w:t>
            </w:r>
            <w:r w:rsidR="0830CDFC">
              <w:rPr/>
              <w:t>development</w:t>
            </w:r>
            <w:r w:rsidR="5BA90E98">
              <w:rPr/>
              <w:t>.</w:t>
            </w:r>
          </w:p>
        </w:tc>
      </w:tr>
      <w:tr xmlns:wp14="http://schemas.microsoft.com/office/word/2010/wordml" w:rsidRPr="007D553D" w:rsidR="00177915" w:rsidTr="73D2260D" w14:paraId="71DFB38E" wp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5D369756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  <w:tcMar/>
          </w:tcPr>
          <w:p w:rsidRPr="007D553D" w:rsidR="00177915" w:rsidP="73D2260D" w:rsidRDefault="007D553D" w14:paraId="214BCE7A" wp14:textId="79B0A8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7D682EA">
              <w:rPr/>
              <w:t xml:space="preserve">While </w:t>
            </w:r>
            <w:proofErr w:type="spellStart"/>
            <w:r w:rsidR="37D682EA">
              <w:rPr/>
              <w:t>DevSecOps</w:t>
            </w:r>
            <w:proofErr w:type="spellEnd"/>
            <w:r w:rsidR="37D682EA">
              <w:rPr/>
              <w:t xml:space="preserve"> requires an active team of professionals who can predict and respond to threats</w:t>
            </w:r>
            <w:r w:rsidR="270D0342">
              <w:rPr/>
              <w:t>, much of the heavy lifting is done by automated static analysis tools. CPP Check and SonarQube are some of</w:t>
            </w:r>
            <w:r w:rsidR="106F3CA8">
              <w:rPr/>
              <w:t xml:space="preserve"> the most widely used tools in the </w:t>
            </w:r>
            <w:r w:rsidR="270D0342">
              <w:rPr/>
              <w:t xml:space="preserve">industry </w:t>
            </w:r>
            <w:r w:rsidR="44A06DCD">
              <w:rPr/>
              <w:t>for detecting vulnerable code, and m</w:t>
            </w:r>
            <w:r w:rsidR="4F1421D9">
              <w:rPr/>
              <w:t>any IDEs can provide instant code fixes for many defects.</w:t>
            </w:r>
          </w:p>
        </w:tc>
      </w:tr>
      <w:tr xmlns:wp14="http://schemas.microsoft.com/office/word/2010/wordml" w:rsidRPr="007D553D" w:rsidR="00177915" w:rsidTr="73D2260D" w14:paraId="5667A093" wp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4737E36C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  <w:tcMar/>
          </w:tcPr>
          <w:p w:rsidRPr="007D553D" w:rsidR="00177915" w:rsidP="73D2260D" w:rsidRDefault="007D553D" w14:paraId="5D95CDB4" wp14:textId="79C79A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A4E33F">
              <w:rPr/>
              <w:t>There are risks of not having a security standard. The biggest risk is that if different standards are followed across the organization</w:t>
            </w:r>
            <w:r w:rsidR="43BE21FF">
              <w:rPr/>
              <w:t xml:space="preserve">, then the defense in depth strategy can’t be adhered to effectively because </w:t>
            </w:r>
            <w:r w:rsidR="78534063">
              <w:rPr/>
              <w:t xml:space="preserve">multiple standards </w:t>
            </w:r>
            <w:r w:rsidR="4341203B">
              <w:rPr/>
              <w:t>implemented in isolation are likely to be single-layered, and thus</w:t>
            </w:r>
            <w:r w:rsidR="6AC40CB0">
              <w:rPr/>
              <w:t xml:space="preserve"> have </w:t>
            </w:r>
            <w:r w:rsidR="3199F375">
              <w:rPr/>
              <w:t xml:space="preserve">nothing to fall back on. This puts the entire organization at risk because an attack </w:t>
            </w:r>
            <w:r w:rsidR="016903A9">
              <w:rPr/>
              <w:t xml:space="preserve">on one area could be duplicated to </w:t>
            </w:r>
            <w:r w:rsidR="2F023AEB">
              <w:rPr/>
              <w:t>another and</w:t>
            </w:r>
            <w:r w:rsidR="016903A9">
              <w:rPr/>
              <w:t xml:space="preserve"> could spiral out of control.</w:t>
            </w:r>
          </w:p>
          <w:p w:rsidRPr="007D553D" w:rsidR="00177915" w:rsidP="73D2260D" w:rsidRDefault="007D553D" w14:paraId="1272CFC5" wp14:textId="2A926D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7D553D" w:rsidR="00177915" w:rsidP="73D2260D" w:rsidRDefault="007D553D" w14:paraId="25B38146" wp14:textId="239C33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6903A9">
              <w:rPr/>
              <w:t xml:space="preserve">The benefits of a security policy are primarily that a </w:t>
            </w:r>
            <w:r w:rsidR="6790D54F">
              <w:rPr/>
              <w:t xml:space="preserve">single </w:t>
            </w:r>
            <w:r w:rsidR="016903A9">
              <w:rPr/>
              <w:t xml:space="preserve">standard </w:t>
            </w:r>
            <w:r w:rsidR="016903A9">
              <w:rPr/>
              <w:t>is</w:t>
            </w:r>
            <w:r w:rsidR="6AC40CB0">
              <w:rPr/>
              <w:t xml:space="preserve"> </w:t>
            </w:r>
            <w:r w:rsidR="63947A93">
              <w:rPr/>
              <w:t xml:space="preserve">easier to understand and maintain by the developers, and that it keeps the company safer by </w:t>
            </w:r>
            <w:r w:rsidR="532C428E">
              <w:rPr/>
              <w:t xml:space="preserve">combining the efforts of employees in different departments and raising the level of company awareness of </w:t>
            </w:r>
            <w:r w:rsidR="6ABD03F4">
              <w:rPr/>
              <w:t>security best practices.</w:t>
            </w:r>
          </w:p>
        </w:tc>
      </w:tr>
      <w:tr xmlns:wp14="http://schemas.microsoft.com/office/word/2010/wordml" w:rsidRPr="007D553D" w:rsidR="00177915" w:rsidTr="73D2260D" w14:paraId="2F0B8885" wp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4B73E586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  <w:tcMar/>
          </w:tcPr>
          <w:p w:rsidRPr="007D553D" w:rsidR="00177915" w:rsidP="73D2260D" w:rsidRDefault="007D553D" w14:paraId="3D43DDBE" wp14:textId="22DEA1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95B9D6">
              <w:rPr/>
              <w:t xml:space="preserve">There are some areas which this policy does not </w:t>
            </w:r>
            <w:r w:rsidR="1091100B">
              <w:rPr/>
              <w:t>cover and</w:t>
            </w:r>
            <w:r w:rsidR="0195B9D6">
              <w:rPr/>
              <w:t xml:space="preserve"> should be investigated in future versions of this policy.</w:t>
            </w:r>
          </w:p>
          <w:p w:rsidRPr="007D553D" w:rsidR="00177915" w:rsidP="73D2260D" w:rsidRDefault="007D553D" w14:paraId="7C7817AC" wp14:textId="5D27F3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7D553D" w:rsidR="00177915" w:rsidP="73D2260D" w:rsidRDefault="007D553D" w14:paraId="77E43F48" wp14:textId="7F262F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95B9D6">
              <w:rPr/>
              <w:t>The first is physical security, which refers to the physical presence of staff and guests in the office where company hardware is located.</w:t>
            </w:r>
            <w:r w:rsidR="3E016B2E">
              <w:rPr/>
              <w:t xml:space="preserve"> One attack vector not discussed is </w:t>
            </w:r>
            <w:r w:rsidR="3D003748">
              <w:rPr/>
              <w:t xml:space="preserve">not software, but </w:t>
            </w:r>
            <w:r w:rsidR="3E016B2E">
              <w:rPr/>
              <w:t xml:space="preserve">people, </w:t>
            </w:r>
            <w:r w:rsidR="1DF829FE">
              <w:rPr/>
              <w:t>using</w:t>
            </w:r>
            <w:r w:rsidR="3E016B2E">
              <w:rPr/>
              <w:t xml:space="preserve"> social engineering and other psychological hacks people </w:t>
            </w:r>
            <w:r w:rsidR="4D7CBA60">
              <w:rPr/>
              <w:t>use to</w:t>
            </w:r>
            <w:r w:rsidR="4C8CBDAA">
              <w:rPr/>
              <w:t xml:space="preserve"> trick people into giving up passwords or letting them into a building to which they are not authorized. Best practices on physical security should be investigated</w:t>
            </w:r>
            <w:r w:rsidR="6FF277A5">
              <w:rPr/>
              <w:t xml:space="preserve"> and added to the policy within a reasonable timeframe.</w:t>
            </w:r>
          </w:p>
          <w:p w:rsidRPr="007D553D" w:rsidR="00177915" w:rsidP="73D2260D" w:rsidRDefault="007D553D" w14:paraId="60A5262E" wp14:textId="12B356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7D553D" w:rsidR="00177915" w:rsidP="73D2260D" w:rsidRDefault="007D553D" w14:paraId="483F57DB" wp14:textId="6A95BB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F277A5">
              <w:rPr/>
              <w:t xml:space="preserve">The second area is other programming languages. This policy </w:t>
            </w:r>
            <w:r w:rsidR="3E776436">
              <w:rPr/>
              <w:t xml:space="preserve">currently </w:t>
            </w:r>
            <w:r w:rsidR="6FF277A5">
              <w:rPr/>
              <w:t xml:space="preserve">only covers </w:t>
            </w:r>
            <w:r w:rsidR="6FF277A5">
              <w:rPr/>
              <w:t xml:space="preserve">C++, </w:t>
            </w:r>
            <w:r w:rsidR="1ACBE65A">
              <w:rPr/>
              <w:t>but</w:t>
            </w:r>
            <w:r w:rsidR="6FF277A5">
              <w:rPr/>
              <w:t xml:space="preserve"> should eventually extend to all languages used by the company, which can include C, Java, Python, JavaScript, or others</w:t>
            </w:r>
            <w:r w:rsidR="3A4A01AB">
              <w:rPr/>
              <w:t>.</w:t>
            </w:r>
          </w:p>
        </w:tc>
      </w:tr>
      <w:tr xmlns:wp14="http://schemas.microsoft.com/office/word/2010/wordml" w:rsidRPr="007D553D" w:rsidR="00177915" w:rsidTr="73D2260D" w14:paraId="54089166" wp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39F18D26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  <w:tcMar/>
          </w:tcPr>
          <w:p w:rsidRPr="007D553D" w:rsidR="00177915" w:rsidP="73D2260D" w:rsidRDefault="007D553D" w14:paraId="0F469EDA" wp14:textId="1728A8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B5F226">
              <w:rPr/>
              <w:t>To conclude this presentation, I would like to restate the top priorities moving forward for implementation of the security policy.</w:t>
            </w:r>
          </w:p>
          <w:p w:rsidRPr="007D553D" w:rsidR="00177915" w:rsidP="73D2260D" w:rsidRDefault="007D553D" w14:paraId="1A43201C" wp14:textId="23BF8B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7D553D" w:rsidR="00177915" w:rsidP="73D2260D" w:rsidRDefault="007D553D" w14:paraId="6991741C" wp14:textId="729132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B5F226">
              <w:rPr/>
              <w:t>Defense in depth is the primary focus of a successful implementation, as multiple layers</w:t>
            </w:r>
            <w:r w:rsidR="535B954E">
              <w:rPr/>
              <w:t xml:space="preserve"> of security will always be more effective than any single layer.</w:t>
            </w:r>
            <w:r w:rsidR="68445A31">
              <w:rPr/>
              <w:t xml:space="preserve"> Each department should investigate their own requirements for defense in depth.</w:t>
            </w:r>
          </w:p>
          <w:p w:rsidRPr="007D553D" w:rsidR="00177915" w:rsidP="73D2260D" w:rsidRDefault="007D553D" w14:paraId="77A69CB8" wp14:textId="3957A4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7D553D" w:rsidR="00177915" w:rsidP="73D2260D" w:rsidRDefault="007D553D" w14:paraId="1CD398AA" wp14:textId="38ACC9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445A31">
              <w:rPr/>
              <w:t>Automation pipelines should be set up within the current workflow to include static analysis on both source code and the networks.</w:t>
            </w:r>
          </w:p>
          <w:p w:rsidRPr="007D553D" w:rsidR="00177915" w:rsidP="73D2260D" w:rsidRDefault="007D553D" w14:paraId="14475296" wp14:textId="469A95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7D553D" w:rsidR="00177915" w:rsidP="73D2260D" w:rsidRDefault="007D553D" w14:paraId="2361F7DA" wp14:textId="6210032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445A31">
              <w:rPr/>
              <w:t>Unit testing should be a requirement for all new source code, and a minimum level of code coverage should be established and maintained.</w:t>
            </w:r>
          </w:p>
          <w:p w:rsidRPr="007D553D" w:rsidR="00177915" w:rsidP="73D2260D" w:rsidRDefault="007D553D" w14:paraId="1316BA51" wp14:textId="57D4A8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7D553D" w:rsidR="00177915" w:rsidP="73D2260D" w:rsidRDefault="007D553D" w14:paraId="36BCA96B" wp14:textId="61A002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445A31">
              <w:rPr/>
              <w:t>Finally, this security policy should be reviewed and updated every year to keep up with new technology</w:t>
            </w:r>
            <w:r w:rsidR="77AB4A62">
              <w:rPr/>
              <w:t xml:space="preserve"> and</w:t>
            </w:r>
            <w:r w:rsidR="68445A31">
              <w:rPr/>
              <w:t xml:space="preserve"> </w:t>
            </w:r>
            <w:r w:rsidR="355D34C8">
              <w:rPr/>
              <w:t xml:space="preserve">industry best practices, and to make </w:t>
            </w:r>
            <w:r w:rsidR="64D29DD6">
              <w:rPr/>
              <w:t>sure every developer understands the standards and the purpose behind them.</w:t>
            </w:r>
          </w:p>
        </w:tc>
      </w:tr>
      <w:tr xmlns:wp14="http://schemas.microsoft.com/office/word/2010/wordml" w:rsidRPr="007D553D" w:rsidR="00177915" w:rsidTr="73D2260D" w14:paraId="29366AC4" wp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4E1E336A" wp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  <w:tcMar/>
          </w:tcPr>
          <w:p w:rsidRPr="007D553D" w:rsidR="00177915" w:rsidP="73D2260D" w:rsidRDefault="007D553D" w14:paraId="67F83448" wp14:textId="54EF9A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04FCE4">
              <w:rPr/>
              <w:t xml:space="preserve">Thank you for your time and </w:t>
            </w:r>
            <w:r w:rsidR="1814BFF1">
              <w:rPr/>
              <w:t>enjoy the rest of your day</w:t>
            </w:r>
            <w:r w:rsidR="0104FCE4">
              <w:rPr/>
              <w:t>.</w:t>
            </w:r>
          </w:p>
        </w:tc>
      </w:tr>
    </w:tbl>
    <w:p xmlns:wp14="http://schemas.microsoft.com/office/word/2010/wordml" w:rsidRPr="007D553D" w:rsidR="00177915" w:rsidP="007D553D" w:rsidRDefault="00177915" w14:paraId="5DAB6C7B" wp14:textId="77777777">
      <w:pPr>
        <w:suppressAutoHyphens/>
        <w:spacing w:after="0" w:line="240" w:lineRule="auto"/>
        <w:rPr>
          <w:b/>
        </w:rPr>
      </w:pPr>
    </w:p>
    <w:sectPr w:rsidRPr="007D553D" w:rsidR="00177915">
      <w:headerReference w:type="default" r:id="rId1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E7B67" w:rsidP="007D553D" w:rsidRDefault="00BE7B67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E7B67" w:rsidP="007D553D" w:rsidRDefault="00BE7B67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E7B67" w:rsidP="007D553D" w:rsidRDefault="00BE7B67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E7B67" w:rsidP="007D553D" w:rsidRDefault="00BE7B67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7D553D" w:rsidP="007D553D" w:rsidRDefault="007D553D" w14:paraId="5A39BBE3" wp14:textId="77777777">
    <w:pPr>
      <w:pStyle w:val="Header"/>
      <w:suppressAutoHyphens/>
      <w:spacing w:after="200"/>
      <w:jc w:val="center"/>
    </w:pPr>
    <w:r>
      <w:rPr>
        <w:noProof/>
      </w:rPr>
      <w:drawing>
        <wp:inline xmlns:wp14="http://schemas.microsoft.com/office/word/2010/wordprocessingDrawing" distT="0" distB="0" distL="0" distR="0" wp14:anchorId="7CF33945" wp14:editId="19E903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15"/>
    <w:rsid w:val="00177915"/>
    <w:rsid w:val="00702C2F"/>
    <w:rsid w:val="007D553D"/>
    <w:rsid w:val="00A9C342"/>
    <w:rsid w:val="00B4E909"/>
    <w:rsid w:val="00BA25B9"/>
    <w:rsid w:val="00BE7B67"/>
    <w:rsid w:val="0104FCE4"/>
    <w:rsid w:val="016903A9"/>
    <w:rsid w:val="0195B9D6"/>
    <w:rsid w:val="024CA0B5"/>
    <w:rsid w:val="02EA9EC1"/>
    <w:rsid w:val="036CE658"/>
    <w:rsid w:val="03A781C9"/>
    <w:rsid w:val="043F7176"/>
    <w:rsid w:val="04986C0A"/>
    <w:rsid w:val="058C07BF"/>
    <w:rsid w:val="05C0FC64"/>
    <w:rsid w:val="060D6103"/>
    <w:rsid w:val="064D64C8"/>
    <w:rsid w:val="06A3F46B"/>
    <w:rsid w:val="06CF27B7"/>
    <w:rsid w:val="06F061DB"/>
    <w:rsid w:val="0744BECA"/>
    <w:rsid w:val="07458BEF"/>
    <w:rsid w:val="075371CA"/>
    <w:rsid w:val="0754820E"/>
    <w:rsid w:val="0775F522"/>
    <w:rsid w:val="07C2EAAA"/>
    <w:rsid w:val="0830CDFC"/>
    <w:rsid w:val="088ADE10"/>
    <w:rsid w:val="08F89D26"/>
    <w:rsid w:val="09435D07"/>
    <w:rsid w:val="09EE5CD0"/>
    <w:rsid w:val="0A4AAB1C"/>
    <w:rsid w:val="0B86D2B3"/>
    <w:rsid w:val="0BD2D887"/>
    <w:rsid w:val="0BF382FB"/>
    <w:rsid w:val="0BF66026"/>
    <w:rsid w:val="0C0B2D82"/>
    <w:rsid w:val="0C46E7A2"/>
    <w:rsid w:val="0C4C500A"/>
    <w:rsid w:val="0C570AA9"/>
    <w:rsid w:val="0D79082A"/>
    <w:rsid w:val="0D9B5997"/>
    <w:rsid w:val="0DBC4E74"/>
    <w:rsid w:val="0EED4607"/>
    <w:rsid w:val="0EFEDF8A"/>
    <w:rsid w:val="0F2B23BD"/>
    <w:rsid w:val="0F3729F8"/>
    <w:rsid w:val="0F717829"/>
    <w:rsid w:val="0F9C1C0F"/>
    <w:rsid w:val="0FC60F09"/>
    <w:rsid w:val="0FF4470E"/>
    <w:rsid w:val="106F3CA8"/>
    <w:rsid w:val="1091100B"/>
    <w:rsid w:val="10F470EB"/>
    <w:rsid w:val="110C2257"/>
    <w:rsid w:val="117F810D"/>
    <w:rsid w:val="11F7F7C4"/>
    <w:rsid w:val="12B292B9"/>
    <w:rsid w:val="13029BB4"/>
    <w:rsid w:val="1386CDD6"/>
    <w:rsid w:val="1419DCB9"/>
    <w:rsid w:val="14D6DAA7"/>
    <w:rsid w:val="14DD482B"/>
    <w:rsid w:val="15597A6D"/>
    <w:rsid w:val="15892A6A"/>
    <w:rsid w:val="15C6B61B"/>
    <w:rsid w:val="15C7CCDE"/>
    <w:rsid w:val="1636FA4F"/>
    <w:rsid w:val="16EBE1DF"/>
    <w:rsid w:val="1814BFF1"/>
    <w:rsid w:val="18B5C20B"/>
    <w:rsid w:val="18D6998A"/>
    <w:rsid w:val="196BFD20"/>
    <w:rsid w:val="1979E0A1"/>
    <w:rsid w:val="1AC3B9AE"/>
    <w:rsid w:val="1ACB000E"/>
    <w:rsid w:val="1ACBE65A"/>
    <w:rsid w:val="1AF10D8F"/>
    <w:rsid w:val="1B503742"/>
    <w:rsid w:val="1B6DEB11"/>
    <w:rsid w:val="1BA48878"/>
    <w:rsid w:val="1BF35B93"/>
    <w:rsid w:val="1D534D02"/>
    <w:rsid w:val="1D9740D1"/>
    <w:rsid w:val="1DF829FE"/>
    <w:rsid w:val="1E4F0041"/>
    <w:rsid w:val="1E6EAFA7"/>
    <w:rsid w:val="1E82EEE7"/>
    <w:rsid w:val="1EA58BD3"/>
    <w:rsid w:val="1EE81178"/>
    <w:rsid w:val="1F13C299"/>
    <w:rsid w:val="1F19BD05"/>
    <w:rsid w:val="1F300CB0"/>
    <w:rsid w:val="1FB7877E"/>
    <w:rsid w:val="20350A7A"/>
    <w:rsid w:val="21DD2C95"/>
    <w:rsid w:val="2288C921"/>
    <w:rsid w:val="22A310F5"/>
    <w:rsid w:val="236ACA4B"/>
    <w:rsid w:val="24065AFE"/>
    <w:rsid w:val="249A506A"/>
    <w:rsid w:val="259A3DD9"/>
    <w:rsid w:val="25F5317E"/>
    <w:rsid w:val="26470D69"/>
    <w:rsid w:val="270D0342"/>
    <w:rsid w:val="27129E6F"/>
    <w:rsid w:val="274F3697"/>
    <w:rsid w:val="29A231C3"/>
    <w:rsid w:val="29C3A4D7"/>
    <w:rsid w:val="29CAB1E9"/>
    <w:rsid w:val="2A31D00A"/>
    <w:rsid w:val="2A4E6273"/>
    <w:rsid w:val="2AA52541"/>
    <w:rsid w:val="2AB176FB"/>
    <w:rsid w:val="2AE4BCA7"/>
    <w:rsid w:val="2B955545"/>
    <w:rsid w:val="2C22A7BA"/>
    <w:rsid w:val="2C8065EE"/>
    <w:rsid w:val="2CE419F3"/>
    <w:rsid w:val="2D84159A"/>
    <w:rsid w:val="2DB24D9F"/>
    <w:rsid w:val="2E75A2E6"/>
    <w:rsid w:val="2E9912B1"/>
    <w:rsid w:val="2EDFA748"/>
    <w:rsid w:val="2F023AEB"/>
    <w:rsid w:val="2FFD5D65"/>
    <w:rsid w:val="30531BCA"/>
    <w:rsid w:val="30E200DB"/>
    <w:rsid w:val="312523D6"/>
    <w:rsid w:val="3199F375"/>
    <w:rsid w:val="31B78B16"/>
    <w:rsid w:val="3280AE67"/>
    <w:rsid w:val="32CE3271"/>
    <w:rsid w:val="3375ACE4"/>
    <w:rsid w:val="34260501"/>
    <w:rsid w:val="34942A1D"/>
    <w:rsid w:val="349A2489"/>
    <w:rsid w:val="355D34C8"/>
    <w:rsid w:val="35E7D7E8"/>
    <w:rsid w:val="3635F4EA"/>
    <w:rsid w:val="36678C6E"/>
    <w:rsid w:val="369C327B"/>
    <w:rsid w:val="36B6E66A"/>
    <w:rsid w:val="36CA871F"/>
    <w:rsid w:val="37593C62"/>
    <w:rsid w:val="375B7C0B"/>
    <w:rsid w:val="3771386B"/>
    <w:rsid w:val="37D63E26"/>
    <w:rsid w:val="37D682EA"/>
    <w:rsid w:val="37DD6E84"/>
    <w:rsid w:val="381D894B"/>
    <w:rsid w:val="383FF4F7"/>
    <w:rsid w:val="38F50046"/>
    <w:rsid w:val="3909D845"/>
    <w:rsid w:val="3955F6F4"/>
    <w:rsid w:val="39CF739E"/>
    <w:rsid w:val="39DBC558"/>
    <w:rsid w:val="39FB6D38"/>
    <w:rsid w:val="3A04EE09"/>
    <w:rsid w:val="3A1D90A0"/>
    <w:rsid w:val="3A36B8FD"/>
    <w:rsid w:val="3A4A01AB"/>
    <w:rsid w:val="3AA46FCC"/>
    <w:rsid w:val="3ACF884B"/>
    <w:rsid w:val="3C0BD6F8"/>
    <w:rsid w:val="3CD6CDF2"/>
    <w:rsid w:val="3D003748"/>
    <w:rsid w:val="3D0366CD"/>
    <w:rsid w:val="3DC87169"/>
    <w:rsid w:val="3E016B2E"/>
    <w:rsid w:val="3E2B3B07"/>
    <w:rsid w:val="3E729E53"/>
    <w:rsid w:val="3E776436"/>
    <w:rsid w:val="3F39B758"/>
    <w:rsid w:val="4020A3A8"/>
    <w:rsid w:val="4029CCB8"/>
    <w:rsid w:val="40D3378A"/>
    <w:rsid w:val="41317063"/>
    <w:rsid w:val="4228A285"/>
    <w:rsid w:val="4241CAE2"/>
    <w:rsid w:val="42BB790D"/>
    <w:rsid w:val="431477F2"/>
    <w:rsid w:val="43365688"/>
    <w:rsid w:val="4341203B"/>
    <w:rsid w:val="436B7401"/>
    <w:rsid w:val="43BE21FF"/>
    <w:rsid w:val="43D7D1B2"/>
    <w:rsid w:val="441F606E"/>
    <w:rsid w:val="44955976"/>
    <w:rsid w:val="44A06DCD"/>
    <w:rsid w:val="44E2B4B8"/>
    <w:rsid w:val="45281BE1"/>
    <w:rsid w:val="45C01D68"/>
    <w:rsid w:val="45D42FF6"/>
    <w:rsid w:val="45E2B861"/>
    <w:rsid w:val="466D277D"/>
    <w:rsid w:val="46CA7361"/>
    <w:rsid w:val="46F1BEA5"/>
    <w:rsid w:val="476A93D8"/>
    <w:rsid w:val="479CD07C"/>
    <w:rsid w:val="4825BCC7"/>
    <w:rsid w:val="483CF064"/>
    <w:rsid w:val="4924619D"/>
    <w:rsid w:val="492740CA"/>
    <w:rsid w:val="4A678195"/>
    <w:rsid w:val="4A777C69"/>
    <w:rsid w:val="4B0C5E9B"/>
    <w:rsid w:val="4BC6C7D8"/>
    <w:rsid w:val="4BCC083D"/>
    <w:rsid w:val="4BED00C1"/>
    <w:rsid w:val="4C251451"/>
    <w:rsid w:val="4C33C82B"/>
    <w:rsid w:val="4C3AD0E7"/>
    <w:rsid w:val="4C8CBDAA"/>
    <w:rsid w:val="4CC142B2"/>
    <w:rsid w:val="4D106187"/>
    <w:rsid w:val="4D7CBA60"/>
    <w:rsid w:val="4DE35A90"/>
    <w:rsid w:val="4E06193A"/>
    <w:rsid w:val="4E09B3AA"/>
    <w:rsid w:val="4E7B5240"/>
    <w:rsid w:val="4F1421D9"/>
    <w:rsid w:val="4F541B15"/>
    <w:rsid w:val="4F706F93"/>
    <w:rsid w:val="50355A2C"/>
    <w:rsid w:val="504860D5"/>
    <w:rsid w:val="509240DD"/>
    <w:rsid w:val="50EFEB76"/>
    <w:rsid w:val="5154ED99"/>
    <w:rsid w:val="51E3AE69"/>
    <w:rsid w:val="51E5A6A7"/>
    <w:rsid w:val="524A4328"/>
    <w:rsid w:val="5276D885"/>
    <w:rsid w:val="52EEC143"/>
    <w:rsid w:val="532C428E"/>
    <w:rsid w:val="535B954E"/>
    <w:rsid w:val="537BBFD8"/>
    <w:rsid w:val="538CA0EC"/>
    <w:rsid w:val="53FF3BE6"/>
    <w:rsid w:val="54278C38"/>
    <w:rsid w:val="55C35C99"/>
    <w:rsid w:val="55D4C64E"/>
    <w:rsid w:val="55F18F0A"/>
    <w:rsid w:val="55F3B41A"/>
    <w:rsid w:val="55F416B3"/>
    <w:rsid w:val="560223D0"/>
    <w:rsid w:val="560251A6"/>
    <w:rsid w:val="561723E5"/>
    <w:rsid w:val="564B073B"/>
    <w:rsid w:val="5689F952"/>
    <w:rsid w:val="56AEF739"/>
    <w:rsid w:val="583791E9"/>
    <w:rsid w:val="59236756"/>
    <w:rsid w:val="59359C4A"/>
    <w:rsid w:val="5A3FFDA2"/>
    <w:rsid w:val="5B92A276"/>
    <w:rsid w:val="5BA90E98"/>
    <w:rsid w:val="5C5AAD17"/>
    <w:rsid w:val="5C6CFAA8"/>
    <w:rsid w:val="5CEFBB33"/>
    <w:rsid w:val="5CF3E572"/>
    <w:rsid w:val="5D3B42F6"/>
    <w:rsid w:val="5D7B91CA"/>
    <w:rsid w:val="5DCB3111"/>
    <w:rsid w:val="5E0314A7"/>
    <w:rsid w:val="5E2D731E"/>
    <w:rsid w:val="5E753BE9"/>
    <w:rsid w:val="5F025DFA"/>
    <w:rsid w:val="5F91F935"/>
    <w:rsid w:val="6051FB97"/>
    <w:rsid w:val="614DB04B"/>
    <w:rsid w:val="615B8CE8"/>
    <w:rsid w:val="6237566E"/>
    <w:rsid w:val="62A485A7"/>
    <w:rsid w:val="63150D1B"/>
    <w:rsid w:val="63947A93"/>
    <w:rsid w:val="63C4E055"/>
    <w:rsid w:val="64ACF396"/>
    <w:rsid w:val="64D29DD6"/>
    <w:rsid w:val="6559DCF0"/>
    <w:rsid w:val="65F0AF87"/>
    <w:rsid w:val="65F2D9E7"/>
    <w:rsid w:val="66567060"/>
    <w:rsid w:val="66A4E33F"/>
    <w:rsid w:val="6790D54F"/>
    <w:rsid w:val="68445A31"/>
    <w:rsid w:val="68785555"/>
    <w:rsid w:val="68D795FC"/>
    <w:rsid w:val="694BC014"/>
    <w:rsid w:val="697B0306"/>
    <w:rsid w:val="69B76696"/>
    <w:rsid w:val="6A2B43C7"/>
    <w:rsid w:val="6A9A4854"/>
    <w:rsid w:val="6AAF5217"/>
    <w:rsid w:val="6ABD03F4"/>
    <w:rsid w:val="6AC40CB0"/>
    <w:rsid w:val="6BDCA747"/>
    <w:rsid w:val="6C0F36BE"/>
    <w:rsid w:val="6C7B4F0F"/>
    <w:rsid w:val="6CAC4F65"/>
    <w:rsid w:val="6CD64FC5"/>
    <w:rsid w:val="6CEFE0DF"/>
    <w:rsid w:val="6E35E4DB"/>
    <w:rsid w:val="6F5D3D56"/>
    <w:rsid w:val="6FB2EFD1"/>
    <w:rsid w:val="6FBCF658"/>
    <w:rsid w:val="6FF277A5"/>
    <w:rsid w:val="702FA3A7"/>
    <w:rsid w:val="7038D1B1"/>
    <w:rsid w:val="703B0DB6"/>
    <w:rsid w:val="708FA368"/>
    <w:rsid w:val="7091B659"/>
    <w:rsid w:val="70FD1E9A"/>
    <w:rsid w:val="714EC032"/>
    <w:rsid w:val="71E1E04C"/>
    <w:rsid w:val="723A959F"/>
    <w:rsid w:val="7240AAAF"/>
    <w:rsid w:val="72433DAB"/>
    <w:rsid w:val="72489835"/>
    <w:rsid w:val="724DC0CC"/>
    <w:rsid w:val="729DAF79"/>
    <w:rsid w:val="73D2260D"/>
    <w:rsid w:val="74773F1E"/>
    <w:rsid w:val="74EAA663"/>
    <w:rsid w:val="750B43E9"/>
    <w:rsid w:val="761D4DFA"/>
    <w:rsid w:val="762C37DC"/>
    <w:rsid w:val="763740FD"/>
    <w:rsid w:val="765CD044"/>
    <w:rsid w:val="77237079"/>
    <w:rsid w:val="779BB049"/>
    <w:rsid w:val="77AB4A62"/>
    <w:rsid w:val="77C6137D"/>
    <w:rsid w:val="78534063"/>
    <w:rsid w:val="7864934B"/>
    <w:rsid w:val="78B696D9"/>
    <w:rsid w:val="790CDC8F"/>
    <w:rsid w:val="797D34B5"/>
    <w:rsid w:val="798031C6"/>
    <w:rsid w:val="798F424B"/>
    <w:rsid w:val="79A7799E"/>
    <w:rsid w:val="7AEA4EAF"/>
    <w:rsid w:val="7AF189C3"/>
    <w:rsid w:val="7B6D74F7"/>
    <w:rsid w:val="7BB5F226"/>
    <w:rsid w:val="7BC490FA"/>
    <w:rsid w:val="7BE2C57E"/>
    <w:rsid w:val="7BE52578"/>
    <w:rsid w:val="7BF881DE"/>
    <w:rsid w:val="7BF8D777"/>
    <w:rsid w:val="7C229801"/>
    <w:rsid w:val="7D21149E"/>
    <w:rsid w:val="7D80F5D9"/>
    <w:rsid w:val="7DB67044"/>
    <w:rsid w:val="7E141ADD"/>
    <w:rsid w:val="7E38BE73"/>
    <w:rsid w:val="7F1918A7"/>
    <w:rsid w:val="7F567490"/>
    <w:rsid w:val="7FA58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7BA5"/>
  <w15:docId w15:val="{47EA495F-09DC-41DF-B051-218173DE4E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rsid w:val="007D553D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Props1.xml><?xml version="1.0" encoding="utf-8"?>
<ds:datastoreItem xmlns:ds="http://schemas.openxmlformats.org/officeDocument/2006/customXml" ds:itemID="{9B5DCEDE-67A0-45A2-9D23-19D36909E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Candice Wade</dc:creator>
  <lastModifiedBy>Augustine, Walter</lastModifiedBy>
  <revision>3</revision>
  <dcterms:created xsi:type="dcterms:W3CDTF">2020-11-16T16:36:00.0000000Z</dcterms:created>
  <dcterms:modified xsi:type="dcterms:W3CDTF">2021-04-20T01:34:43.7904311Z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