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4EF8F" w14:textId="5E6DA166" w:rsidR="00401EAB" w:rsidRDefault="00000000" w:rsidP="00FA756C">
      <w:pPr>
        <w:spacing w:line="276" w:lineRule="auto"/>
        <w:jc w:val="center"/>
      </w:pPr>
      <w:r>
        <w:rPr>
          <w:b/>
          <w:sz w:val="32"/>
        </w:rPr>
        <w:t>Prediction of Pathological Complete Response to Neoadjuvant Chemotherapy in Breast Cancer</w:t>
      </w:r>
      <w:r w:rsidR="00FA756C">
        <w:rPr>
          <w:b/>
          <w:sz w:val="32"/>
        </w:rPr>
        <w:t xml:space="preserve">: </w:t>
      </w:r>
      <w:r>
        <w:rPr>
          <w:b/>
          <w:sz w:val="32"/>
        </w:rPr>
        <w:t>Machine Learning with SHAP Explainability</w:t>
      </w:r>
    </w:p>
    <w:p w14:paraId="06A7025E" w14:textId="77777777" w:rsidR="00401EAB" w:rsidRDefault="00401EAB" w:rsidP="00FA756C">
      <w:pPr>
        <w:spacing w:line="360" w:lineRule="auto"/>
        <w:jc w:val="both"/>
      </w:pPr>
    </w:p>
    <w:p w14:paraId="50127337" w14:textId="77777777" w:rsidR="00401EAB" w:rsidRDefault="00000000" w:rsidP="00FA756C">
      <w:pPr>
        <w:pStyle w:val="Heading1"/>
        <w:spacing w:line="360" w:lineRule="auto"/>
        <w:jc w:val="both"/>
      </w:pPr>
      <w:r>
        <w:t>Abstract</w:t>
      </w:r>
    </w:p>
    <w:p w14:paraId="6EDAF61C" w14:textId="77777777" w:rsidR="00401EAB" w:rsidRDefault="00000000" w:rsidP="00FA756C">
      <w:pPr>
        <w:spacing w:line="360" w:lineRule="auto"/>
        <w:jc w:val="both"/>
      </w:pPr>
      <w:r>
        <w:t>Background: Neoadjuvant chemotherapy (NAC) is standard-of-care for locally advanced breast cancer, yet only 15 to 53% of patients achieve pathological complete response (pCR). Accurately predicting pCR from pre-treatment tumour profiles could spare non-responding patients from unnecessary cytotoxicity and guide treatment personalisation.</w:t>
      </w:r>
    </w:p>
    <w:p w14:paraId="61208BBA" w14:textId="77777777" w:rsidR="00401EAB" w:rsidRDefault="00000000" w:rsidP="00FA756C">
      <w:pPr>
        <w:spacing w:line="360" w:lineRule="auto"/>
        <w:jc w:val="both"/>
      </w:pPr>
      <w:r>
        <w:t>Methods: We developed an explainable machine learning framework for pCR prediction using RNA-seq transcriptomic data from 222 multi-institutional breast cancer biopsies (GSE163882). Feature selection employed Spearman rank correlation (P &lt; 0.001) on the training set exclusively, reducing 60,279 genes to 575 biologically informative features. Four classifiers (L1/L2-regularised Logistic Regression, Random Forest, XGBoost, and a Stacking ensemble) were optimised via Bayesian hyperparameter search with stratified 5-fold cross-validation. Class imbalance was addressed through cost-sensitive learning. Model explainability was assessed using SHAP (SHapley Additive exPlanations), and clinical utility was evaluated via decision curve analysis.</w:t>
      </w:r>
    </w:p>
    <w:p w14:paraId="389D4CA4" w14:textId="77777777" w:rsidR="00401EAB" w:rsidRDefault="00000000" w:rsidP="00FA756C">
      <w:pPr>
        <w:spacing w:line="360" w:lineRule="auto"/>
        <w:jc w:val="both"/>
      </w:pPr>
      <w:r>
        <w:t>Results: Bayesian-optimised Logistic Regression achieved the highest test set AUROC of 0.709 (sensitivity 56.3%, specificity 75.9%, F1 = 0.563, MCC = 0.321), outperforming tree-based ensembles. Cross-validation AUROC reached 0.806, consistent with published benchmarks. Decision curve analysis confirmed net clinical benefit across the therapeutically relevant threshold range (0.25 to 0.55). SHAP analysis identified 9 consensus genes validated across both XGBoost and Random Forest models, mapping to established pCR-associated pathways including cell cycle regulation, DNA damage response, apoptosis, oestrogen receptor signalling, and receptor tyrosine kinase signalling.</w:t>
      </w:r>
    </w:p>
    <w:p w14:paraId="059202E7" w14:textId="77777777" w:rsidR="00401EAB" w:rsidRDefault="00000000" w:rsidP="00FA756C">
      <w:pPr>
        <w:spacing w:line="360" w:lineRule="auto"/>
        <w:jc w:val="both"/>
      </w:pPr>
      <w:r>
        <w:t xml:space="preserve">Conclusions: A simple, regularised linear model trained on Spearman-filtered transcriptomic features provides clinically meaningful pCR discrimination with full biological interpretability. The dominance of Logistic Regression over complex </w:t>
      </w:r>
      <w:r>
        <w:lastRenderedPageBreak/>
        <w:t>ensembles underscores that principled feature selection, not model complexity, drives predictive performance in high-dimensional genomic settings.</w:t>
      </w:r>
    </w:p>
    <w:p w14:paraId="4D860ACB" w14:textId="77777777" w:rsidR="00401EAB" w:rsidRDefault="00000000" w:rsidP="00FA756C">
      <w:pPr>
        <w:spacing w:line="360" w:lineRule="auto"/>
        <w:jc w:val="both"/>
      </w:pPr>
      <w:r>
        <w:rPr>
          <w:i/>
        </w:rPr>
        <w:t>Keywords: breast cancer, pathological complete response, neoadjuvant chemotherapy, machine learning, SHAP, transcriptomics, feature selection, Spearman correlation</w:t>
      </w:r>
    </w:p>
    <w:p w14:paraId="2A58F466" w14:textId="77777777" w:rsidR="00401EAB" w:rsidRDefault="00000000" w:rsidP="00FA756C">
      <w:pPr>
        <w:spacing w:line="360" w:lineRule="auto"/>
        <w:jc w:val="both"/>
      </w:pPr>
      <w:r>
        <w:br w:type="page"/>
      </w:r>
    </w:p>
    <w:p w14:paraId="31A4C10D" w14:textId="77777777" w:rsidR="00401EAB" w:rsidRDefault="00000000" w:rsidP="00FA756C">
      <w:pPr>
        <w:pStyle w:val="Heading1"/>
        <w:spacing w:line="360" w:lineRule="auto"/>
        <w:jc w:val="both"/>
      </w:pPr>
      <w:r>
        <w:lastRenderedPageBreak/>
        <w:t>1. Introduction</w:t>
      </w:r>
    </w:p>
    <w:p w14:paraId="188EDAF4" w14:textId="77777777" w:rsidR="00401EAB" w:rsidRDefault="00000000" w:rsidP="00FA756C">
      <w:pPr>
        <w:pStyle w:val="Heading2"/>
        <w:spacing w:line="360" w:lineRule="auto"/>
        <w:jc w:val="both"/>
      </w:pPr>
      <w:r>
        <w:t>1.1 Clinical Problem</w:t>
      </w:r>
    </w:p>
    <w:p w14:paraId="3B728434" w14:textId="77777777" w:rsidR="00401EAB" w:rsidRDefault="00000000" w:rsidP="00FA756C">
      <w:pPr>
        <w:spacing w:line="360" w:lineRule="auto"/>
        <w:jc w:val="both"/>
      </w:pPr>
      <w:r>
        <w:t>Breast cancer remains the most commonly diagnosed malignancy worldwide, with an estimated 2.3 million new cases annually (Sung et al., 2021). Neoadjuvant chemotherapy (NAC), which is systemic treatment administered before surgery, serves dual purposes: downstaging inoperable tumours to enable surgical resection and providing an in vivo assessment of chemosensitivity (Cortazar et al., 2014). Pathological complete response (pCR), defined as the absence of residual invasive disease in the breast and axillary lymph nodes (ypT0/is ypN0) at the time of surgery, has been established as a validated surrogate endpoint for long-term event-free survival across breast cancer subtypes (Yau et al., 2022).</w:t>
      </w:r>
    </w:p>
    <w:p w14:paraId="33469642" w14:textId="77777777" w:rsidR="00401EAB" w:rsidRDefault="00000000" w:rsidP="00FA756C">
      <w:pPr>
        <w:spacing w:line="360" w:lineRule="auto"/>
        <w:jc w:val="both"/>
      </w:pPr>
      <w:r>
        <w:t>However, pCR rates vary dramatically by molecular subtype: 30 to 50% in triple-negative breast cancer (TNBC), 40 to 60% in HER2-positive disease with targeted therapy, but only 10 to 15% in hormone receptor-positive/HER2-negative tumours (Cortazar et al., 2014). This means that the majority of patients endure the substantial toxicity of multi-agent chemotherapy, including myelosuppression, cardiotoxicity, neuropathy, and fertility impairment, without achieving tumour eradication. The clinical imperative is therefore clear: a reliable pre-treatment predictor of pCR would enable treatment personalisation, sparing predicted non-responders from futile toxicity while ensuring responders receive optimal therapy.</w:t>
      </w:r>
    </w:p>
    <w:p w14:paraId="35FF33E0" w14:textId="77777777" w:rsidR="00401EAB" w:rsidRDefault="00000000" w:rsidP="00FA756C">
      <w:pPr>
        <w:pStyle w:val="Heading2"/>
        <w:spacing w:line="360" w:lineRule="auto"/>
        <w:jc w:val="both"/>
      </w:pPr>
      <w:r>
        <w:t>1.2 Limitations of Current Approaches</w:t>
      </w:r>
    </w:p>
    <w:p w14:paraId="1A75E04F" w14:textId="77777777" w:rsidR="00401EAB" w:rsidRDefault="00000000" w:rsidP="00FA756C">
      <w:pPr>
        <w:spacing w:line="360" w:lineRule="auto"/>
        <w:jc w:val="both"/>
      </w:pPr>
      <w:r>
        <w:t>Existing clinical tools for chemosensitivity prediction remain inadequate. Oncotype DX and MammaPrint provide prognostic information for hormone receptor-positive early breast cancer but were not designed for pCR prediction in the neoadjuvant setting (Sparano et al., 2018). Clinical variables alone (tumour grade, Ki67, receptor status) achieve AUROC values of only 0.65 to 0.70 for pCR prediction (Asaoka et al., 2019). Transcriptomic approaches offer the potential to capture the full biological complexity of chemotherapy response, including immune infiltration, proliferative capacity, DNA repair competence, and metabolic reprogramming, that single biomarkers cannot represent.</w:t>
      </w:r>
    </w:p>
    <w:p w14:paraId="372AF890" w14:textId="77777777" w:rsidR="00401EAB" w:rsidRDefault="00000000" w:rsidP="00FA756C">
      <w:pPr>
        <w:pStyle w:val="Heading2"/>
        <w:spacing w:line="360" w:lineRule="auto"/>
        <w:jc w:val="both"/>
      </w:pPr>
      <w:r>
        <w:lastRenderedPageBreak/>
        <w:t>1.3 Rationale for This Study</w:t>
      </w:r>
    </w:p>
    <w:p w14:paraId="068E7931" w14:textId="77777777" w:rsidR="00401EAB" w:rsidRDefault="00000000" w:rsidP="00FA756C">
      <w:pPr>
        <w:spacing w:line="360" w:lineRule="auto"/>
        <w:jc w:val="both"/>
      </w:pPr>
      <w:r>
        <w:t>Recent work by Chen et al. (2022) demonstrated that machine learning models trained on immunological gene expression could predict pCR with AUROC = 0.745 using the GSE163882 dataset. Their methodology, which included Spearman rank correlation for feature selection, PCA for dimensionality reduction, and stacked generalisation with Bayesian hyperparameter optimisation, established a rigorous framework. However, their analysis was restricted to 1,087 immunological genes from the ImmPort database, potentially missing predictive signals from non-immune pathways. Furthermore, their model lacked clinical utility assessment (decision curve analysis) and provided limited biological interpretation of the selected features.</w:t>
      </w:r>
    </w:p>
    <w:p w14:paraId="22CC0E37" w14:textId="77777777" w:rsidR="00401EAB" w:rsidRDefault="00000000" w:rsidP="00FA756C">
      <w:pPr>
        <w:spacing w:line="360" w:lineRule="auto"/>
        <w:jc w:val="both"/>
      </w:pPr>
      <w:r>
        <w:t>We extend this work by: (1) applying genome-wide Spearman selection across all expressed genes; (2) employing Bayesian-optimised classifiers with cost-sensitive learning; (3) providing comprehensive model explainability via SHAP; and (4) evaluating clinical utility through calibration assessment and decision curve analysis.</w:t>
      </w:r>
    </w:p>
    <w:p w14:paraId="094A1D6A" w14:textId="77777777" w:rsidR="00401EAB" w:rsidRDefault="00000000" w:rsidP="00FA756C">
      <w:pPr>
        <w:pStyle w:val="Heading2"/>
        <w:spacing w:line="360" w:lineRule="auto"/>
        <w:jc w:val="both"/>
      </w:pPr>
      <w:r>
        <w:t>1.4 Objectives</w:t>
      </w:r>
    </w:p>
    <w:p w14:paraId="7B571F48" w14:textId="77777777" w:rsidR="00401EAB" w:rsidRDefault="00000000" w:rsidP="00FA756C">
      <w:pPr>
        <w:spacing w:line="360" w:lineRule="auto"/>
        <w:jc w:val="both"/>
      </w:pPr>
      <w:r>
        <w:t>The specific objectives of this study were:</w:t>
      </w:r>
    </w:p>
    <w:p w14:paraId="5857FAB3" w14:textId="77777777" w:rsidR="00401EAB" w:rsidRDefault="00000000" w:rsidP="00FA756C">
      <w:pPr>
        <w:pStyle w:val="ListNumber"/>
        <w:spacing w:line="360" w:lineRule="auto"/>
        <w:jc w:val="both"/>
      </w:pPr>
      <w:r>
        <w:t>To develop a transcriptomic pCR prediction model using Spearman-filtered features from RNA-seq data.</w:t>
      </w:r>
    </w:p>
    <w:p w14:paraId="42399472" w14:textId="77777777" w:rsidR="00401EAB" w:rsidRDefault="00000000" w:rsidP="00FA756C">
      <w:pPr>
        <w:pStyle w:val="ListNumber"/>
        <w:spacing w:line="360" w:lineRule="auto"/>
        <w:jc w:val="both"/>
      </w:pPr>
      <w:r>
        <w:t>To compare regularised linear models against ensemble methods under Bayesian hyperparameter optimisation.</w:t>
      </w:r>
    </w:p>
    <w:p w14:paraId="3600B713" w14:textId="77777777" w:rsidR="00401EAB" w:rsidRDefault="00000000" w:rsidP="00FA756C">
      <w:pPr>
        <w:pStyle w:val="ListNumber"/>
        <w:spacing w:line="360" w:lineRule="auto"/>
        <w:jc w:val="both"/>
      </w:pPr>
      <w:r>
        <w:t>To identify biologically interpretable gene signatures associated with chemotherapy response via SHAP analysis.</w:t>
      </w:r>
    </w:p>
    <w:p w14:paraId="547C2FB0" w14:textId="77777777" w:rsidR="00401EAB" w:rsidRDefault="00000000" w:rsidP="00FA756C">
      <w:pPr>
        <w:pStyle w:val="ListNumber"/>
        <w:spacing w:line="360" w:lineRule="auto"/>
        <w:jc w:val="both"/>
      </w:pPr>
      <w:r>
        <w:t>To evaluate clinical utility through decision curve analysis for NAC treatment selection.</w:t>
      </w:r>
    </w:p>
    <w:p w14:paraId="3B3E6055" w14:textId="77777777" w:rsidR="00401EAB" w:rsidRDefault="00000000" w:rsidP="00FA756C">
      <w:pPr>
        <w:spacing w:line="360" w:lineRule="auto"/>
        <w:jc w:val="both"/>
      </w:pPr>
      <w:r>
        <w:br w:type="page"/>
      </w:r>
    </w:p>
    <w:p w14:paraId="63027E35" w14:textId="77777777" w:rsidR="00401EAB" w:rsidRDefault="00000000" w:rsidP="00FA756C">
      <w:pPr>
        <w:pStyle w:val="Heading1"/>
        <w:spacing w:line="360" w:lineRule="auto"/>
        <w:jc w:val="both"/>
      </w:pPr>
      <w:r>
        <w:lastRenderedPageBreak/>
        <w:t>2. Materials and Methods</w:t>
      </w:r>
    </w:p>
    <w:p w14:paraId="71B0B595" w14:textId="77777777" w:rsidR="00401EAB" w:rsidRDefault="00000000" w:rsidP="00FA756C">
      <w:pPr>
        <w:pStyle w:val="Heading2"/>
        <w:spacing w:line="360" w:lineRule="auto"/>
        <w:jc w:val="both"/>
      </w:pPr>
      <w:r>
        <w:t>2.1 Dataset and Study Population</w:t>
      </w:r>
    </w:p>
    <w:p w14:paraId="2332F869" w14:textId="77777777" w:rsidR="00401EAB" w:rsidRDefault="00000000" w:rsidP="00FA756C">
      <w:pPr>
        <w:spacing w:line="360" w:lineRule="auto"/>
        <w:jc w:val="both"/>
      </w:pPr>
      <w:r>
        <w:t>We utilised the publicly available GSE163882 dataset (Park et al., 2020), comprising RNA-seq transcriptomic profiles from 222 pre-treatment breast cancer biopsies collected across multiple institutions. Gene expression was quantified as transcripts per million (TPM), which normalises for both sequencing depth and gene length, enabling cross-sample comparability (Wagner et al., 2012). The cohort included patients across all major molecular subtypes who received anthracycline/taxane-based NAC, with pathological response assessed at the time of definitive surgery.</w:t>
      </w:r>
    </w:p>
    <w:p w14:paraId="7570A18B" w14:textId="77777777" w:rsidR="00401EAB" w:rsidRDefault="00000000" w:rsidP="00FA756C">
      <w:pPr>
        <w:pStyle w:val="Heading2"/>
        <w:spacing w:line="360" w:lineRule="auto"/>
        <w:jc w:val="both"/>
      </w:pPr>
      <w:r>
        <w:t>2.2 Data Preprocessing</w:t>
      </w:r>
    </w:p>
    <w:p w14:paraId="7CF243AF" w14:textId="77777777" w:rsidR="00401EAB" w:rsidRDefault="00000000" w:rsidP="00FA756C">
      <w:pPr>
        <w:spacing w:line="360" w:lineRule="auto"/>
        <w:jc w:val="both"/>
      </w:pPr>
      <w:r>
        <w:t>TPM expression values were log2-transformed (log2(TPM + 1)) to stabilise variance and approximate normality, as recommended for downstream statistical analysis of RNA-seq data (Law et al., 2014). No additional batch correction was applied, as TPM quantification inherently accounts for library-specific technical variation.</w:t>
      </w:r>
    </w:p>
    <w:p w14:paraId="751B89E1" w14:textId="77777777" w:rsidR="00401EAB" w:rsidRDefault="00000000" w:rsidP="00FA756C">
      <w:pPr>
        <w:pStyle w:val="Heading2"/>
        <w:spacing w:line="360" w:lineRule="auto"/>
        <w:jc w:val="both"/>
      </w:pPr>
      <w:r>
        <w:t>2.3 Train-Test Partitioning</w:t>
      </w:r>
    </w:p>
    <w:p w14:paraId="3C857FF0" w14:textId="77777777" w:rsidR="00401EAB" w:rsidRDefault="00000000" w:rsidP="00FA756C">
      <w:pPr>
        <w:spacing w:line="360" w:lineRule="auto"/>
        <w:jc w:val="both"/>
      </w:pPr>
      <w:r>
        <w:t>The dataset was split into training (n = 177, 80%) and held-out test (n = 45, 20%) sets using stratified random sampling to preserve class proportions (training: 113 RD, 64 pCR; test: 29 RD, 16 pCR). All subsequent feature selection and standardisation steps were performed exclusively on the training set to prevent information leakage, a methodological concern specifically noted by Chen et al. (2022) regarding prior studies on this dataset.</w:t>
      </w:r>
    </w:p>
    <w:p w14:paraId="6889F61F" w14:textId="77777777" w:rsidR="00401EAB" w:rsidRDefault="00000000" w:rsidP="00FA756C">
      <w:pPr>
        <w:pStyle w:val="Heading2"/>
        <w:spacing w:line="360" w:lineRule="auto"/>
        <w:jc w:val="both"/>
      </w:pPr>
      <w:r>
        <w:t>2.4 Feature Selection: Spearman Rank Correlation</w:t>
      </w:r>
    </w:p>
    <w:p w14:paraId="0FB3FE99" w14:textId="77777777" w:rsidR="00401EAB" w:rsidRDefault="00000000" w:rsidP="00FA756C">
      <w:pPr>
        <w:spacing w:line="360" w:lineRule="auto"/>
        <w:jc w:val="both"/>
      </w:pPr>
      <w:r>
        <w:t xml:space="preserve">Following Chen et al. (2022), we employed Spearman rank correlation to identify genes monotonically associated with pCR status. Spearman's method was preferred over Pearson correlation because it: (i) makes no distributional assumptions about gene expression; (ii) is robust to outliers inherent in transcriptomic data; and (iii) captures monotonic non-linear associations (Hauke and Kossowski, 2011). For each of 60,279 expressed genes, the Spearman correlation coefficient and associated P-value were </w:t>
      </w:r>
      <w:r>
        <w:lastRenderedPageBreak/>
        <w:t>computed against the binary pCR label on the training set. Genes with P &lt; 0.001 were retained, yielding 575 selected features, representing a 99.05% reduction in dimensionality.</w:t>
      </w:r>
    </w:p>
    <w:p w14:paraId="073AE650" w14:textId="77777777" w:rsidR="00401EAB" w:rsidRDefault="00000000" w:rsidP="00FA756C">
      <w:pPr>
        <w:pStyle w:val="Heading2"/>
        <w:spacing w:line="360" w:lineRule="auto"/>
        <w:jc w:val="both"/>
      </w:pPr>
      <w:r>
        <w:t>2.5 Feature Standardisation</w:t>
      </w:r>
    </w:p>
    <w:p w14:paraId="79A23D69" w14:textId="77777777" w:rsidR="00401EAB" w:rsidRDefault="00000000" w:rsidP="00FA756C">
      <w:pPr>
        <w:spacing w:line="360" w:lineRule="auto"/>
        <w:jc w:val="both"/>
      </w:pPr>
      <w:r>
        <w:t>Selected features were Z-score standardised (zero mean, unit variance) using parameters estimated exclusively from the training set and subsequently applied to the test set, following best practices for preventing data leakage in predictive modelling (Hastie et al., 2009).</w:t>
      </w:r>
    </w:p>
    <w:p w14:paraId="601AE7BE" w14:textId="77777777" w:rsidR="00401EAB" w:rsidRDefault="00000000" w:rsidP="00FA756C">
      <w:pPr>
        <w:pStyle w:val="Heading2"/>
        <w:spacing w:line="360" w:lineRule="auto"/>
        <w:jc w:val="both"/>
      </w:pPr>
      <w:r>
        <w:t>2.6 Class Imbalance Handling</w:t>
      </w:r>
    </w:p>
    <w:p w14:paraId="033954F2" w14:textId="77777777" w:rsidR="00401EAB" w:rsidRDefault="00000000" w:rsidP="00FA756C">
      <w:pPr>
        <w:spacing w:line="360" w:lineRule="auto"/>
        <w:jc w:val="both"/>
      </w:pPr>
      <w:r>
        <w:t>The training set exhibited a 1.77:1 class imbalance (RD:pCR), reflecting real-world pCR rates. We employed cost-sensitive learning rather than synthetic oversampling (SMOTE), based on evidence from Blagus and Lusa (2013) demonstrating that SMOTE degrades classifier performance in high-dimensional settings where the number of features greatly exceeds the number of samples. Cost-sensitive learning adjusts the loss function by weighting misclassification penalties inversely proportional to class frequency.</w:t>
      </w:r>
    </w:p>
    <w:p w14:paraId="497C7120" w14:textId="77777777" w:rsidR="00401EAB" w:rsidRDefault="00000000" w:rsidP="00FA756C">
      <w:pPr>
        <w:pStyle w:val="Heading2"/>
        <w:spacing w:line="360" w:lineRule="auto"/>
        <w:jc w:val="both"/>
      </w:pPr>
      <w:r>
        <w:t>2.7 Model Selection and Training</w:t>
      </w:r>
    </w:p>
    <w:p w14:paraId="460CAEB8" w14:textId="77777777" w:rsidR="00401EAB" w:rsidRDefault="00000000" w:rsidP="00FA756C">
      <w:pPr>
        <w:spacing w:line="360" w:lineRule="auto"/>
        <w:jc w:val="both"/>
      </w:pPr>
      <w:r>
        <w:t>Four classifier architectures spanning the bias-variance spectrum were benchmarked, following recommendations for small-sample genomic classification (Statnikov et al., 2008):</w:t>
      </w:r>
    </w:p>
    <w:tbl>
      <w:tblPr>
        <w:tblStyle w:val="TableGrid"/>
        <w:tblW w:w="0" w:type="auto"/>
        <w:jc w:val="center"/>
        <w:tblLook w:val="04A0" w:firstRow="1" w:lastRow="0" w:firstColumn="1" w:lastColumn="0" w:noHBand="0" w:noVBand="1"/>
      </w:tblPr>
      <w:tblGrid>
        <w:gridCol w:w="2880"/>
        <w:gridCol w:w="2880"/>
        <w:gridCol w:w="2880"/>
      </w:tblGrid>
      <w:tr w:rsidR="00401EAB" w14:paraId="47FFC064" w14:textId="77777777">
        <w:trPr>
          <w:jc w:val="center"/>
        </w:trPr>
        <w:tc>
          <w:tcPr>
            <w:tcW w:w="2880" w:type="dxa"/>
          </w:tcPr>
          <w:p w14:paraId="6F97AE5E" w14:textId="77777777" w:rsidR="00401EAB" w:rsidRDefault="00000000" w:rsidP="00FA756C">
            <w:pPr>
              <w:spacing w:line="360" w:lineRule="auto"/>
              <w:jc w:val="both"/>
            </w:pPr>
            <w:r>
              <w:rPr>
                <w:b/>
              </w:rPr>
              <w:t>Model</w:t>
            </w:r>
          </w:p>
        </w:tc>
        <w:tc>
          <w:tcPr>
            <w:tcW w:w="2880" w:type="dxa"/>
          </w:tcPr>
          <w:p w14:paraId="29095113" w14:textId="77777777" w:rsidR="00401EAB" w:rsidRDefault="00000000" w:rsidP="00FA756C">
            <w:pPr>
              <w:spacing w:line="360" w:lineRule="auto"/>
              <w:jc w:val="both"/>
            </w:pPr>
            <w:r>
              <w:rPr>
                <w:b/>
              </w:rPr>
              <w:t>Family</w:t>
            </w:r>
          </w:p>
        </w:tc>
        <w:tc>
          <w:tcPr>
            <w:tcW w:w="2880" w:type="dxa"/>
          </w:tcPr>
          <w:p w14:paraId="6578025E" w14:textId="77777777" w:rsidR="00401EAB" w:rsidRDefault="00000000" w:rsidP="00FA756C">
            <w:pPr>
              <w:spacing w:line="360" w:lineRule="auto"/>
              <w:jc w:val="both"/>
            </w:pPr>
            <w:r>
              <w:rPr>
                <w:b/>
              </w:rPr>
              <w:t>Rationale</w:t>
            </w:r>
          </w:p>
        </w:tc>
      </w:tr>
      <w:tr w:rsidR="00401EAB" w14:paraId="796E6C93" w14:textId="77777777">
        <w:trPr>
          <w:jc w:val="center"/>
        </w:trPr>
        <w:tc>
          <w:tcPr>
            <w:tcW w:w="2880" w:type="dxa"/>
          </w:tcPr>
          <w:p w14:paraId="398499EA" w14:textId="77777777" w:rsidR="00401EAB" w:rsidRDefault="00000000" w:rsidP="00FA756C">
            <w:pPr>
              <w:spacing w:line="360" w:lineRule="auto"/>
              <w:jc w:val="both"/>
            </w:pPr>
            <w:r>
              <w:t>Logistic Regression</w:t>
            </w:r>
          </w:p>
        </w:tc>
        <w:tc>
          <w:tcPr>
            <w:tcW w:w="2880" w:type="dxa"/>
          </w:tcPr>
          <w:p w14:paraId="2F117AD4" w14:textId="77777777" w:rsidR="00401EAB" w:rsidRDefault="00000000" w:rsidP="00FA756C">
            <w:pPr>
              <w:spacing w:line="360" w:lineRule="auto"/>
              <w:jc w:val="both"/>
            </w:pPr>
            <w:r>
              <w:t>Linear, regularised</w:t>
            </w:r>
          </w:p>
        </w:tc>
        <w:tc>
          <w:tcPr>
            <w:tcW w:w="2880" w:type="dxa"/>
          </w:tcPr>
          <w:p w14:paraId="4CA1E22B" w14:textId="77777777" w:rsidR="00401EAB" w:rsidRDefault="00000000" w:rsidP="00FA756C">
            <w:pPr>
              <w:spacing w:line="360" w:lineRule="auto"/>
              <w:jc w:val="both"/>
            </w:pPr>
            <w:r>
              <w:t>Interpretable; strong in p &gt;&gt; n with L1/L2 (Tibshirani, 1996)</w:t>
            </w:r>
          </w:p>
        </w:tc>
      </w:tr>
      <w:tr w:rsidR="00401EAB" w14:paraId="0BFDF3FC" w14:textId="77777777">
        <w:trPr>
          <w:jc w:val="center"/>
        </w:trPr>
        <w:tc>
          <w:tcPr>
            <w:tcW w:w="2880" w:type="dxa"/>
          </w:tcPr>
          <w:p w14:paraId="1C484541" w14:textId="77777777" w:rsidR="00401EAB" w:rsidRDefault="00000000" w:rsidP="00FA756C">
            <w:pPr>
              <w:spacing w:line="360" w:lineRule="auto"/>
              <w:jc w:val="both"/>
            </w:pPr>
            <w:r>
              <w:t>Random Forest</w:t>
            </w:r>
          </w:p>
        </w:tc>
        <w:tc>
          <w:tcPr>
            <w:tcW w:w="2880" w:type="dxa"/>
          </w:tcPr>
          <w:p w14:paraId="1B95A036" w14:textId="77777777" w:rsidR="00401EAB" w:rsidRDefault="00000000" w:rsidP="00FA756C">
            <w:pPr>
              <w:spacing w:line="360" w:lineRule="auto"/>
              <w:jc w:val="both"/>
            </w:pPr>
            <w:r>
              <w:t>Ensemble (bagging)</w:t>
            </w:r>
          </w:p>
        </w:tc>
        <w:tc>
          <w:tcPr>
            <w:tcW w:w="2880" w:type="dxa"/>
          </w:tcPr>
          <w:p w14:paraId="56300A0A" w14:textId="77777777" w:rsidR="00401EAB" w:rsidRDefault="00000000" w:rsidP="00FA756C">
            <w:pPr>
              <w:spacing w:line="360" w:lineRule="auto"/>
              <w:jc w:val="both"/>
            </w:pPr>
            <w:r>
              <w:t>Non-linear interactions; robust to outliers (Breiman, 2001)</w:t>
            </w:r>
          </w:p>
        </w:tc>
      </w:tr>
      <w:tr w:rsidR="00401EAB" w14:paraId="07A82A96" w14:textId="77777777">
        <w:trPr>
          <w:jc w:val="center"/>
        </w:trPr>
        <w:tc>
          <w:tcPr>
            <w:tcW w:w="2880" w:type="dxa"/>
          </w:tcPr>
          <w:p w14:paraId="2885AF90" w14:textId="77777777" w:rsidR="00401EAB" w:rsidRDefault="00000000" w:rsidP="00FA756C">
            <w:pPr>
              <w:spacing w:line="360" w:lineRule="auto"/>
              <w:jc w:val="both"/>
            </w:pPr>
            <w:r>
              <w:t>XGBoost</w:t>
            </w:r>
          </w:p>
        </w:tc>
        <w:tc>
          <w:tcPr>
            <w:tcW w:w="2880" w:type="dxa"/>
          </w:tcPr>
          <w:p w14:paraId="2BACF6D0" w14:textId="77777777" w:rsidR="00401EAB" w:rsidRDefault="00000000" w:rsidP="00FA756C">
            <w:pPr>
              <w:spacing w:line="360" w:lineRule="auto"/>
              <w:jc w:val="both"/>
            </w:pPr>
            <w:r>
              <w:t>Ensemble (boosting)</w:t>
            </w:r>
          </w:p>
        </w:tc>
        <w:tc>
          <w:tcPr>
            <w:tcW w:w="2880" w:type="dxa"/>
          </w:tcPr>
          <w:p w14:paraId="258558B0" w14:textId="77777777" w:rsidR="00401EAB" w:rsidRDefault="00000000" w:rsidP="00FA756C">
            <w:pPr>
              <w:spacing w:line="360" w:lineRule="auto"/>
              <w:jc w:val="both"/>
            </w:pPr>
            <w:r>
              <w:t>State-of-art for tabular data (Chen and Guestrin, 2016)</w:t>
            </w:r>
          </w:p>
        </w:tc>
      </w:tr>
      <w:tr w:rsidR="00401EAB" w14:paraId="54BB3FBD" w14:textId="77777777">
        <w:trPr>
          <w:jc w:val="center"/>
        </w:trPr>
        <w:tc>
          <w:tcPr>
            <w:tcW w:w="2880" w:type="dxa"/>
          </w:tcPr>
          <w:p w14:paraId="59767D61" w14:textId="77777777" w:rsidR="00401EAB" w:rsidRDefault="00000000" w:rsidP="00FA756C">
            <w:pPr>
              <w:spacing w:line="360" w:lineRule="auto"/>
              <w:jc w:val="both"/>
            </w:pPr>
            <w:r>
              <w:t>Stacking</w:t>
            </w:r>
          </w:p>
        </w:tc>
        <w:tc>
          <w:tcPr>
            <w:tcW w:w="2880" w:type="dxa"/>
          </w:tcPr>
          <w:p w14:paraId="31B4D79E" w14:textId="77777777" w:rsidR="00401EAB" w:rsidRDefault="00000000" w:rsidP="00FA756C">
            <w:pPr>
              <w:spacing w:line="360" w:lineRule="auto"/>
              <w:jc w:val="both"/>
            </w:pPr>
            <w:r>
              <w:t>Meta-ensemble</w:t>
            </w:r>
          </w:p>
        </w:tc>
        <w:tc>
          <w:tcPr>
            <w:tcW w:w="2880" w:type="dxa"/>
          </w:tcPr>
          <w:p w14:paraId="01C09907" w14:textId="77777777" w:rsidR="00401EAB" w:rsidRDefault="00000000" w:rsidP="00FA756C">
            <w:pPr>
              <w:spacing w:line="360" w:lineRule="auto"/>
              <w:jc w:val="both"/>
            </w:pPr>
            <w:r>
              <w:t xml:space="preserve">Combines diverse base </w:t>
            </w:r>
            <w:r>
              <w:lastRenderedPageBreak/>
              <w:t>learners (Wolpert, 1992)</w:t>
            </w:r>
          </w:p>
        </w:tc>
      </w:tr>
    </w:tbl>
    <w:p w14:paraId="2E891738" w14:textId="77777777" w:rsidR="00401EAB" w:rsidRDefault="00401EAB" w:rsidP="00FA756C">
      <w:pPr>
        <w:spacing w:line="360" w:lineRule="auto"/>
        <w:jc w:val="both"/>
      </w:pPr>
    </w:p>
    <w:p w14:paraId="5C4C9CDA" w14:textId="77777777" w:rsidR="00401EAB" w:rsidRDefault="00000000" w:rsidP="00FA756C">
      <w:pPr>
        <w:pStyle w:val="Heading2"/>
        <w:spacing w:line="360" w:lineRule="auto"/>
        <w:jc w:val="both"/>
      </w:pPr>
      <w:r>
        <w:t>2.8 Bayesian Hyperparameter Optimisation</w:t>
      </w:r>
    </w:p>
    <w:p w14:paraId="022A4B6A" w14:textId="77777777" w:rsidR="00401EAB" w:rsidRDefault="00000000" w:rsidP="00FA756C">
      <w:pPr>
        <w:spacing w:line="360" w:lineRule="auto"/>
        <w:jc w:val="both"/>
      </w:pPr>
      <w:r>
        <w:t>Hyperparameters were optimised using Bayesian search (scikit-optimize BayesSearchCV) with 50 iterations per model and 5-fold stratified cross-validation scored by AUROC. Bayesian optimisation was chosen over grid search because it efficiently explores continuous, high-dimensional parameter spaces using a surrogate probabilistic model to guide the search (Snoek et al., 2012). This matches the methodology employed by Chen et al. (2022).</w:t>
      </w:r>
    </w:p>
    <w:p w14:paraId="2B9BCA6C" w14:textId="77777777" w:rsidR="00401EAB" w:rsidRDefault="00000000" w:rsidP="00FA756C">
      <w:pPr>
        <w:pStyle w:val="Heading2"/>
        <w:spacing w:line="360" w:lineRule="auto"/>
        <w:jc w:val="both"/>
      </w:pPr>
      <w:r>
        <w:t>2.9 Evaluation Metrics</w:t>
      </w:r>
    </w:p>
    <w:p w14:paraId="12B14B76" w14:textId="77777777" w:rsidR="00401EAB" w:rsidRDefault="00000000" w:rsidP="00FA756C">
      <w:pPr>
        <w:spacing w:line="360" w:lineRule="auto"/>
        <w:jc w:val="both"/>
      </w:pPr>
      <w:r>
        <w:t>Models were evaluated on the held-out test set using AUROC, area under the precision-recall curve (AUPRC), precision (positive predictive value), recall (sensitivity), F1 score, accuracy, and Matthews correlation coefficient (MCC). MCC was included as the primary balanced metric because it accounts for all four confusion matrix quadrants and is robust to class imbalance (Chicco and Jurman, 2020). AUPRC was reported alongside AUROC as recommended for imbalanced classification problems (Saito and Rehmsmeier, 2015).</w:t>
      </w:r>
    </w:p>
    <w:p w14:paraId="36A89727" w14:textId="77777777" w:rsidR="00401EAB" w:rsidRDefault="00000000" w:rsidP="00FA756C">
      <w:pPr>
        <w:pStyle w:val="Heading2"/>
        <w:spacing w:line="360" w:lineRule="auto"/>
        <w:jc w:val="both"/>
      </w:pPr>
      <w:r>
        <w:t>2.10 Model Explainability: SHAP Analysis</w:t>
      </w:r>
    </w:p>
    <w:p w14:paraId="7CBB903A" w14:textId="77777777" w:rsidR="00401EAB" w:rsidRDefault="00000000" w:rsidP="00FA756C">
      <w:pPr>
        <w:spacing w:line="360" w:lineRule="auto"/>
        <w:jc w:val="both"/>
      </w:pPr>
      <w:r>
        <w:t>SHAP (SHapley Additive exPlanations) values were computed for XGBoost and Random Forest using TreeExplainer (Lundberg and Lee, 2017). SHAP provides the only feature attribution method satisfying the axioms of local accuracy, missingness, and consistency. Both global importance (mean absolute SHAP) and local explanations (per-patient beeswarm plots) were generated. Consensus genes were identified as those appearing in the top 30 SHAP-ranked features for both models independently.</w:t>
      </w:r>
    </w:p>
    <w:p w14:paraId="4298F1D6" w14:textId="77777777" w:rsidR="00401EAB" w:rsidRDefault="00000000" w:rsidP="00FA756C">
      <w:pPr>
        <w:pStyle w:val="Heading2"/>
        <w:spacing w:line="360" w:lineRule="auto"/>
        <w:jc w:val="both"/>
      </w:pPr>
      <w:r>
        <w:t>2.11 Clinical Utility Assessment</w:t>
      </w:r>
    </w:p>
    <w:p w14:paraId="008286D2" w14:textId="77777777" w:rsidR="00401EAB" w:rsidRDefault="00000000" w:rsidP="00FA756C">
      <w:pPr>
        <w:spacing w:line="360" w:lineRule="auto"/>
        <w:jc w:val="both"/>
      </w:pPr>
      <w:r>
        <w:t xml:space="preserve">Calibration was assessed using reliability diagrams with a 5-bin uniform strategy following Steyerberg et al. (2010). Decision curve analysis (DCA) was performed to evaluate net clinical benefit across a range of treatment threshold probabilities, comparing model-guided treatment selection against the default strategies of "treat all" </w:t>
      </w:r>
      <w:r>
        <w:lastRenderedPageBreak/>
        <w:t>and "treat none" (Vickers and Elkin, 2006). DCA is increasingly mandated for clinical prediction model reporting under TRIPOD+AI guidelines (Collins et al., 2024).</w:t>
      </w:r>
    </w:p>
    <w:p w14:paraId="2A7AE53B" w14:textId="77777777" w:rsidR="00401EAB" w:rsidRDefault="00000000" w:rsidP="00FA756C">
      <w:pPr>
        <w:pStyle w:val="Heading2"/>
        <w:spacing w:line="360" w:lineRule="auto"/>
        <w:jc w:val="both"/>
      </w:pPr>
      <w:r>
        <w:t>2.12 Software and Reproducibility</w:t>
      </w:r>
    </w:p>
    <w:p w14:paraId="47B8D217" w14:textId="187B8605" w:rsidR="00401EAB" w:rsidRDefault="00000000" w:rsidP="00FA756C">
      <w:pPr>
        <w:spacing w:line="360" w:lineRule="auto"/>
        <w:jc w:val="both"/>
      </w:pPr>
      <w:r>
        <w:t xml:space="preserve">All analyses were performed in Python 3.11 using scikit-learn 1.3, XGBoost 2.0, SHAP 0.43, and scikit-optimize 0.10. The complete analytical pipeline is available as a </w:t>
      </w:r>
      <w:proofErr w:type="spellStart"/>
      <w:r>
        <w:t>Jupyter</w:t>
      </w:r>
      <w:proofErr w:type="spellEnd"/>
      <w:r>
        <w:t xml:space="preserve"> notebook </w:t>
      </w:r>
      <w:r w:rsidR="00FA756C">
        <w:t xml:space="preserve">available on GitHub as via </w:t>
      </w:r>
      <w:r w:rsidRPr="00FA756C">
        <w:rPr>
          <w:color w:val="FF0000"/>
          <w:u w:val="single"/>
        </w:rPr>
        <w:t>(GSE163882_pCR_Spearman_Pipeline.ipynb).</w:t>
      </w:r>
    </w:p>
    <w:p w14:paraId="1860908A" w14:textId="77777777" w:rsidR="00401EAB" w:rsidRDefault="00000000" w:rsidP="00FA756C">
      <w:pPr>
        <w:spacing w:line="360" w:lineRule="auto"/>
        <w:jc w:val="both"/>
      </w:pPr>
      <w:r>
        <w:br w:type="page"/>
      </w:r>
    </w:p>
    <w:p w14:paraId="4B95C790" w14:textId="77777777" w:rsidR="00401EAB" w:rsidRDefault="00000000" w:rsidP="00FA756C">
      <w:pPr>
        <w:pStyle w:val="Heading1"/>
        <w:spacing w:line="360" w:lineRule="auto"/>
        <w:jc w:val="both"/>
      </w:pPr>
      <w:r>
        <w:lastRenderedPageBreak/>
        <w:t>3. Results</w:t>
      </w:r>
    </w:p>
    <w:p w14:paraId="4C15B973" w14:textId="77777777" w:rsidR="00401EAB" w:rsidRDefault="00000000" w:rsidP="00FA756C">
      <w:pPr>
        <w:pStyle w:val="Heading2"/>
        <w:spacing w:line="360" w:lineRule="auto"/>
        <w:jc w:val="both"/>
      </w:pPr>
      <w:r>
        <w:t>3.1 Feature Selection</w:t>
      </w:r>
    </w:p>
    <w:p w14:paraId="78785E52" w14:textId="77777777" w:rsidR="00401EAB" w:rsidRDefault="00000000" w:rsidP="00FA756C">
      <w:pPr>
        <w:spacing w:line="360" w:lineRule="auto"/>
        <w:jc w:val="both"/>
      </w:pPr>
      <w:r>
        <w:t>Spearman rank correlation testing on the training set (n = 177) identified 575 genes significantly associated with pCR status (P &lt; 0.001) from 60,279 expressed genes, representing a 99.05% reduction in dimensionality. The top-ranked gene by absolute Spearman rho was ENSG00000122877 (rho = +0.385, P = 1.2 x 10-7), followed by ENSG00000175356 (rho = -0.373, P = 3.2 x 10-7) and ENSG00000104970 (rho = +0.369, P = 4.2 x 10-7). Positive rho values indicate higher expression in pCR patients, while negative values indicate higher expression in residual disease.</w:t>
      </w:r>
    </w:p>
    <w:p w14:paraId="3CC75F0F" w14:textId="77777777" w:rsidR="00401EAB" w:rsidRDefault="00000000" w:rsidP="00FA756C">
      <w:pPr>
        <w:pStyle w:val="Heading2"/>
        <w:spacing w:line="360" w:lineRule="auto"/>
        <w:jc w:val="both"/>
      </w:pPr>
      <w:r>
        <w:t>3.2 Bayesian Hyperparameter Optimisation</w:t>
      </w:r>
    </w:p>
    <w:p w14:paraId="4796923F" w14:textId="77777777" w:rsidR="00401EAB" w:rsidRDefault="00000000" w:rsidP="00FA756C">
      <w:pPr>
        <w:spacing w:line="360" w:lineRule="auto"/>
        <w:jc w:val="both"/>
      </w:pPr>
      <w:r>
        <w:t>Bayesian optimisation over 50 iterations per model identified the following optimal configurations and cross-validation performance:</w:t>
      </w:r>
    </w:p>
    <w:tbl>
      <w:tblPr>
        <w:tblStyle w:val="TableGrid"/>
        <w:tblW w:w="0" w:type="auto"/>
        <w:jc w:val="center"/>
        <w:tblLook w:val="04A0" w:firstRow="1" w:lastRow="0" w:firstColumn="1" w:lastColumn="0" w:noHBand="0" w:noVBand="1"/>
      </w:tblPr>
      <w:tblGrid>
        <w:gridCol w:w="2880"/>
        <w:gridCol w:w="2880"/>
        <w:gridCol w:w="2880"/>
      </w:tblGrid>
      <w:tr w:rsidR="00401EAB" w14:paraId="513DD189" w14:textId="77777777">
        <w:trPr>
          <w:jc w:val="center"/>
        </w:trPr>
        <w:tc>
          <w:tcPr>
            <w:tcW w:w="2880" w:type="dxa"/>
          </w:tcPr>
          <w:p w14:paraId="767565E2" w14:textId="77777777" w:rsidR="00401EAB" w:rsidRDefault="00000000" w:rsidP="00FA756C">
            <w:pPr>
              <w:spacing w:line="276" w:lineRule="auto"/>
              <w:jc w:val="both"/>
            </w:pPr>
            <w:r>
              <w:rPr>
                <w:b/>
              </w:rPr>
              <w:t>Model</w:t>
            </w:r>
          </w:p>
        </w:tc>
        <w:tc>
          <w:tcPr>
            <w:tcW w:w="2880" w:type="dxa"/>
          </w:tcPr>
          <w:p w14:paraId="10D277A1" w14:textId="77777777" w:rsidR="00401EAB" w:rsidRDefault="00000000" w:rsidP="00FA756C">
            <w:pPr>
              <w:spacing w:line="276" w:lineRule="auto"/>
              <w:jc w:val="both"/>
            </w:pPr>
            <w:r>
              <w:rPr>
                <w:b/>
              </w:rPr>
              <w:t>Key Parameters</w:t>
            </w:r>
          </w:p>
        </w:tc>
        <w:tc>
          <w:tcPr>
            <w:tcW w:w="2880" w:type="dxa"/>
          </w:tcPr>
          <w:p w14:paraId="75441DF2" w14:textId="77777777" w:rsidR="00401EAB" w:rsidRDefault="00000000" w:rsidP="00FA756C">
            <w:pPr>
              <w:spacing w:line="276" w:lineRule="auto"/>
              <w:jc w:val="both"/>
            </w:pPr>
            <w:r>
              <w:rPr>
                <w:b/>
              </w:rPr>
              <w:t>CV AUROC</w:t>
            </w:r>
          </w:p>
        </w:tc>
      </w:tr>
      <w:tr w:rsidR="00401EAB" w14:paraId="61BA195D" w14:textId="77777777">
        <w:trPr>
          <w:jc w:val="center"/>
        </w:trPr>
        <w:tc>
          <w:tcPr>
            <w:tcW w:w="2880" w:type="dxa"/>
          </w:tcPr>
          <w:p w14:paraId="4B9C6217" w14:textId="77777777" w:rsidR="00401EAB" w:rsidRDefault="00000000" w:rsidP="00FA756C">
            <w:pPr>
              <w:spacing w:line="276" w:lineRule="auto"/>
              <w:jc w:val="both"/>
            </w:pPr>
            <w:r>
              <w:t>Logistic Regression</w:t>
            </w:r>
          </w:p>
        </w:tc>
        <w:tc>
          <w:tcPr>
            <w:tcW w:w="2880" w:type="dxa"/>
          </w:tcPr>
          <w:p w14:paraId="496BE6B8" w14:textId="77777777" w:rsidR="00401EAB" w:rsidRDefault="00000000" w:rsidP="00FA756C">
            <w:pPr>
              <w:spacing w:line="276" w:lineRule="auto"/>
              <w:jc w:val="both"/>
            </w:pPr>
            <w:r>
              <w:t>C = 0.01, penalty = L1</w:t>
            </w:r>
          </w:p>
        </w:tc>
        <w:tc>
          <w:tcPr>
            <w:tcW w:w="2880" w:type="dxa"/>
          </w:tcPr>
          <w:p w14:paraId="4B7EFCEE" w14:textId="77777777" w:rsidR="00401EAB" w:rsidRDefault="00000000" w:rsidP="00FA756C">
            <w:pPr>
              <w:spacing w:line="276" w:lineRule="auto"/>
              <w:jc w:val="both"/>
            </w:pPr>
            <w:r>
              <w:t>0.806</w:t>
            </w:r>
          </w:p>
        </w:tc>
      </w:tr>
      <w:tr w:rsidR="00401EAB" w14:paraId="4FF06435" w14:textId="77777777">
        <w:trPr>
          <w:jc w:val="center"/>
        </w:trPr>
        <w:tc>
          <w:tcPr>
            <w:tcW w:w="2880" w:type="dxa"/>
          </w:tcPr>
          <w:p w14:paraId="3B6BFBFF" w14:textId="77777777" w:rsidR="00401EAB" w:rsidRDefault="00000000" w:rsidP="00FA756C">
            <w:pPr>
              <w:spacing w:line="276" w:lineRule="auto"/>
              <w:jc w:val="both"/>
            </w:pPr>
            <w:r>
              <w:t>Random Forest</w:t>
            </w:r>
          </w:p>
        </w:tc>
        <w:tc>
          <w:tcPr>
            <w:tcW w:w="2880" w:type="dxa"/>
          </w:tcPr>
          <w:p w14:paraId="38AF3F1A" w14:textId="77777777" w:rsidR="00401EAB" w:rsidRDefault="00000000" w:rsidP="00FA756C">
            <w:pPr>
              <w:spacing w:line="276" w:lineRule="auto"/>
              <w:jc w:val="both"/>
            </w:pPr>
            <w:r>
              <w:t>max_depth = 5, min_samples_leaf = 3, n_estimators = 100</w:t>
            </w:r>
          </w:p>
        </w:tc>
        <w:tc>
          <w:tcPr>
            <w:tcW w:w="2880" w:type="dxa"/>
          </w:tcPr>
          <w:p w14:paraId="36149DA4" w14:textId="77777777" w:rsidR="00401EAB" w:rsidRDefault="00000000" w:rsidP="00FA756C">
            <w:pPr>
              <w:spacing w:line="276" w:lineRule="auto"/>
              <w:jc w:val="both"/>
            </w:pPr>
            <w:r>
              <w:t>0.774</w:t>
            </w:r>
          </w:p>
        </w:tc>
      </w:tr>
      <w:tr w:rsidR="00401EAB" w14:paraId="637D9A63" w14:textId="77777777">
        <w:trPr>
          <w:jc w:val="center"/>
        </w:trPr>
        <w:tc>
          <w:tcPr>
            <w:tcW w:w="2880" w:type="dxa"/>
          </w:tcPr>
          <w:p w14:paraId="544137F8" w14:textId="77777777" w:rsidR="00401EAB" w:rsidRDefault="00000000" w:rsidP="00FA756C">
            <w:pPr>
              <w:spacing w:line="276" w:lineRule="auto"/>
              <w:jc w:val="both"/>
            </w:pPr>
            <w:r>
              <w:t>XGBoost</w:t>
            </w:r>
          </w:p>
        </w:tc>
        <w:tc>
          <w:tcPr>
            <w:tcW w:w="2880" w:type="dxa"/>
          </w:tcPr>
          <w:p w14:paraId="650D0274" w14:textId="77777777" w:rsidR="00401EAB" w:rsidRDefault="00000000" w:rsidP="00FA756C">
            <w:pPr>
              <w:spacing w:line="276" w:lineRule="auto"/>
              <w:jc w:val="both"/>
            </w:pPr>
            <w:r>
              <w:t>max_depth = 3, learning_rate = 0.1, subsample = 0.8</w:t>
            </w:r>
          </w:p>
        </w:tc>
        <w:tc>
          <w:tcPr>
            <w:tcW w:w="2880" w:type="dxa"/>
          </w:tcPr>
          <w:p w14:paraId="3F24026B" w14:textId="77777777" w:rsidR="00401EAB" w:rsidRDefault="00000000" w:rsidP="00FA756C">
            <w:pPr>
              <w:spacing w:line="276" w:lineRule="auto"/>
              <w:jc w:val="both"/>
            </w:pPr>
            <w:r>
              <w:t>0.826</w:t>
            </w:r>
          </w:p>
        </w:tc>
      </w:tr>
      <w:tr w:rsidR="00401EAB" w14:paraId="183464D9" w14:textId="77777777">
        <w:trPr>
          <w:jc w:val="center"/>
        </w:trPr>
        <w:tc>
          <w:tcPr>
            <w:tcW w:w="2880" w:type="dxa"/>
          </w:tcPr>
          <w:p w14:paraId="6498A7CC" w14:textId="77777777" w:rsidR="00401EAB" w:rsidRDefault="00000000" w:rsidP="00FA756C">
            <w:pPr>
              <w:spacing w:line="276" w:lineRule="auto"/>
              <w:jc w:val="both"/>
            </w:pPr>
            <w:r>
              <w:t>SVC</w:t>
            </w:r>
          </w:p>
        </w:tc>
        <w:tc>
          <w:tcPr>
            <w:tcW w:w="2880" w:type="dxa"/>
          </w:tcPr>
          <w:p w14:paraId="4F6A2329" w14:textId="77777777" w:rsidR="00401EAB" w:rsidRDefault="00000000" w:rsidP="00FA756C">
            <w:pPr>
              <w:spacing w:line="276" w:lineRule="auto"/>
              <w:jc w:val="both"/>
            </w:pPr>
            <w:r>
              <w:t>C = 0.5, kernel = RBF</w:t>
            </w:r>
          </w:p>
        </w:tc>
        <w:tc>
          <w:tcPr>
            <w:tcW w:w="2880" w:type="dxa"/>
          </w:tcPr>
          <w:p w14:paraId="35D3C4DF" w14:textId="77777777" w:rsidR="00401EAB" w:rsidRDefault="00000000" w:rsidP="00FA756C">
            <w:pPr>
              <w:spacing w:line="276" w:lineRule="auto"/>
              <w:jc w:val="both"/>
            </w:pPr>
            <w:r>
              <w:t>0.790</w:t>
            </w:r>
          </w:p>
        </w:tc>
      </w:tr>
    </w:tbl>
    <w:p w14:paraId="2D0D9766" w14:textId="77777777" w:rsidR="00401EAB" w:rsidRDefault="00401EAB" w:rsidP="00FA756C">
      <w:pPr>
        <w:spacing w:line="360" w:lineRule="auto"/>
        <w:jc w:val="both"/>
      </w:pPr>
    </w:p>
    <w:p w14:paraId="7D75F13A" w14:textId="77777777" w:rsidR="00401EAB" w:rsidRDefault="00000000" w:rsidP="00FA756C">
      <w:pPr>
        <w:spacing w:line="360" w:lineRule="auto"/>
        <w:jc w:val="both"/>
      </w:pPr>
      <w:r>
        <w:rPr>
          <w:i/>
        </w:rPr>
        <w:t>Table 1. Bayesian optimisation results. XGBoost achieved the highest CV AUROC (0.826), but this advantage did not translate to the held-out test set, suggesting overfitting to the cross-validation folds.</w:t>
      </w:r>
    </w:p>
    <w:p w14:paraId="30B441B8" w14:textId="77777777" w:rsidR="00401EAB" w:rsidRDefault="00000000" w:rsidP="00FA756C">
      <w:pPr>
        <w:pStyle w:val="Heading2"/>
        <w:spacing w:line="360" w:lineRule="auto"/>
        <w:jc w:val="both"/>
      </w:pPr>
      <w:r>
        <w:t>3.3 Test Set Performance</w:t>
      </w:r>
    </w:p>
    <w:p w14:paraId="0E4A0F3B" w14:textId="77777777" w:rsidR="00401EAB" w:rsidRDefault="00000000" w:rsidP="00FA756C">
      <w:pPr>
        <w:spacing w:line="360" w:lineRule="auto"/>
        <w:jc w:val="both"/>
      </w:pPr>
      <w:r>
        <w:t>On the held-out test set (n = 45; 29 RD, 16 pCR), Logistic Regression achieved the highest AUROC (0.709), F1 score (0.563), and MCC (0.321):</w:t>
      </w:r>
    </w:p>
    <w:tbl>
      <w:tblPr>
        <w:tblStyle w:val="TableGrid"/>
        <w:tblW w:w="0" w:type="auto"/>
        <w:jc w:val="center"/>
        <w:tblLook w:val="04A0" w:firstRow="1" w:lastRow="0" w:firstColumn="1" w:lastColumn="0" w:noHBand="0" w:noVBand="1"/>
      </w:tblPr>
      <w:tblGrid>
        <w:gridCol w:w="1105"/>
        <w:gridCol w:w="1080"/>
        <w:gridCol w:w="1080"/>
        <w:gridCol w:w="1080"/>
        <w:gridCol w:w="1080"/>
        <w:gridCol w:w="1080"/>
        <w:gridCol w:w="1080"/>
        <w:gridCol w:w="1080"/>
      </w:tblGrid>
      <w:tr w:rsidR="00401EAB" w14:paraId="20531262" w14:textId="77777777">
        <w:trPr>
          <w:jc w:val="center"/>
        </w:trPr>
        <w:tc>
          <w:tcPr>
            <w:tcW w:w="1080" w:type="dxa"/>
          </w:tcPr>
          <w:p w14:paraId="4A3706AD" w14:textId="77777777" w:rsidR="00401EAB" w:rsidRDefault="00000000" w:rsidP="00FA756C">
            <w:pPr>
              <w:spacing w:line="360" w:lineRule="auto"/>
              <w:jc w:val="both"/>
            </w:pPr>
            <w:r>
              <w:rPr>
                <w:b/>
                <w:sz w:val="20"/>
              </w:rPr>
              <w:t>Model</w:t>
            </w:r>
          </w:p>
        </w:tc>
        <w:tc>
          <w:tcPr>
            <w:tcW w:w="1080" w:type="dxa"/>
          </w:tcPr>
          <w:p w14:paraId="3C07F630" w14:textId="77777777" w:rsidR="00401EAB" w:rsidRDefault="00000000" w:rsidP="00FA756C">
            <w:pPr>
              <w:spacing w:line="360" w:lineRule="auto"/>
              <w:jc w:val="both"/>
            </w:pPr>
            <w:r>
              <w:rPr>
                <w:b/>
                <w:sz w:val="20"/>
              </w:rPr>
              <w:t>AUROC</w:t>
            </w:r>
          </w:p>
        </w:tc>
        <w:tc>
          <w:tcPr>
            <w:tcW w:w="1080" w:type="dxa"/>
          </w:tcPr>
          <w:p w14:paraId="187C5307" w14:textId="77777777" w:rsidR="00401EAB" w:rsidRDefault="00000000" w:rsidP="00FA756C">
            <w:pPr>
              <w:spacing w:line="360" w:lineRule="auto"/>
              <w:jc w:val="both"/>
            </w:pPr>
            <w:r>
              <w:rPr>
                <w:b/>
                <w:sz w:val="20"/>
              </w:rPr>
              <w:t>AUPRC</w:t>
            </w:r>
          </w:p>
        </w:tc>
        <w:tc>
          <w:tcPr>
            <w:tcW w:w="1080" w:type="dxa"/>
          </w:tcPr>
          <w:p w14:paraId="7489E0DF" w14:textId="77777777" w:rsidR="00401EAB" w:rsidRDefault="00000000" w:rsidP="00FA756C">
            <w:pPr>
              <w:spacing w:line="360" w:lineRule="auto"/>
              <w:jc w:val="both"/>
            </w:pPr>
            <w:r>
              <w:rPr>
                <w:b/>
                <w:sz w:val="20"/>
              </w:rPr>
              <w:t>Precision</w:t>
            </w:r>
          </w:p>
        </w:tc>
        <w:tc>
          <w:tcPr>
            <w:tcW w:w="1080" w:type="dxa"/>
          </w:tcPr>
          <w:p w14:paraId="6884C717" w14:textId="77777777" w:rsidR="00401EAB" w:rsidRDefault="00000000" w:rsidP="00FA756C">
            <w:pPr>
              <w:spacing w:line="360" w:lineRule="auto"/>
              <w:jc w:val="both"/>
            </w:pPr>
            <w:r>
              <w:rPr>
                <w:b/>
                <w:sz w:val="20"/>
              </w:rPr>
              <w:t>Recall</w:t>
            </w:r>
          </w:p>
        </w:tc>
        <w:tc>
          <w:tcPr>
            <w:tcW w:w="1080" w:type="dxa"/>
          </w:tcPr>
          <w:p w14:paraId="48D6B5C4" w14:textId="77777777" w:rsidR="00401EAB" w:rsidRDefault="00000000" w:rsidP="00FA756C">
            <w:pPr>
              <w:spacing w:line="360" w:lineRule="auto"/>
              <w:jc w:val="both"/>
            </w:pPr>
            <w:r>
              <w:rPr>
                <w:b/>
                <w:sz w:val="20"/>
              </w:rPr>
              <w:t>F1</w:t>
            </w:r>
          </w:p>
        </w:tc>
        <w:tc>
          <w:tcPr>
            <w:tcW w:w="1080" w:type="dxa"/>
          </w:tcPr>
          <w:p w14:paraId="7007F611" w14:textId="77777777" w:rsidR="00401EAB" w:rsidRDefault="00000000" w:rsidP="00FA756C">
            <w:pPr>
              <w:spacing w:line="360" w:lineRule="auto"/>
              <w:jc w:val="both"/>
            </w:pPr>
            <w:r>
              <w:rPr>
                <w:b/>
                <w:sz w:val="20"/>
              </w:rPr>
              <w:t>Accuracy</w:t>
            </w:r>
          </w:p>
        </w:tc>
        <w:tc>
          <w:tcPr>
            <w:tcW w:w="1080" w:type="dxa"/>
          </w:tcPr>
          <w:p w14:paraId="7C77F085" w14:textId="77777777" w:rsidR="00401EAB" w:rsidRDefault="00000000" w:rsidP="00FA756C">
            <w:pPr>
              <w:spacing w:line="360" w:lineRule="auto"/>
              <w:jc w:val="both"/>
            </w:pPr>
            <w:r>
              <w:rPr>
                <w:b/>
                <w:sz w:val="20"/>
              </w:rPr>
              <w:t>MCC</w:t>
            </w:r>
          </w:p>
        </w:tc>
      </w:tr>
      <w:tr w:rsidR="00401EAB" w14:paraId="088FB467" w14:textId="77777777">
        <w:trPr>
          <w:jc w:val="center"/>
        </w:trPr>
        <w:tc>
          <w:tcPr>
            <w:tcW w:w="1080" w:type="dxa"/>
          </w:tcPr>
          <w:p w14:paraId="2DF4FB04" w14:textId="77777777" w:rsidR="00401EAB" w:rsidRDefault="00000000" w:rsidP="00FA756C">
            <w:pPr>
              <w:spacing w:line="360" w:lineRule="auto"/>
              <w:jc w:val="both"/>
            </w:pPr>
            <w:r>
              <w:rPr>
                <w:sz w:val="20"/>
              </w:rPr>
              <w:t>Logistic Regression</w:t>
            </w:r>
          </w:p>
        </w:tc>
        <w:tc>
          <w:tcPr>
            <w:tcW w:w="1080" w:type="dxa"/>
          </w:tcPr>
          <w:p w14:paraId="2A4E91E2" w14:textId="77777777" w:rsidR="00401EAB" w:rsidRDefault="00000000" w:rsidP="00FA756C">
            <w:pPr>
              <w:spacing w:line="360" w:lineRule="auto"/>
              <w:jc w:val="both"/>
            </w:pPr>
            <w:r>
              <w:rPr>
                <w:sz w:val="20"/>
              </w:rPr>
              <w:t>0.709</w:t>
            </w:r>
          </w:p>
        </w:tc>
        <w:tc>
          <w:tcPr>
            <w:tcW w:w="1080" w:type="dxa"/>
          </w:tcPr>
          <w:p w14:paraId="233F653E" w14:textId="77777777" w:rsidR="00401EAB" w:rsidRDefault="00000000" w:rsidP="00FA756C">
            <w:pPr>
              <w:spacing w:line="360" w:lineRule="auto"/>
              <w:jc w:val="both"/>
            </w:pPr>
            <w:r>
              <w:rPr>
                <w:sz w:val="20"/>
              </w:rPr>
              <w:t>0.504</w:t>
            </w:r>
          </w:p>
        </w:tc>
        <w:tc>
          <w:tcPr>
            <w:tcW w:w="1080" w:type="dxa"/>
          </w:tcPr>
          <w:p w14:paraId="521BC2B4" w14:textId="77777777" w:rsidR="00401EAB" w:rsidRDefault="00000000" w:rsidP="00FA756C">
            <w:pPr>
              <w:spacing w:line="360" w:lineRule="auto"/>
              <w:jc w:val="both"/>
            </w:pPr>
            <w:r>
              <w:rPr>
                <w:sz w:val="20"/>
              </w:rPr>
              <w:t>0.563</w:t>
            </w:r>
          </w:p>
        </w:tc>
        <w:tc>
          <w:tcPr>
            <w:tcW w:w="1080" w:type="dxa"/>
          </w:tcPr>
          <w:p w14:paraId="0E0962AA" w14:textId="77777777" w:rsidR="00401EAB" w:rsidRDefault="00000000" w:rsidP="00FA756C">
            <w:pPr>
              <w:spacing w:line="360" w:lineRule="auto"/>
              <w:jc w:val="both"/>
            </w:pPr>
            <w:r>
              <w:rPr>
                <w:sz w:val="20"/>
              </w:rPr>
              <w:t>0.563</w:t>
            </w:r>
          </w:p>
        </w:tc>
        <w:tc>
          <w:tcPr>
            <w:tcW w:w="1080" w:type="dxa"/>
          </w:tcPr>
          <w:p w14:paraId="191ABD1F" w14:textId="77777777" w:rsidR="00401EAB" w:rsidRDefault="00000000" w:rsidP="00FA756C">
            <w:pPr>
              <w:spacing w:line="360" w:lineRule="auto"/>
              <w:jc w:val="both"/>
            </w:pPr>
            <w:r>
              <w:rPr>
                <w:sz w:val="20"/>
              </w:rPr>
              <w:t>0.563</w:t>
            </w:r>
          </w:p>
        </w:tc>
        <w:tc>
          <w:tcPr>
            <w:tcW w:w="1080" w:type="dxa"/>
          </w:tcPr>
          <w:p w14:paraId="31D60BEE" w14:textId="77777777" w:rsidR="00401EAB" w:rsidRDefault="00000000" w:rsidP="00FA756C">
            <w:pPr>
              <w:spacing w:line="360" w:lineRule="auto"/>
              <w:jc w:val="both"/>
            </w:pPr>
            <w:r>
              <w:rPr>
                <w:sz w:val="20"/>
              </w:rPr>
              <w:t>0.689</w:t>
            </w:r>
          </w:p>
        </w:tc>
        <w:tc>
          <w:tcPr>
            <w:tcW w:w="1080" w:type="dxa"/>
          </w:tcPr>
          <w:p w14:paraId="7B946FBE" w14:textId="77777777" w:rsidR="00401EAB" w:rsidRDefault="00000000" w:rsidP="00FA756C">
            <w:pPr>
              <w:spacing w:line="360" w:lineRule="auto"/>
              <w:jc w:val="both"/>
            </w:pPr>
            <w:r>
              <w:rPr>
                <w:sz w:val="20"/>
              </w:rPr>
              <w:t>0.321</w:t>
            </w:r>
          </w:p>
        </w:tc>
      </w:tr>
      <w:tr w:rsidR="00401EAB" w14:paraId="26EA639E" w14:textId="77777777">
        <w:trPr>
          <w:jc w:val="center"/>
        </w:trPr>
        <w:tc>
          <w:tcPr>
            <w:tcW w:w="1080" w:type="dxa"/>
          </w:tcPr>
          <w:p w14:paraId="0C0887F2" w14:textId="77777777" w:rsidR="00401EAB" w:rsidRDefault="00000000" w:rsidP="00FA756C">
            <w:pPr>
              <w:spacing w:line="360" w:lineRule="auto"/>
              <w:jc w:val="both"/>
            </w:pPr>
            <w:r>
              <w:rPr>
                <w:sz w:val="20"/>
              </w:rPr>
              <w:lastRenderedPageBreak/>
              <w:t>Random Forest</w:t>
            </w:r>
          </w:p>
        </w:tc>
        <w:tc>
          <w:tcPr>
            <w:tcW w:w="1080" w:type="dxa"/>
          </w:tcPr>
          <w:p w14:paraId="3E540F0E" w14:textId="77777777" w:rsidR="00401EAB" w:rsidRDefault="00000000" w:rsidP="00FA756C">
            <w:pPr>
              <w:spacing w:line="360" w:lineRule="auto"/>
              <w:jc w:val="both"/>
            </w:pPr>
            <w:r>
              <w:rPr>
                <w:sz w:val="20"/>
              </w:rPr>
              <w:t>0.675</w:t>
            </w:r>
          </w:p>
        </w:tc>
        <w:tc>
          <w:tcPr>
            <w:tcW w:w="1080" w:type="dxa"/>
          </w:tcPr>
          <w:p w14:paraId="39D25225" w14:textId="77777777" w:rsidR="00401EAB" w:rsidRDefault="00000000" w:rsidP="00FA756C">
            <w:pPr>
              <w:spacing w:line="360" w:lineRule="auto"/>
              <w:jc w:val="both"/>
            </w:pPr>
            <w:r>
              <w:rPr>
                <w:sz w:val="20"/>
              </w:rPr>
              <w:t>0.579</w:t>
            </w:r>
          </w:p>
        </w:tc>
        <w:tc>
          <w:tcPr>
            <w:tcW w:w="1080" w:type="dxa"/>
          </w:tcPr>
          <w:p w14:paraId="54A628E9" w14:textId="77777777" w:rsidR="00401EAB" w:rsidRDefault="00000000" w:rsidP="00FA756C">
            <w:pPr>
              <w:spacing w:line="360" w:lineRule="auto"/>
              <w:jc w:val="both"/>
            </w:pPr>
            <w:r>
              <w:rPr>
                <w:sz w:val="20"/>
              </w:rPr>
              <w:t>0.538</w:t>
            </w:r>
          </w:p>
        </w:tc>
        <w:tc>
          <w:tcPr>
            <w:tcW w:w="1080" w:type="dxa"/>
          </w:tcPr>
          <w:p w14:paraId="057C59D3" w14:textId="77777777" w:rsidR="00401EAB" w:rsidRDefault="00000000" w:rsidP="00FA756C">
            <w:pPr>
              <w:spacing w:line="360" w:lineRule="auto"/>
              <w:jc w:val="both"/>
            </w:pPr>
            <w:r>
              <w:rPr>
                <w:sz w:val="20"/>
              </w:rPr>
              <w:t>0.438</w:t>
            </w:r>
          </w:p>
        </w:tc>
        <w:tc>
          <w:tcPr>
            <w:tcW w:w="1080" w:type="dxa"/>
          </w:tcPr>
          <w:p w14:paraId="0E8EABB4" w14:textId="77777777" w:rsidR="00401EAB" w:rsidRDefault="00000000" w:rsidP="00FA756C">
            <w:pPr>
              <w:spacing w:line="360" w:lineRule="auto"/>
              <w:jc w:val="both"/>
            </w:pPr>
            <w:r>
              <w:rPr>
                <w:sz w:val="20"/>
              </w:rPr>
              <w:t>0.483</w:t>
            </w:r>
          </w:p>
        </w:tc>
        <w:tc>
          <w:tcPr>
            <w:tcW w:w="1080" w:type="dxa"/>
          </w:tcPr>
          <w:p w14:paraId="125DC6C6" w14:textId="77777777" w:rsidR="00401EAB" w:rsidRDefault="00000000" w:rsidP="00FA756C">
            <w:pPr>
              <w:spacing w:line="360" w:lineRule="auto"/>
              <w:jc w:val="both"/>
            </w:pPr>
            <w:r>
              <w:rPr>
                <w:sz w:val="20"/>
              </w:rPr>
              <w:t>0.667</w:t>
            </w:r>
          </w:p>
        </w:tc>
        <w:tc>
          <w:tcPr>
            <w:tcW w:w="1080" w:type="dxa"/>
          </w:tcPr>
          <w:p w14:paraId="329F5E1E" w14:textId="77777777" w:rsidR="00401EAB" w:rsidRDefault="00000000" w:rsidP="00FA756C">
            <w:pPr>
              <w:spacing w:line="360" w:lineRule="auto"/>
              <w:jc w:val="both"/>
            </w:pPr>
            <w:r>
              <w:rPr>
                <w:sz w:val="20"/>
              </w:rPr>
              <w:t>0.244</w:t>
            </w:r>
          </w:p>
        </w:tc>
      </w:tr>
      <w:tr w:rsidR="00401EAB" w14:paraId="508F223B" w14:textId="77777777">
        <w:trPr>
          <w:jc w:val="center"/>
        </w:trPr>
        <w:tc>
          <w:tcPr>
            <w:tcW w:w="1080" w:type="dxa"/>
          </w:tcPr>
          <w:p w14:paraId="08FC5927" w14:textId="77777777" w:rsidR="00401EAB" w:rsidRDefault="00000000" w:rsidP="00FA756C">
            <w:pPr>
              <w:spacing w:line="360" w:lineRule="auto"/>
              <w:jc w:val="both"/>
            </w:pPr>
            <w:r>
              <w:rPr>
                <w:sz w:val="20"/>
              </w:rPr>
              <w:t>XGBoost</w:t>
            </w:r>
          </w:p>
        </w:tc>
        <w:tc>
          <w:tcPr>
            <w:tcW w:w="1080" w:type="dxa"/>
          </w:tcPr>
          <w:p w14:paraId="53F4DBD9" w14:textId="77777777" w:rsidR="00401EAB" w:rsidRDefault="00000000" w:rsidP="00FA756C">
            <w:pPr>
              <w:spacing w:line="360" w:lineRule="auto"/>
              <w:jc w:val="both"/>
            </w:pPr>
            <w:r>
              <w:rPr>
                <w:sz w:val="20"/>
              </w:rPr>
              <w:t>0.595</w:t>
            </w:r>
          </w:p>
        </w:tc>
        <w:tc>
          <w:tcPr>
            <w:tcW w:w="1080" w:type="dxa"/>
          </w:tcPr>
          <w:p w14:paraId="73A2F3E3" w14:textId="77777777" w:rsidR="00401EAB" w:rsidRDefault="00000000" w:rsidP="00FA756C">
            <w:pPr>
              <w:spacing w:line="360" w:lineRule="auto"/>
              <w:jc w:val="both"/>
            </w:pPr>
            <w:r>
              <w:rPr>
                <w:sz w:val="20"/>
              </w:rPr>
              <w:t>0.528</w:t>
            </w:r>
          </w:p>
        </w:tc>
        <w:tc>
          <w:tcPr>
            <w:tcW w:w="1080" w:type="dxa"/>
          </w:tcPr>
          <w:p w14:paraId="4D73466C" w14:textId="77777777" w:rsidR="00401EAB" w:rsidRDefault="00000000" w:rsidP="00FA756C">
            <w:pPr>
              <w:spacing w:line="360" w:lineRule="auto"/>
              <w:jc w:val="both"/>
            </w:pPr>
            <w:r>
              <w:rPr>
                <w:sz w:val="20"/>
              </w:rPr>
              <w:t>0.545</w:t>
            </w:r>
          </w:p>
        </w:tc>
        <w:tc>
          <w:tcPr>
            <w:tcW w:w="1080" w:type="dxa"/>
          </w:tcPr>
          <w:p w14:paraId="5A6179EB" w14:textId="77777777" w:rsidR="00401EAB" w:rsidRDefault="00000000" w:rsidP="00FA756C">
            <w:pPr>
              <w:spacing w:line="360" w:lineRule="auto"/>
              <w:jc w:val="both"/>
            </w:pPr>
            <w:r>
              <w:rPr>
                <w:sz w:val="20"/>
              </w:rPr>
              <w:t>0.375</w:t>
            </w:r>
          </w:p>
        </w:tc>
        <w:tc>
          <w:tcPr>
            <w:tcW w:w="1080" w:type="dxa"/>
          </w:tcPr>
          <w:p w14:paraId="688F20A8" w14:textId="77777777" w:rsidR="00401EAB" w:rsidRDefault="00000000" w:rsidP="00FA756C">
            <w:pPr>
              <w:spacing w:line="360" w:lineRule="auto"/>
              <w:jc w:val="both"/>
            </w:pPr>
            <w:r>
              <w:rPr>
                <w:sz w:val="20"/>
              </w:rPr>
              <w:t>0.444</w:t>
            </w:r>
          </w:p>
        </w:tc>
        <w:tc>
          <w:tcPr>
            <w:tcW w:w="1080" w:type="dxa"/>
          </w:tcPr>
          <w:p w14:paraId="55E4C9A3" w14:textId="77777777" w:rsidR="00401EAB" w:rsidRDefault="00000000" w:rsidP="00FA756C">
            <w:pPr>
              <w:spacing w:line="360" w:lineRule="auto"/>
              <w:jc w:val="both"/>
            </w:pPr>
            <w:r>
              <w:rPr>
                <w:sz w:val="20"/>
              </w:rPr>
              <w:t>0.667</w:t>
            </w:r>
          </w:p>
        </w:tc>
        <w:tc>
          <w:tcPr>
            <w:tcW w:w="1080" w:type="dxa"/>
          </w:tcPr>
          <w:p w14:paraId="45184EAD" w14:textId="77777777" w:rsidR="00401EAB" w:rsidRDefault="00000000" w:rsidP="00FA756C">
            <w:pPr>
              <w:spacing w:line="360" w:lineRule="auto"/>
              <w:jc w:val="both"/>
            </w:pPr>
            <w:r>
              <w:rPr>
                <w:sz w:val="20"/>
              </w:rPr>
              <w:t>0.226</w:t>
            </w:r>
          </w:p>
        </w:tc>
      </w:tr>
      <w:tr w:rsidR="00401EAB" w14:paraId="5AED779B" w14:textId="77777777">
        <w:trPr>
          <w:jc w:val="center"/>
        </w:trPr>
        <w:tc>
          <w:tcPr>
            <w:tcW w:w="1080" w:type="dxa"/>
          </w:tcPr>
          <w:p w14:paraId="1E21140B" w14:textId="77777777" w:rsidR="00401EAB" w:rsidRDefault="00000000" w:rsidP="00FA756C">
            <w:pPr>
              <w:spacing w:line="360" w:lineRule="auto"/>
              <w:jc w:val="both"/>
            </w:pPr>
            <w:r>
              <w:rPr>
                <w:sz w:val="20"/>
              </w:rPr>
              <w:t>Stacking</w:t>
            </w:r>
          </w:p>
        </w:tc>
        <w:tc>
          <w:tcPr>
            <w:tcW w:w="1080" w:type="dxa"/>
          </w:tcPr>
          <w:p w14:paraId="760A9EF8" w14:textId="77777777" w:rsidR="00401EAB" w:rsidRDefault="00000000" w:rsidP="00FA756C">
            <w:pPr>
              <w:spacing w:line="360" w:lineRule="auto"/>
              <w:jc w:val="both"/>
            </w:pPr>
            <w:r>
              <w:rPr>
                <w:sz w:val="20"/>
              </w:rPr>
              <w:t>0.675</w:t>
            </w:r>
          </w:p>
        </w:tc>
        <w:tc>
          <w:tcPr>
            <w:tcW w:w="1080" w:type="dxa"/>
          </w:tcPr>
          <w:p w14:paraId="10817A0C" w14:textId="77777777" w:rsidR="00401EAB" w:rsidRDefault="00000000" w:rsidP="00FA756C">
            <w:pPr>
              <w:spacing w:line="360" w:lineRule="auto"/>
              <w:jc w:val="both"/>
            </w:pPr>
            <w:r>
              <w:rPr>
                <w:sz w:val="20"/>
              </w:rPr>
              <w:t>0.556</w:t>
            </w:r>
          </w:p>
        </w:tc>
        <w:tc>
          <w:tcPr>
            <w:tcW w:w="1080" w:type="dxa"/>
          </w:tcPr>
          <w:p w14:paraId="5233CBD7" w14:textId="77777777" w:rsidR="00401EAB" w:rsidRDefault="00000000" w:rsidP="00FA756C">
            <w:pPr>
              <w:spacing w:line="360" w:lineRule="auto"/>
              <w:jc w:val="both"/>
            </w:pPr>
            <w:r>
              <w:rPr>
                <w:sz w:val="20"/>
              </w:rPr>
              <w:t>0.500</w:t>
            </w:r>
          </w:p>
        </w:tc>
        <w:tc>
          <w:tcPr>
            <w:tcW w:w="1080" w:type="dxa"/>
          </w:tcPr>
          <w:p w14:paraId="281FDAC3" w14:textId="77777777" w:rsidR="00401EAB" w:rsidRDefault="00000000" w:rsidP="00FA756C">
            <w:pPr>
              <w:spacing w:line="360" w:lineRule="auto"/>
              <w:jc w:val="both"/>
            </w:pPr>
            <w:r>
              <w:rPr>
                <w:sz w:val="20"/>
              </w:rPr>
              <w:t>0.500</w:t>
            </w:r>
          </w:p>
        </w:tc>
        <w:tc>
          <w:tcPr>
            <w:tcW w:w="1080" w:type="dxa"/>
          </w:tcPr>
          <w:p w14:paraId="691834A4" w14:textId="77777777" w:rsidR="00401EAB" w:rsidRDefault="00000000" w:rsidP="00FA756C">
            <w:pPr>
              <w:spacing w:line="360" w:lineRule="auto"/>
              <w:jc w:val="both"/>
            </w:pPr>
            <w:r>
              <w:rPr>
                <w:sz w:val="20"/>
              </w:rPr>
              <w:t>0.500</w:t>
            </w:r>
          </w:p>
        </w:tc>
        <w:tc>
          <w:tcPr>
            <w:tcW w:w="1080" w:type="dxa"/>
          </w:tcPr>
          <w:p w14:paraId="60A8748F" w14:textId="77777777" w:rsidR="00401EAB" w:rsidRDefault="00000000" w:rsidP="00FA756C">
            <w:pPr>
              <w:spacing w:line="360" w:lineRule="auto"/>
              <w:jc w:val="both"/>
            </w:pPr>
            <w:r>
              <w:rPr>
                <w:sz w:val="20"/>
              </w:rPr>
              <w:t>0.644</w:t>
            </w:r>
          </w:p>
        </w:tc>
        <w:tc>
          <w:tcPr>
            <w:tcW w:w="1080" w:type="dxa"/>
          </w:tcPr>
          <w:p w14:paraId="398C6AE4" w14:textId="77777777" w:rsidR="00401EAB" w:rsidRDefault="00000000" w:rsidP="00FA756C">
            <w:pPr>
              <w:spacing w:line="360" w:lineRule="auto"/>
              <w:jc w:val="both"/>
            </w:pPr>
            <w:r>
              <w:rPr>
                <w:sz w:val="20"/>
              </w:rPr>
              <w:t>0.224</w:t>
            </w:r>
          </w:p>
        </w:tc>
      </w:tr>
    </w:tbl>
    <w:p w14:paraId="631259C9" w14:textId="77777777" w:rsidR="00401EAB" w:rsidRDefault="00401EAB" w:rsidP="00FA756C">
      <w:pPr>
        <w:spacing w:line="360" w:lineRule="auto"/>
        <w:jc w:val="both"/>
      </w:pPr>
    </w:p>
    <w:p w14:paraId="520B641D" w14:textId="77777777" w:rsidR="00401EAB" w:rsidRDefault="00000000" w:rsidP="00FA756C">
      <w:pPr>
        <w:spacing w:line="360" w:lineRule="auto"/>
        <w:jc w:val="both"/>
      </w:pPr>
      <w:r>
        <w:rPr>
          <w:i/>
        </w:rPr>
        <w:t>Table 2. Held-out test set performance. Bold values indicate the best performance in each column. Logistic Regression achieved the highest AUROC, F1, and MCC.</w:t>
      </w:r>
    </w:p>
    <w:p w14:paraId="1A0C7C30" w14:textId="77777777" w:rsidR="00401EAB" w:rsidRDefault="00000000" w:rsidP="00FA756C">
      <w:pPr>
        <w:spacing w:line="360" w:lineRule="auto"/>
        <w:jc w:val="both"/>
      </w:pPr>
      <w:r>
        <w:t>Logistic Regression correctly identified 9 of 16 pCR patients (sensitivity 56.3%) while correctly classifying 22 of 29 RD patients (specificity 75.9%). XGBoost, despite achieving the highest CV AUROC (0.826), showed the largest CV-to-test drop (0.826 to 0.595), indicating overfitting to the training distribution.</w:t>
      </w:r>
    </w:p>
    <w:p w14:paraId="6C04F422" w14:textId="77777777" w:rsidR="00401EAB" w:rsidRDefault="00000000" w:rsidP="00FA756C">
      <w:pPr>
        <w:pStyle w:val="Heading2"/>
        <w:spacing w:line="360" w:lineRule="auto"/>
        <w:jc w:val="both"/>
      </w:pPr>
      <w:r>
        <w:t>3.4 Clinical Utility</w:t>
      </w:r>
    </w:p>
    <w:p w14:paraId="1516AD1F" w14:textId="77777777" w:rsidR="00401EAB" w:rsidRDefault="00000000" w:rsidP="00FA756C">
      <w:pPr>
        <w:spacing w:line="360" w:lineRule="auto"/>
        <w:jc w:val="both"/>
      </w:pPr>
      <w:r>
        <w:t>Calibration analysis revealed that all models exhibited some degree of miscalibration on the 45-sample test set, with Logistic Regression showing the closest adherence to the identity line. Decision curve analysis demonstrated that Logistic Regression provided the highest net clinical benefit across the therapeutically relevant threshold range of 0.25 to 0.55. At a threshold probability of 0.30 (corresponding to a clinician willing to treat if there is at least a 30% predicted probability of pCR), the Logistic Regression model provided a net benefit of approximately 0.22, compared to 0.18 for the "treat all" strategy. This translates to approximately 4 fewer unnecessary chemotherapy courses per 100 patients screened, without missing additional pCR responders. XGBoost and Stacking models did not demonstrate consistent clinical utility above the "treat all" baseline across this threshold range.</w:t>
      </w:r>
    </w:p>
    <w:p w14:paraId="21FC3FFA" w14:textId="77777777" w:rsidR="00401EAB" w:rsidRDefault="00000000" w:rsidP="00FA756C">
      <w:pPr>
        <w:pStyle w:val="Heading2"/>
        <w:spacing w:line="360" w:lineRule="auto"/>
        <w:jc w:val="both"/>
      </w:pPr>
      <w:r>
        <w:t>3.5 SHAP Explainability and Consensus Gene Signature</w:t>
      </w:r>
    </w:p>
    <w:p w14:paraId="652F18C2" w14:textId="77777777" w:rsidR="00401EAB" w:rsidRDefault="00000000" w:rsidP="00FA756C">
      <w:pPr>
        <w:spacing w:line="360" w:lineRule="auto"/>
        <w:jc w:val="both"/>
      </w:pPr>
      <w:r>
        <w:t>SHAP analysis identified the top 30 most predictive genes for each of the XGBoost and Random Forest models independently. Cross-model comparison revealed 9 consensus genes appearing in both top-30 lists:</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401EAB" w14:paraId="501BEC4C" w14:textId="77777777">
        <w:trPr>
          <w:jc w:val="center"/>
        </w:trPr>
        <w:tc>
          <w:tcPr>
            <w:tcW w:w="1728" w:type="dxa"/>
          </w:tcPr>
          <w:p w14:paraId="5AD5BA7E" w14:textId="77777777" w:rsidR="00401EAB" w:rsidRDefault="00000000" w:rsidP="00FA756C">
            <w:pPr>
              <w:spacing w:line="360" w:lineRule="auto"/>
              <w:jc w:val="both"/>
            </w:pPr>
            <w:r>
              <w:rPr>
                <w:b/>
                <w:sz w:val="18"/>
              </w:rPr>
              <w:t>Gene (Ensembl ID)</w:t>
            </w:r>
          </w:p>
        </w:tc>
        <w:tc>
          <w:tcPr>
            <w:tcW w:w="1728" w:type="dxa"/>
          </w:tcPr>
          <w:p w14:paraId="546062D1" w14:textId="77777777" w:rsidR="00401EAB" w:rsidRDefault="00000000" w:rsidP="00FA756C">
            <w:pPr>
              <w:spacing w:line="360" w:lineRule="auto"/>
              <w:jc w:val="both"/>
            </w:pPr>
            <w:r>
              <w:rPr>
                <w:b/>
                <w:sz w:val="18"/>
              </w:rPr>
              <w:t>XGBoost Rank</w:t>
            </w:r>
          </w:p>
        </w:tc>
        <w:tc>
          <w:tcPr>
            <w:tcW w:w="1728" w:type="dxa"/>
          </w:tcPr>
          <w:p w14:paraId="10BBCD1C" w14:textId="77777777" w:rsidR="00401EAB" w:rsidRDefault="00000000" w:rsidP="00FA756C">
            <w:pPr>
              <w:spacing w:line="360" w:lineRule="auto"/>
              <w:jc w:val="both"/>
            </w:pPr>
            <w:r>
              <w:rPr>
                <w:b/>
                <w:sz w:val="18"/>
              </w:rPr>
              <w:t>RF Rank</w:t>
            </w:r>
          </w:p>
        </w:tc>
        <w:tc>
          <w:tcPr>
            <w:tcW w:w="1728" w:type="dxa"/>
          </w:tcPr>
          <w:p w14:paraId="0FB87534" w14:textId="77777777" w:rsidR="00401EAB" w:rsidRDefault="00000000" w:rsidP="00FA756C">
            <w:pPr>
              <w:spacing w:line="360" w:lineRule="auto"/>
              <w:jc w:val="both"/>
            </w:pPr>
            <w:r>
              <w:rPr>
                <w:b/>
                <w:sz w:val="18"/>
              </w:rPr>
              <w:t>Putative Symbol</w:t>
            </w:r>
          </w:p>
        </w:tc>
        <w:tc>
          <w:tcPr>
            <w:tcW w:w="1728" w:type="dxa"/>
          </w:tcPr>
          <w:p w14:paraId="3275110D" w14:textId="77777777" w:rsidR="00401EAB" w:rsidRDefault="00000000" w:rsidP="00FA756C">
            <w:pPr>
              <w:spacing w:line="360" w:lineRule="auto"/>
              <w:jc w:val="both"/>
            </w:pPr>
            <w:r>
              <w:rPr>
                <w:b/>
                <w:sz w:val="18"/>
              </w:rPr>
              <w:t>Biological Function</w:t>
            </w:r>
          </w:p>
        </w:tc>
      </w:tr>
      <w:tr w:rsidR="00401EAB" w14:paraId="07D04BB7" w14:textId="77777777">
        <w:trPr>
          <w:jc w:val="center"/>
        </w:trPr>
        <w:tc>
          <w:tcPr>
            <w:tcW w:w="1728" w:type="dxa"/>
          </w:tcPr>
          <w:p w14:paraId="5A4511E0" w14:textId="77777777" w:rsidR="00401EAB" w:rsidRDefault="00000000" w:rsidP="00FA756C">
            <w:pPr>
              <w:spacing w:line="360" w:lineRule="auto"/>
              <w:jc w:val="both"/>
            </w:pPr>
            <w:r>
              <w:rPr>
                <w:sz w:val="18"/>
              </w:rPr>
              <w:t>ENSG00000122877</w:t>
            </w:r>
          </w:p>
        </w:tc>
        <w:tc>
          <w:tcPr>
            <w:tcW w:w="1728" w:type="dxa"/>
          </w:tcPr>
          <w:p w14:paraId="26CB984A" w14:textId="77777777" w:rsidR="00401EAB" w:rsidRDefault="00000000" w:rsidP="00FA756C">
            <w:pPr>
              <w:spacing w:line="360" w:lineRule="auto"/>
              <w:jc w:val="both"/>
            </w:pPr>
            <w:r>
              <w:rPr>
                <w:sz w:val="18"/>
              </w:rPr>
              <w:t>#1</w:t>
            </w:r>
          </w:p>
        </w:tc>
        <w:tc>
          <w:tcPr>
            <w:tcW w:w="1728" w:type="dxa"/>
          </w:tcPr>
          <w:p w14:paraId="6B9E2785" w14:textId="77777777" w:rsidR="00401EAB" w:rsidRDefault="00000000" w:rsidP="00FA756C">
            <w:pPr>
              <w:spacing w:line="360" w:lineRule="auto"/>
              <w:jc w:val="both"/>
            </w:pPr>
            <w:r>
              <w:rPr>
                <w:sz w:val="18"/>
              </w:rPr>
              <w:t>#6</w:t>
            </w:r>
          </w:p>
        </w:tc>
        <w:tc>
          <w:tcPr>
            <w:tcW w:w="1728" w:type="dxa"/>
          </w:tcPr>
          <w:p w14:paraId="2D5F14F3" w14:textId="77777777" w:rsidR="00401EAB" w:rsidRDefault="00000000" w:rsidP="00FA756C">
            <w:pPr>
              <w:spacing w:line="360" w:lineRule="auto"/>
              <w:jc w:val="both"/>
            </w:pPr>
            <w:r>
              <w:rPr>
                <w:sz w:val="18"/>
              </w:rPr>
              <w:t>CDH1/EGR2</w:t>
            </w:r>
          </w:p>
        </w:tc>
        <w:tc>
          <w:tcPr>
            <w:tcW w:w="1728" w:type="dxa"/>
          </w:tcPr>
          <w:p w14:paraId="33B37D07" w14:textId="77777777" w:rsidR="00401EAB" w:rsidRDefault="00000000" w:rsidP="00FA756C">
            <w:pPr>
              <w:spacing w:line="360" w:lineRule="auto"/>
              <w:jc w:val="both"/>
            </w:pPr>
            <w:r>
              <w:rPr>
                <w:sz w:val="18"/>
              </w:rPr>
              <w:t>Cell adhesion / T-cell activation</w:t>
            </w:r>
          </w:p>
        </w:tc>
      </w:tr>
      <w:tr w:rsidR="00401EAB" w14:paraId="769BA13F" w14:textId="77777777">
        <w:trPr>
          <w:jc w:val="center"/>
        </w:trPr>
        <w:tc>
          <w:tcPr>
            <w:tcW w:w="1728" w:type="dxa"/>
          </w:tcPr>
          <w:p w14:paraId="5CF55A9C" w14:textId="77777777" w:rsidR="00401EAB" w:rsidRDefault="00000000" w:rsidP="00FA756C">
            <w:pPr>
              <w:spacing w:line="360" w:lineRule="auto"/>
              <w:jc w:val="both"/>
            </w:pPr>
            <w:r>
              <w:rPr>
                <w:sz w:val="18"/>
              </w:rPr>
              <w:t>ENSG00000175356</w:t>
            </w:r>
          </w:p>
        </w:tc>
        <w:tc>
          <w:tcPr>
            <w:tcW w:w="1728" w:type="dxa"/>
          </w:tcPr>
          <w:p w14:paraId="4BA1F62D" w14:textId="77777777" w:rsidR="00401EAB" w:rsidRDefault="00000000" w:rsidP="00FA756C">
            <w:pPr>
              <w:spacing w:line="360" w:lineRule="auto"/>
              <w:jc w:val="both"/>
            </w:pPr>
            <w:r>
              <w:rPr>
                <w:sz w:val="18"/>
              </w:rPr>
              <w:t>#3</w:t>
            </w:r>
          </w:p>
        </w:tc>
        <w:tc>
          <w:tcPr>
            <w:tcW w:w="1728" w:type="dxa"/>
          </w:tcPr>
          <w:p w14:paraId="1F6DFE95" w14:textId="77777777" w:rsidR="00401EAB" w:rsidRDefault="00000000" w:rsidP="00FA756C">
            <w:pPr>
              <w:spacing w:line="360" w:lineRule="auto"/>
              <w:jc w:val="both"/>
            </w:pPr>
            <w:r>
              <w:rPr>
                <w:sz w:val="18"/>
              </w:rPr>
              <w:t>#1</w:t>
            </w:r>
          </w:p>
        </w:tc>
        <w:tc>
          <w:tcPr>
            <w:tcW w:w="1728" w:type="dxa"/>
          </w:tcPr>
          <w:p w14:paraId="59CC52A0" w14:textId="77777777" w:rsidR="00401EAB" w:rsidRDefault="00000000" w:rsidP="00FA756C">
            <w:pPr>
              <w:spacing w:line="360" w:lineRule="auto"/>
              <w:jc w:val="both"/>
            </w:pPr>
            <w:r>
              <w:rPr>
                <w:sz w:val="18"/>
              </w:rPr>
              <w:t>TP53</w:t>
            </w:r>
          </w:p>
        </w:tc>
        <w:tc>
          <w:tcPr>
            <w:tcW w:w="1728" w:type="dxa"/>
          </w:tcPr>
          <w:p w14:paraId="0E8A9C52" w14:textId="77777777" w:rsidR="00401EAB" w:rsidRDefault="00000000" w:rsidP="00FA756C">
            <w:pPr>
              <w:spacing w:line="360" w:lineRule="auto"/>
              <w:jc w:val="both"/>
            </w:pPr>
            <w:r>
              <w:rPr>
                <w:sz w:val="18"/>
              </w:rPr>
              <w:t xml:space="preserve">Tumour suppressor; </w:t>
            </w:r>
            <w:r>
              <w:rPr>
                <w:sz w:val="18"/>
              </w:rPr>
              <w:lastRenderedPageBreak/>
              <w:t>DNA damage response</w:t>
            </w:r>
          </w:p>
        </w:tc>
      </w:tr>
      <w:tr w:rsidR="00401EAB" w14:paraId="6FD656BA" w14:textId="77777777">
        <w:trPr>
          <w:jc w:val="center"/>
        </w:trPr>
        <w:tc>
          <w:tcPr>
            <w:tcW w:w="1728" w:type="dxa"/>
          </w:tcPr>
          <w:p w14:paraId="4B85D536" w14:textId="77777777" w:rsidR="00401EAB" w:rsidRDefault="00000000" w:rsidP="00FA756C">
            <w:pPr>
              <w:spacing w:line="360" w:lineRule="auto"/>
              <w:jc w:val="both"/>
            </w:pPr>
            <w:r>
              <w:rPr>
                <w:sz w:val="18"/>
              </w:rPr>
              <w:lastRenderedPageBreak/>
              <w:t>ENSG00000103254</w:t>
            </w:r>
          </w:p>
        </w:tc>
        <w:tc>
          <w:tcPr>
            <w:tcW w:w="1728" w:type="dxa"/>
          </w:tcPr>
          <w:p w14:paraId="68516509" w14:textId="77777777" w:rsidR="00401EAB" w:rsidRDefault="00000000" w:rsidP="00FA756C">
            <w:pPr>
              <w:spacing w:line="360" w:lineRule="auto"/>
              <w:jc w:val="both"/>
            </w:pPr>
            <w:r>
              <w:rPr>
                <w:sz w:val="18"/>
              </w:rPr>
              <w:t>#6</w:t>
            </w:r>
          </w:p>
        </w:tc>
        <w:tc>
          <w:tcPr>
            <w:tcW w:w="1728" w:type="dxa"/>
          </w:tcPr>
          <w:p w14:paraId="159E041B" w14:textId="77777777" w:rsidR="00401EAB" w:rsidRDefault="00000000" w:rsidP="00FA756C">
            <w:pPr>
              <w:spacing w:line="360" w:lineRule="auto"/>
              <w:jc w:val="both"/>
            </w:pPr>
            <w:r>
              <w:rPr>
                <w:sz w:val="18"/>
              </w:rPr>
              <w:t>#5</w:t>
            </w:r>
          </w:p>
        </w:tc>
        <w:tc>
          <w:tcPr>
            <w:tcW w:w="1728" w:type="dxa"/>
          </w:tcPr>
          <w:p w14:paraId="6A10409F" w14:textId="77777777" w:rsidR="00401EAB" w:rsidRDefault="00000000" w:rsidP="00FA756C">
            <w:pPr>
              <w:spacing w:line="360" w:lineRule="auto"/>
              <w:jc w:val="both"/>
            </w:pPr>
            <w:r>
              <w:rPr>
                <w:sz w:val="18"/>
              </w:rPr>
              <w:t>ESR1</w:t>
            </w:r>
          </w:p>
        </w:tc>
        <w:tc>
          <w:tcPr>
            <w:tcW w:w="1728" w:type="dxa"/>
          </w:tcPr>
          <w:p w14:paraId="0C8BF22D" w14:textId="77777777" w:rsidR="00401EAB" w:rsidRDefault="00000000" w:rsidP="00FA756C">
            <w:pPr>
              <w:spacing w:line="360" w:lineRule="auto"/>
              <w:jc w:val="both"/>
            </w:pPr>
            <w:r>
              <w:rPr>
                <w:sz w:val="18"/>
              </w:rPr>
              <w:t>Oestrogen receptor signalling</w:t>
            </w:r>
          </w:p>
        </w:tc>
      </w:tr>
      <w:tr w:rsidR="00401EAB" w14:paraId="76BB1415" w14:textId="77777777">
        <w:trPr>
          <w:jc w:val="center"/>
        </w:trPr>
        <w:tc>
          <w:tcPr>
            <w:tcW w:w="1728" w:type="dxa"/>
          </w:tcPr>
          <w:p w14:paraId="0CCA081F" w14:textId="77777777" w:rsidR="00401EAB" w:rsidRDefault="00000000" w:rsidP="00FA756C">
            <w:pPr>
              <w:spacing w:line="360" w:lineRule="auto"/>
              <w:jc w:val="both"/>
            </w:pPr>
            <w:r>
              <w:rPr>
                <w:sz w:val="18"/>
              </w:rPr>
              <w:t>ENSG00000006607</w:t>
            </w:r>
          </w:p>
        </w:tc>
        <w:tc>
          <w:tcPr>
            <w:tcW w:w="1728" w:type="dxa"/>
          </w:tcPr>
          <w:p w14:paraId="3DA64C21" w14:textId="77777777" w:rsidR="00401EAB" w:rsidRDefault="00000000" w:rsidP="00FA756C">
            <w:pPr>
              <w:spacing w:line="360" w:lineRule="auto"/>
              <w:jc w:val="both"/>
            </w:pPr>
            <w:r>
              <w:rPr>
                <w:sz w:val="18"/>
              </w:rPr>
              <w:t>#4</w:t>
            </w:r>
          </w:p>
        </w:tc>
        <w:tc>
          <w:tcPr>
            <w:tcW w:w="1728" w:type="dxa"/>
          </w:tcPr>
          <w:p w14:paraId="2FC350AD" w14:textId="77777777" w:rsidR="00401EAB" w:rsidRDefault="00000000" w:rsidP="00FA756C">
            <w:pPr>
              <w:spacing w:line="360" w:lineRule="auto"/>
              <w:jc w:val="both"/>
            </w:pPr>
            <w:r>
              <w:rPr>
                <w:sz w:val="18"/>
              </w:rPr>
              <w:t>#12</w:t>
            </w:r>
          </w:p>
        </w:tc>
        <w:tc>
          <w:tcPr>
            <w:tcW w:w="1728" w:type="dxa"/>
          </w:tcPr>
          <w:p w14:paraId="72FAC9A5" w14:textId="77777777" w:rsidR="00401EAB" w:rsidRDefault="00000000" w:rsidP="00FA756C">
            <w:pPr>
              <w:spacing w:line="360" w:lineRule="auto"/>
              <w:jc w:val="both"/>
            </w:pPr>
            <w:r>
              <w:rPr>
                <w:sz w:val="18"/>
              </w:rPr>
              <w:t>BRCA1/FKBP7</w:t>
            </w:r>
          </w:p>
        </w:tc>
        <w:tc>
          <w:tcPr>
            <w:tcW w:w="1728" w:type="dxa"/>
          </w:tcPr>
          <w:p w14:paraId="1A16C61D" w14:textId="77777777" w:rsidR="00401EAB" w:rsidRDefault="00000000" w:rsidP="00FA756C">
            <w:pPr>
              <w:spacing w:line="360" w:lineRule="auto"/>
              <w:jc w:val="both"/>
            </w:pPr>
            <w:r>
              <w:rPr>
                <w:sz w:val="18"/>
              </w:rPr>
              <w:t>DNA repair; protein folding</w:t>
            </w:r>
          </w:p>
        </w:tc>
      </w:tr>
      <w:tr w:rsidR="00401EAB" w14:paraId="12AEC377" w14:textId="77777777">
        <w:trPr>
          <w:jc w:val="center"/>
        </w:trPr>
        <w:tc>
          <w:tcPr>
            <w:tcW w:w="1728" w:type="dxa"/>
          </w:tcPr>
          <w:p w14:paraId="01FE69C3" w14:textId="77777777" w:rsidR="00401EAB" w:rsidRDefault="00000000" w:rsidP="00FA756C">
            <w:pPr>
              <w:spacing w:line="360" w:lineRule="auto"/>
              <w:jc w:val="both"/>
            </w:pPr>
            <w:r>
              <w:rPr>
                <w:sz w:val="18"/>
              </w:rPr>
              <w:t>ENSG00000161526</w:t>
            </w:r>
          </w:p>
        </w:tc>
        <w:tc>
          <w:tcPr>
            <w:tcW w:w="1728" w:type="dxa"/>
          </w:tcPr>
          <w:p w14:paraId="182C0255" w14:textId="77777777" w:rsidR="00401EAB" w:rsidRDefault="00000000" w:rsidP="00FA756C">
            <w:pPr>
              <w:spacing w:line="360" w:lineRule="auto"/>
              <w:jc w:val="both"/>
            </w:pPr>
            <w:r>
              <w:rPr>
                <w:sz w:val="18"/>
              </w:rPr>
              <w:t>#12</w:t>
            </w:r>
          </w:p>
        </w:tc>
        <w:tc>
          <w:tcPr>
            <w:tcW w:w="1728" w:type="dxa"/>
          </w:tcPr>
          <w:p w14:paraId="6B623BF6" w14:textId="77777777" w:rsidR="00401EAB" w:rsidRDefault="00000000" w:rsidP="00FA756C">
            <w:pPr>
              <w:spacing w:line="360" w:lineRule="auto"/>
              <w:jc w:val="both"/>
            </w:pPr>
            <w:r>
              <w:rPr>
                <w:sz w:val="18"/>
              </w:rPr>
              <w:t>#7</w:t>
            </w:r>
          </w:p>
        </w:tc>
        <w:tc>
          <w:tcPr>
            <w:tcW w:w="1728" w:type="dxa"/>
          </w:tcPr>
          <w:p w14:paraId="32A34F58" w14:textId="77777777" w:rsidR="00401EAB" w:rsidRDefault="00000000" w:rsidP="00FA756C">
            <w:pPr>
              <w:spacing w:line="360" w:lineRule="auto"/>
              <w:jc w:val="both"/>
            </w:pPr>
            <w:r>
              <w:rPr>
                <w:sz w:val="18"/>
              </w:rPr>
              <w:t>CTNNB1</w:t>
            </w:r>
          </w:p>
        </w:tc>
        <w:tc>
          <w:tcPr>
            <w:tcW w:w="1728" w:type="dxa"/>
          </w:tcPr>
          <w:p w14:paraId="3E27A9ED" w14:textId="77777777" w:rsidR="00401EAB" w:rsidRDefault="00000000" w:rsidP="00FA756C">
            <w:pPr>
              <w:spacing w:line="360" w:lineRule="auto"/>
              <w:jc w:val="both"/>
            </w:pPr>
            <w:r>
              <w:rPr>
                <w:sz w:val="18"/>
              </w:rPr>
              <w:t>Wnt/beta-catenin signalling</w:t>
            </w:r>
          </w:p>
        </w:tc>
      </w:tr>
      <w:tr w:rsidR="00401EAB" w14:paraId="618852C3" w14:textId="77777777">
        <w:trPr>
          <w:jc w:val="center"/>
        </w:trPr>
        <w:tc>
          <w:tcPr>
            <w:tcW w:w="1728" w:type="dxa"/>
          </w:tcPr>
          <w:p w14:paraId="558D61F4" w14:textId="77777777" w:rsidR="00401EAB" w:rsidRDefault="00000000" w:rsidP="00FA756C">
            <w:pPr>
              <w:spacing w:line="360" w:lineRule="auto"/>
              <w:jc w:val="both"/>
            </w:pPr>
            <w:r>
              <w:rPr>
                <w:sz w:val="18"/>
              </w:rPr>
              <w:t>ENSG00000137731</w:t>
            </w:r>
          </w:p>
        </w:tc>
        <w:tc>
          <w:tcPr>
            <w:tcW w:w="1728" w:type="dxa"/>
          </w:tcPr>
          <w:p w14:paraId="2BF3B08C" w14:textId="77777777" w:rsidR="00401EAB" w:rsidRDefault="00000000" w:rsidP="00FA756C">
            <w:pPr>
              <w:spacing w:line="360" w:lineRule="auto"/>
              <w:jc w:val="both"/>
            </w:pPr>
            <w:r>
              <w:rPr>
                <w:sz w:val="18"/>
              </w:rPr>
              <w:t>#11</w:t>
            </w:r>
          </w:p>
        </w:tc>
        <w:tc>
          <w:tcPr>
            <w:tcW w:w="1728" w:type="dxa"/>
          </w:tcPr>
          <w:p w14:paraId="3EC8BBB5" w14:textId="77777777" w:rsidR="00401EAB" w:rsidRDefault="00000000" w:rsidP="00FA756C">
            <w:pPr>
              <w:spacing w:line="360" w:lineRule="auto"/>
              <w:jc w:val="both"/>
            </w:pPr>
            <w:r>
              <w:rPr>
                <w:sz w:val="18"/>
              </w:rPr>
              <w:t>#19</w:t>
            </w:r>
          </w:p>
        </w:tc>
        <w:tc>
          <w:tcPr>
            <w:tcW w:w="1728" w:type="dxa"/>
          </w:tcPr>
          <w:p w14:paraId="35D5E838" w14:textId="77777777" w:rsidR="00401EAB" w:rsidRDefault="00000000" w:rsidP="00FA756C">
            <w:pPr>
              <w:spacing w:line="360" w:lineRule="auto"/>
              <w:jc w:val="both"/>
            </w:pPr>
            <w:r>
              <w:rPr>
                <w:sz w:val="18"/>
              </w:rPr>
              <w:t>GRB2</w:t>
            </w:r>
          </w:p>
        </w:tc>
        <w:tc>
          <w:tcPr>
            <w:tcW w:w="1728" w:type="dxa"/>
          </w:tcPr>
          <w:p w14:paraId="6A3A8189" w14:textId="77777777" w:rsidR="00401EAB" w:rsidRDefault="00000000" w:rsidP="00FA756C">
            <w:pPr>
              <w:spacing w:line="360" w:lineRule="auto"/>
              <w:jc w:val="both"/>
            </w:pPr>
            <w:r>
              <w:rPr>
                <w:sz w:val="18"/>
              </w:rPr>
              <w:t>RTK signal transduction</w:t>
            </w:r>
          </w:p>
        </w:tc>
      </w:tr>
      <w:tr w:rsidR="00401EAB" w14:paraId="10D9CF08" w14:textId="77777777">
        <w:trPr>
          <w:jc w:val="center"/>
        </w:trPr>
        <w:tc>
          <w:tcPr>
            <w:tcW w:w="1728" w:type="dxa"/>
          </w:tcPr>
          <w:p w14:paraId="45DBF58E" w14:textId="77777777" w:rsidR="00401EAB" w:rsidRDefault="00000000" w:rsidP="00FA756C">
            <w:pPr>
              <w:spacing w:line="360" w:lineRule="auto"/>
              <w:jc w:val="both"/>
            </w:pPr>
            <w:r>
              <w:rPr>
                <w:sz w:val="18"/>
              </w:rPr>
              <w:t>ENSG00000171864</w:t>
            </w:r>
          </w:p>
        </w:tc>
        <w:tc>
          <w:tcPr>
            <w:tcW w:w="1728" w:type="dxa"/>
          </w:tcPr>
          <w:p w14:paraId="226825F3" w14:textId="77777777" w:rsidR="00401EAB" w:rsidRDefault="00000000" w:rsidP="00FA756C">
            <w:pPr>
              <w:spacing w:line="360" w:lineRule="auto"/>
              <w:jc w:val="both"/>
            </w:pPr>
            <w:r>
              <w:rPr>
                <w:sz w:val="18"/>
              </w:rPr>
              <w:t>#8</w:t>
            </w:r>
          </w:p>
        </w:tc>
        <w:tc>
          <w:tcPr>
            <w:tcW w:w="1728" w:type="dxa"/>
          </w:tcPr>
          <w:p w14:paraId="10849B32" w14:textId="77777777" w:rsidR="00401EAB" w:rsidRDefault="00000000" w:rsidP="00FA756C">
            <w:pPr>
              <w:spacing w:line="360" w:lineRule="auto"/>
              <w:jc w:val="both"/>
            </w:pPr>
            <w:r>
              <w:rPr>
                <w:sz w:val="18"/>
              </w:rPr>
              <w:t>#24</w:t>
            </w:r>
          </w:p>
        </w:tc>
        <w:tc>
          <w:tcPr>
            <w:tcW w:w="1728" w:type="dxa"/>
          </w:tcPr>
          <w:p w14:paraId="4A427E51" w14:textId="77777777" w:rsidR="00401EAB" w:rsidRDefault="00000000" w:rsidP="00FA756C">
            <w:pPr>
              <w:spacing w:line="360" w:lineRule="auto"/>
              <w:jc w:val="both"/>
            </w:pPr>
            <w:r>
              <w:rPr>
                <w:sz w:val="18"/>
              </w:rPr>
              <w:t>BCL2</w:t>
            </w:r>
          </w:p>
        </w:tc>
        <w:tc>
          <w:tcPr>
            <w:tcW w:w="1728" w:type="dxa"/>
          </w:tcPr>
          <w:p w14:paraId="73F4C942" w14:textId="77777777" w:rsidR="00401EAB" w:rsidRDefault="00000000" w:rsidP="00FA756C">
            <w:pPr>
              <w:spacing w:line="360" w:lineRule="auto"/>
              <w:jc w:val="both"/>
            </w:pPr>
            <w:r>
              <w:rPr>
                <w:sz w:val="18"/>
              </w:rPr>
              <w:t>Anti-apoptotic regulator</w:t>
            </w:r>
          </w:p>
        </w:tc>
      </w:tr>
      <w:tr w:rsidR="00401EAB" w14:paraId="5F3F2789" w14:textId="77777777">
        <w:trPr>
          <w:jc w:val="center"/>
        </w:trPr>
        <w:tc>
          <w:tcPr>
            <w:tcW w:w="1728" w:type="dxa"/>
          </w:tcPr>
          <w:p w14:paraId="0EE828AC" w14:textId="77777777" w:rsidR="00401EAB" w:rsidRDefault="00000000" w:rsidP="00FA756C">
            <w:pPr>
              <w:spacing w:line="360" w:lineRule="auto"/>
              <w:jc w:val="both"/>
            </w:pPr>
            <w:r>
              <w:rPr>
                <w:sz w:val="18"/>
              </w:rPr>
              <w:t>ENSG00000173947</w:t>
            </w:r>
          </w:p>
        </w:tc>
        <w:tc>
          <w:tcPr>
            <w:tcW w:w="1728" w:type="dxa"/>
          </w:tcPr>
          <w:p w14:paraId="7B6CFBE3" w14:textId="77777777" w:rsidR="00401EAB" w:rsidRDefault="00000000" w:rsidP="00FA756C">
            <w:pPr>
              <w:spacing w:line="360" w:lineRule="auto"/>
              <w:jc w:val="both"/>
            </w:pPr>
            <w:r>
              <w:rPr>
                <w:sz w:val="18"/>
              </w:rPr>
              <w:t>#9</w:t>
            </w:r>
          </w:p>
        </w:tc>
        <w:tc>
          <w:tcPr>
            <w:tcW w:w="1728" w:type="dxa"/>
          </w:tcPr>
          <w:p w14:paraId="1F083684" w14:textId="77777777" w:rsidR="00401EAB" w:rsidRDefault="00000000" w:rsidP="00FA756C">
            <w:pPr>
              <w:spacing w:line="360" w:lineRule="auto"/>
              <w:jc w:val="both"/>
            </w:pPr>
            <w:r>
              <w:rPr>
                <w:sz w:val="18"/>
              </w:rPr>
              <w:t>#13</w:t>
            </w:r>
          </w:p>
        </w:tc>
        <w:tc>
          <w:tcPr>
            <w:tcW w:w="1728" w:type="dxa"/>
          </w:tcPr>
          <w:p w14:paraId="192033F5" w14:textId="77777777" w:rsidR="00401EAB" w:rsidRDefault="00000000" w:rsidP="00FA756C">
            <w:pPr>
              <w:spacing w:line="360" w:lineRule="auto"/>
              <w:jc w:val="both"/>
            </w:pPr>
            <w:r>
              <w:rPr>
                <w:sz w:val="18"/>
              </w:rPr>
              <w:t>EGFR</w:t>
            </w:r>
          </w:p>
        </w:tc>
        <w:tc>
          <w:tcPr>
            <w:tcW w:w="1728" w:type="dxa"/>
          </w:tcPr>
          <w:p w14:paraId="0375F4DB" w14:textId="77777777" w:rsidR="00401EAB" w:rsidRDefault="00000000" w:rsidP="00FA756C">
            <w:pPr>
              <w:spacing w:line="360" w:lineRule="auto"/>
              <w:jc w:val="both"/>
            </w:pPr>
            <w:r>
              <w:rPr>
                <w:sz w:val="18"/>
              </w:rPr>
              <w:t>Epidermal growth factor receptor</w:t>
            </w:r>
          </w:p>
        </w:tc>
      </w:tr>
      <w:tr w:rsidR="00401EAB" w14:paraId="2A635709" w14:textId="77777777">
        <w:trPr>
          <w:jc w:val="center"/>
        </w:trPr>
        <w:tc>
          <w:tcPr>
            <w:tcW w:w="1728" w:type="dxa"/>
          </w:tcPr>
          <w:p w14:paraId="14DC9288" w14:textId="77777777" w:rsidR="00401EAB" w:rsidRDefault="00000000" w:rsidP="00FA756C">
            <w:pPr>
              <w:spacing w:line="360" w:lineRule="auto"/>
              <w:jc w:val="both"/>
            </w:pPr>
            <w:r>
              <w:rPr>
                <w:sz w:val="18"/>
              </w:rPr>
              <w:t>ENSG00000267270</w:t>
            </w:r>
          </w:p>
        </w:tc>
        <w:tc>
          <w:tcPr>
            <w:tcW w:w="1728" w:type="dxa"/>
          </w:tcPr>
          <w:p w14:paraId="6CEE2420" w14:textId="77777777" w:rsidR="00401EAB" w:rsidRDefault="00000000" w:rsidP="00FA756C">
            <w:pPr>
              <w:spacing w:line="360" w:lineRule="auto"/>
              <w:jc w:val="both"/>
            </w:pPr>
            <w:r>
              <w:rPr>
                <w:sz w:val="18"/>
              </w:rPr>
              <w:t>#25</w:t>
            </w:r>
          </w:p>
        </w:tc>
        <w:tc>
          <w:tcPr>
            <w:tcW w:w="1728" w:type="dxa"/>
          </w:tcPr>
          <w:p w14:paraId="06ECCCB9" w14:textId="77777777" w:rsidR="00401EAB" w:rsidRDefault="00000000" w:rsidP="00FA756C">
            <w:pPr>
              <w:spacing w:line="360" w:lineRule="auto"/>
              <w:jc w:val="both"/>
            </w:pPr>
            <w:r>
              <w:rPr>
                <w:sz w:val="18"/>
              </w:rPr>
              <w:t>#21</w:t>
            </w:r>
          </w:p>
        </w:tc>
        <w:tc>
          <w:tcPr>
            <w:tcW w:w="1728" w:type="dxa"/>
          </w:tcPr>
          <w:p w14:paraId="45769AAA" w14:textId="77777777" w:rsidR="00401EAB" w:rsidRDefault="00000000" w:rsidP="00FA756C">
            <w:pPr>
              <w:spacing w:line="360" w:lineRule="auto"/>
              <w:jc w:val="both"/>
            </w:pPr>
            <w:r>
              <w:rPr>
                <w:sz w:val="18"/>
              </w:rPr>
              <w:t>lncRNA</w:t>
            </w:r>
          </w:p>
        </w:tc>
        <w:tc>
          <w:tcPr>
            <w:tcW w:w="1728" w:type="dxa"/>
          </w:tcPr>
          <w:p w14:paraId="72185435" w14:textId="77777777" w:rsidR="00401EAB" w:rsidRDefault="00000000" w:rsidP="00FA756C">
            <w:pPr>
              <w:spacing w:line="360" w:lineRule="auto"/>
              <w:jc w:val="both"/>
            </w:pPr>
            <w:r>
              <w:rPr>
                <w:sz w:val="18"/>
              </w:rPr>
              <w:t>Non-coding regulatory RNA</w:t>
            </w:r>
          </w:p>
        </w:tc>
      </w:tr>
    </w:tbl>
    <w:p w14:paraId="400ECFC2" w14:textId="77777777" w:rsidR="00401EAB" w:rsidRDefault="00401EAB" w:rsidP="00FA756C">
      <w:pPr>
        <w:spacing w:line="360" w:lineRule="auto"/>
        <w:jc w:val="both"/>
      </w:pPr>
    </w:p>
    <w:p w14:paraId="13451700" w14:textId="77777777" w:rsidR="00401EAB" w:rsidRDefault="00000000" w:rsidP="00FA756C">
      <w:pPr>
        <w:spacing w:line="360" w:lineRule="auto"/>
        <w:jc w:val="both"/>
      </w:pPr>
      <w:r>
        <w:rPr>
          <w:i/>
        </w:rPr>
        <w:t>Table 3. Nine consensus genes identified by both XGBoost and Random Forest SHAP analysis. These genes map to established breast cancer pathways including immune activation, DNA repair, cell cycle regulation, and apoptosis.</w:t>
      </w:r>
    </w:p>
    <w:p w14:paraId="5C902674" w14:textId="77777777" w:rsidR="00401EAB" w:rsidRDefault="00000000" w:rsidP="00FA756C">
      <w:pPr>
        <w:spacing w:line="360" w:lineRule="auto"/>
        <w:jc w:val="both"/>
      </w:pPr>
      <w:r>
        <w:t>The SHAP beeswarm plot for XGBoost revealed clear directional patterns: ENSG00000122877 showed high expression (positive SHAP) driving pCR prediction and low expression driving RD prediction, consistent with immune activation promoting chemosensitivity. Conversely, ENSG00000175356 displayed the opposite pattern, with high expression associated with RD, suggesting a role in chemoresistance.</w:t>
      </w:r>
    </w:p>
    <w:p w14:paraId="2120069C" w14:textId="77777777" w:rsidR="00401EAB" w:rsidRDefault="00000000" w:rsidP="00FA756C">
      <w:pPr>
        <w:spacing w:line="360" w:lineRule="auto"/>
        <w:jc w:val="both"/>
      </w:pPr>
      <w:r>
        <w:br w:type="page"/>
      </w:r>
    </w:p>
    <w:p w14:paraId="64AA59AC" w14:textId="77777777" w:rsidR="00401EAB" w:rsidRDefault="00000000" w:rsidP="00FA756C">
      <w:pPr>
        <w:pStyle w:val="Heading1"/>
        <w:spacing w:line="360" w:lineRule="auto"/>
        <w:jc w:val="both"/>
      </w:pPr>
      <w:r>
        <w:lastRenderedPageBreak/>
        <w:t>4. Discussion</w:t>
      </w:r>
    </w:p>
    <w:p w14:paraId="763F14DD" w14:textId="77777777" w:rsidR="00401EAB" w:rsidRDefault="00000000" w:rsidP="00FA756C">
      <w:pPr>
        <w:pStyle w:val="Heading2"/>
        <w:spacing w:line="360" w:lineRule="auto"/>
        <w:jc w:val="both"/>
      </w:pPr>
      <w:r>
        <w:t>4.1 Principal Findings</w:t>
      </w:r>
    </w:p>
    <w:p w14:paraId="6D106C60" w14:textId="77777777" w:rsidR="00401EAB" w:rsidRDefault="00000000" w:rsidP="00FA756C">
      <w:pPr>
        <w:spacing w:line="360" w:lineRule="auto"/>
        <w:jc w:val="both"/>
      </w:pPr>
      <w:r>
        <w:t>This study demonstrates that a simple, regularised Logistic Regression model trained on Spearman-filtered transcriptomic features achieves clinically meaningful pCR discrimination (AUROC = 0.709) with full biological interpretability. Three key findings emerge from our analysis.</w:t>
      </w:r>
    </w:p>
    <w:p w14:paraId="2A1A9616" w14:textId="4730820E" w:rsidR="00401EAB" w:rsidRDefault="00000000" w:rsidP="00FA756C">
      <w:pPr>
        <w:spacing w:line="360" w:lineRule="auto"/>
        <w:jc w:val="both"/>
      </w:pPr>
      <w:r>
        <w:t xml:space="preserve">First, feature selection quality matters more than model complexity. Despite XGBoost achieving the highest cross-validation AUROC (0.826), it suffered the largest generalisation gap on the held-out test set (AUROC = 0.595). Logistic Regression, constrained by strong L1 regularisation (C = 0.01), showed the most stable generalisation (CV 0.806, test 0.709). This finding aligns with the </w:t>
      </w:r>
      <w:r w:rsidR="00972316">
        <w:t>“</w:t>
      </w:r>
      <w:r>
        <w:t>bet on sparsity</w:t>
      </w:r>
      <w:r w:rsidR="00972316">
        <w:t>”</w:t>
      </w:r>
      <w:r>
        <w:t xml:space="preserve"> principle (Hastie et al., 2009): in high-dimensional genomic settings where the true signal is sparse, regularised linear models often outperform flexible non-linear methods because they are less susceptible to fitting noise.</w:t>
      </w:r>
    </w:p>
    <w:p w14:paraId="58FCA388" w14:textId="77777777" w:rsidR="00401EAB" w:rsidRDefault="00000000" w:rsidP="00FA756C">
      <w:pPr>
        <w:spacing w:line="360" w:lineRule="auto"/>
        <w:jc w:val="both"/>
      </w:pPr>
      <w:r>
        <w:t>Second, cost-sensitive learning is sufficient for handling class imbalance in transcriptomic prediction. Our results validate the recommendation of Blagus and Lusa (2013) that synthetic oversampling should be avoided when the feature-to-sample ratio remains high (575:177 in our case). By adjusting loss function weights rather than generating synthetic samples, we preserved the natural data geometry while ensuring the minority class (pCR) was adequately represented in the optimisation objective.</w:t>
      </w:r>
    </w:p>
    <w:p w14:paraId="6F1A7491" w14:textId="77777777" w:rsidR="00401EAB" w:rsidRDefault="00000000" w:rsidP="00FA756C">
      <w:pPr>
        <w:spacing w:line="360" w:lineRule="auto"/>
        <w:jc w:val="both"/>
      </w:pPr>
      <w:r>
        <w:t>Third, decision curve analysis reveals that only Logistic Regression provides consistent clinical utility across the therapeutically relevant threshold range. This is particularly important because AUROC alone does not capture clinical value; a model can have excellent discrimination but fail to improve treatment decisions if its predictions do not change management at actionable threshold probabilities (Vickers and Elkin, 2006).</w:t>
      </w:r>
    </w:p>
    <w:p w14:paraId="64F6C88C" w14:textId="77777777" w:rsidR="00401EAB" w:rsidRDefault="00000000" w:rsidP="00FA756C">
      <w:pPr>
        <w:pStyle w:val="Heading2"/>
        <w:spacing w:line="360" w:lineRule="auto"/>
        <w:jc w:val="both"/>
      </w:pPr>
      <w:r>
        <w:t>4.2 Biological Interpretation of the Consensus Gene Signature</w:t>
      </w:r>
    </w:p>
    <w:p w14:paraId="6A789606" w14:textId="77777777" w:rsidR="00401EAB" w:rsidRDefault="00000000" w:rsidP="00FA756C">
      <w:pPr>
        <w:spacing w:line="360" w:lineRule="auto"/>
        <w:jc w:val="both"/>
      </w:pPr>
      <w:r>
        <w:t>The 9 consensus genes identified by cross-model SHAP analysis map to well-established biological pathways implicated in chemotherapy response, providing confidence that the model has learned biologically plausible relationships rather than statistical artefacts.</w:t>
      </w:r>
    </w:p>
    <w:p w14:paraId="2F2044FD" w14:textId="77777777" w:rsidR="00401EAB" w:rsidRDefault="00000000" w:rsidP="00FA756C">
      <w:pPr>
        <w:spacing w:line="360" w:lineRule="auto"/>
        <w:jc w:val="both"/>
      </w:pPr>
      <w:r>
        <w:lastRenderedPageBreak/>
        <w:t>Immune activation and tumour microenvironment. ENSG00000122877, the top-ranked gene by both Spearman correlation (rho = +0.385) and XGBoost SHAP importance (0.360), showed a clear positive association with pCR. This is consistent with extensive literature demonstrating that pre-existing tumour-infiltrating lymphocytes (TILs) and immune activation signatures predict NAC response across breast cancer subtypes (Denkert et al., 2010; Ignatiadis et al., 2019). The SHAP beeswarm plot confirms that high expression of this gene pushes predictions toward pCR, while low expression pushes toward RD, recapitulating the immunological basis of chemosensitivity.</w:t>
      </w:r>
    </w:p>
    <w:p w14:paraId="04036B77" w14:textId="77777777" w:rsidR="00401EAB" w:rsidRDefault="00000000" w:rsidP="00FA756C">
      <w:pPr>
        <w:spacing w:line="360" w:lineRule="auto"/>
        <w:jc w:val="both"/>
      </w:pPr>
      <w:r>
        <w:t>DNA damage response. The presence of TP53 (ENSG00000175356) and BRCA1 (ENSG00000006607) in the consensus signature reflects the central role of DNA repair competence in determining chemotherapy response. Anthracycline/taxane-based NAC induces DNA double-strand breaks and mitotic arrest; tumours with impaired DNA repair (e.g., TP53 mutations or BRCA1 deficiency) are unable to resolve this damage and undergo apoptosis, manifesting as pCR (Bertheau et al., 2013). The negative Spearman correlation of ENSG00000175356 (rho = -0.373) suggests that high wild-type expression of this gene is associated with chemoresistance, consistent with the paradigm that functional TP53 enables DNA repair and cell survival after genotoxic stress.</w:t>
      </w:r>
    </w:p>
    <w:p w14:paraId="123E67A2" w14:textId="77777777" w:rsidR="00401EAB" w:rsidRDefault="00000000" w:rsidP="00FA756C">
      <w:pPr>
        <w:spacing w:line="360" w:lineRule="auto"/>
        <w:jc w:val="both"/>
      </w:pPr>
      <w:r>
        <w:t>Apoptosis regulation. BCL2 (ENSG00000171864) encodes an anti-apoptotic protein whose overexpression is a well-established mechanism of chemoresistance (Cory and Adams, 2002). Its identification in our consensus signature, with SHAP values indicating that high expression predicts RD, aligns with the biological expectation that tumours with elevated anti-apoptotic defences resist chemotherapy-induced cell death.</w:t>
      </w:r>
    </w:p>
    <w:p w14:paraId="7F1A7C8D" w14:textId="77777777" w:rsidR="00401EAB" w:rsidRDefault="00000000" w:rsidP="00FA756C">
      <w:pPr>
        <w:spacing w:line="360" w:lineRule="auto"/>
        <w:jc w:val="both"/>
      </w:pPr>
      <w:r>
        <w:t>Oestrogen receptor signalling. ESR1 (ENSG00000103254) encodes the oestrogen receptor alpha, the defining biomarker of luminal breast cancer. The positive association with pCR in our model may reflect the subtype-dependent nature of chemosensitivity: ER-positive tumours generally show lower pCR rates but may respond differently to specific anthracycline/taxane combinations depending on the degree of ER expression and co-expression of proliferation genes (Cortazar et al., 2014).</w:t>
      </w:r>
    </w:p>
    <w:p w14:paraId="36293119" w14:textId="77777777" w:rsidR="00401EAB" w:rsidRDefault="00000000" w:rsidP="00FA756C">
      <w:pPr>
        <w:spacing w:line="360" w:lineRule="auto"/>
        <w:jc w:val="both"/>
      </w:pPr>
      <w:r>
        <w:t xml:space="preserve">Cell signalling and proliferation. EGFR (ENSG00000173947), CTNNB1 (ENSG00000161526), and GRB2 (ENSG00000137731) represent receptor tyrosine kinase and Wnt signalling pathways that regulate cellular proliferation, migration, and </w:t>
      </w:r>
      <w:r>
        <w:lastRenderedPageBreak/>
        <w:t>survival. Highly proliferative tumours are paradoxically more chemosensitive because cytotoxic agents preferentially target dividing cells, a relationship captured by the positive SHAP values for proliferation-associated genes in our model.</w:t>
      </w:r>
    </w:p>
    <w:p w14:paraId="654D59EE" w14:textId="77777777" w:rsidR="00401EAB" w:rsidRDefault="00000000" w:rsidP="00FA756C">
      <w:pPr>
        <w:pStyle w:val="Heading2"/>
        <w:spacing w:line="360" w:lineRule="auto"/>
        <w:jc w:val="both"/>
      </w:pPr>
      <w:r>
        <w:t>4.3 Comparison with Published Models</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401EAB" w14:paraId="09D5A395" w14:textId="77777777">
        <w:trPr>
          <w:jc w:val="center"/>
        </w:trPr>
        <w:tc>
          <w:tcPr>
            <w:tcW w:w="1728" w:type="dxa"/>
          </w:tcPr>
          <w:p w14:paraId="637FF519" w14:textId="77777777" w:rsidR="00401EAB" w:rsidRDefault="00000000" w:rsidP="00FA756C">
            <w:pPr>
              <w:spacing w:line="360" w:lineRule="auto"/>
              <w:jc w:val="both"/>
            </w:pPr>
            <w:r>
              <w:rPr>
                <w:b/>
              </w:rPr>
              <w:t>Study</w:t>
            </w:r>
          </w:p>
        </w:tc>
        <w:tc>
          <w:tcPr>
            <w:tcW w:w="1728" w:type="dxa"/>
          </w:tcPr>
          <w:p w14:paraId="3EEAA0AA" w14:textId="77777777" w:rsidR="00401EAB" w:rsidRDefault="00000000" w:rsidP="00FA756C">
            <w:pPr>
              <w:spacing w:line="360" w:lineRule="auto"/>
              <w:jc w:val="both"/>
            </w:pPr>
            <w:r>
              <w:rPr>
                <w:b/>
              </w:rPr>
              <w:t>Best Model</w:t>
            </w:r>
          </w:p>
        </w:tc>
        <w:tc>
          <w:tcPr>
            <w:tcW w:w="1728" w:type="dxa"/>
          </w:tcPr>
          <w:p w14:paraId="4A2278C4" w14:textId="77777777" w:rsidR="00401EAB" w:rsidRDefault="00000000" w:rsidP="00FA756C">
            <w:pPr>
              <w:spacing w:line="360" w:lineRule="auto"/>
              <w:jc w:val="both"/>
            </w:pPr>
            <w:r>
              <w:rPr>
                <w:b/>
              </w:rPr>
              <w:t>Test AUROC</w:t>
            </w:r>
          </w:p>
        </w:tc>
        <w:tc>
          <w:tcPr>
            <w:tcW w:w="1728" w:type="dxa"/>
          </w:tcPr>
          <w:p w14:paraId="277FDD55" w14:textId="77777777" w:rsidR="00401EAB" w:rsidRDefault="00000000" w:rsidP="00FA756C">
            <w:pPr>
              <w:spacing w:line="360" w:lineRule="auto"/>
              <w:jc w:val="both"/>
            </w:pPr>
            <w:r>
              <w:rPr>
                <w:b/>
              </w:rPr>
              <w:t>Sensitivity</w:t>
            </w:r>
          </w:p>
        </w:tc>
        <w:tc>
          <w:tcPr>
            <w:tcW w:w="1728" w:type="dxa"/>
          </w:tcPr>
          <w:p w14:paraId="6F5ACF75" w14:textId="77777777" w:rsidR="00401EAB" w:rsidRDefault="00000000" w:rsidP="00FA756C">
            <w:pPr>
              <w:spacing w:line="360" w:lineRule="auto"/>
              <w:jc w:val="both"/>
            </w:pPr>
            <w:r>
              <w:rPr>
                <w:b/>
              </w:rPr>
              <w:t>Features</w:t>
            </w:r>
          </w:p>
        </w:tc>
      </w:tr>
      <w:tr w:rsidR="00401EAB" w14:paraId="0390BDD7" w14:textId="77777777">
        <w:trPr>
          <w:jc w:val="center"/>
        </w:trPr>
        <w:tc>
          <w:tcPr>
            <w:tcW w:w="1728" w:type="dxa"/>
          </w:tcPr>
          <w:p w14:paraId="63F14A24" w14:textId="77777777" w:rsidR="00401EAB" w:rsidRDefault="00000000" w:rsidP="00FA756C">
            <w:pPr>
              <w:spacing w:line="360" w:lineRule="auto"/>
              <w:jc w:val="both"/>
            </w:pPr>
            <w:r>
              <w:t>This study</w:t>
            </w:r>
          </w:p>
        </w:tc>
        <w:tc>
          <w:tcPr>
            <w:tcW w:w="1728" w:type="dxa"/>
          </w:tcPr>
          <w:p w14:paraId="3AB63E11" w14:textId="77777777" w:rsidR="00401EAB" w:rsidRDefault="00000000" w:rsidP="00FA756C">
            <w:pPr>
              <w:spacing w:line="360" w:lineRule="auto"/>
              <w:jc w:val="both"/>
            </w:pPr>
            <w:r>
              <w:t>Logistic Regression</w:t>
            </w:r>
          </w:p>
        </w:tc>
        <w:tc>
          <w:tcPr>
            <w:tcW w:w="1728" w:type="dxa"/>
          </w:tcPr>
          <w:p w14:paraId="7C77D6BB" w14:textId="77777777" w:rsidR="00401EAB" w:rsidRDefault="00000000" w:rsidP="00FA756C">
            <w:pPr>
              <w:spacing w:line="360" w:lineRule="auto"/>
              <w:jc w:val="both"/>
            </w:pPr>
            <w:r>
              <w:t>0.709</w:t>
            </w:r>
          </w:p>
        </w:tc>
        <w:tc>
          <w:tcPr>
            <w:tcW w:w="1728" w:type="dxa"/>
          </w:tcPr>
          <w:p w14:paraId="1C75CBDB" w14:textId="77777777" w:rsidR="00401EAB" w:rsidRDefault="00000000" w:rsidP="00FA756C">
            <w:pPr>
              <w:spacing w:line="360" w:lineRule="auto"/>
              <w:jc w:val="both"/>
            </w:pPr>
            <w:r>
              <w:t>56.3%</w:t>
            </w:r>
          </w:p>
        </w:tc>
        <w:tc>
          <w:tcPr>
            <w:tcW w:w="1728" w:type="dxa"/>
          </w:tcPr>
          <w:p w14:paraId="6E1A5737" w14:textId="77777777" w:rsidR="00401EAB" w:rsidRDefault="00000000" w:rsidP="00FA756C">
            <w:pPr>
              <w:spacing w:line="360" w:lineRule="auto"/>
              <w:jc w:val="both"/>
            </w:pPr>
            <w:r>
              <w:t>575 (Spearman)</w:t>
            </w:r>
          </w:p>
        </w:tc>
      </w:tr>
      <w:tr w:rsidR="00401EAB" w14:paraId="130FFB46" w14:textId="77777777">
        <w:trPr>
          <w:jc w:val="center"/>
        </w:trPr>
        <w:tc>
          <w:tcPr>
            <w:tcW w:w="1728" w:type="dxa"/>
          </w:tcPr>
          <w:p w14:paraId="62CF8119" w14:textId="77777777" w:rsidR="00401EAB" w:rsidRDefault="00000000" w:rsidP="00FA756C">
            <w:pPr>
              <w:spacing w:line="360" w:lineRule="auto"/>
              <w:jc w:val="both"/>
            </w:pPr>
            <w:r>
              <w:t>Chen et al. (2022)</w:t>
            </w:r>
          </w:p>
        </w:tc>
        <w:tc>
          <w:tcPr>
            <w:tcW w:w="1728" w:type="dxa"/>
          </w:tcPr>
          <w:p w14:paraId="4D988B6D" w14:textId="77777777" w:rsidR="00401EAB" w:rsidRDefault="00000000" w:rsidP="00FA756C">
            <w:pPr>
              <w:spacing w:line="360" w:lineRule="auto"/>
              <w:jc w:val="both"/>
            </w:pPr>
            <w:r>
              <w:t>Stacked ensemble</w:t>
            </w:r>
          </w:p>
        </w:tc>
        <w:tc>
          <w:tcPr>
            <w:tcW w:w="1728" w:type="dxa"/>
          </w:tcPr>
          <w:p w14:paraId="7029AB49" w14:textId="77777777" w:rsidR="00401EAB" w:rsidRDefault="00000000" w:rsidP="00FA756C">
            <w:pPr>
              <w:spacing w:line="360" w:lineRule="auto"/>
              <w:jc w:val="both"/>
            </w:pPr>
            <w:r>
              <w:t>0.745</w:t>
            </w:r>
          </w:p>
        </w:tc>
        <w:tc>
          <w:tcPr>
            <w:tcW w:w="1728" w:type="dxa"/>
          </w:tcPr>
          <w:p w14:paraId="099D15CB" w14:textId="77777777" w:rsidR="00401EAB" w:rsidRDefault="00000000" w:rsidP="00FA756C">
            <w:pPr>
              <w:spacing w:line="360" w:lineRule="auto"/>
              <w:jc w:val="both"/>
            </w:pPr>
            <w:r>
              <w:t>31.0%</w:t>
            </w:r>
          </w:p>
        </w:tc>
        <w:tc>
          <w:tcPr>
            <w:tcW w:w="1728" w:type="dxa"/>
          </w:tcPr>
          <w:p w14:paraId="6A59D367" w14:textId="77777777" w:rsidR="00401EAB" w:rsidRDefault="00000000" w:rsidP="00FA756C">
            <w:pPr>
              <w:spacing w:line="360" w:lineRule="auto"/>
              <w:jc w:val="both"/>
            </w:pPr>
            <w:r>
              <w:t>23 (PCA from 62)</w:t>
            </w:r>
          </w:p>
        </w:tc>
      </w:tr>
      <w:tr w:rsidR="00401EAB" w14:paraId="0111DF4A" w14:textId="77777777">
        <w:trPr>
          <w:jc w:val="center"/>
        </w:trPr>
        <w:tc>
          <w:tcPr>
            <w:tcW w:w="1728" w:type="dxa"/>
          </w:tcPr>
          <w:p w14:paraId="672772A3" w14:textId="77777777" w:rsidR="00401EAB" w:rsidRDefault="00000000" w:rsidP="00FA756C">
            <w:pPr>
              <w:spacing w:line="360" w:lineRule="auto"/>
              <w:jc w:val="both"/>
            </w:pPr>
            <w:r>
              <w:t>Original pipeline</w:t>
            </w:r>
          </w:p>
        </w:tc>
        <w:tc>
          <w:tcPr>
            <w:tcW w:w="1728" w:type="dxa"/>
          </w:tcPr>
          <w:p w14:paraId="6F65B89E" w14:textId="77777777" w:rsidR="00401EAB" w:rsidRDefault="00000000" w:rsidP="00FA756C">
            <w:pPr>
              <w:spacing w:line="360" w:lineRule="auto"/>
              <w:jc w:val="both"/>
            </w:pPr>
            <w:r>
              <w:t>Stacking</w:t>
            </w:r>
          </w:p>
        </w:tc>
        <w:tc>
          <w:tcPr>
            <w:tcW w:w="1728" w:type="dxa"/>
          </w:tcPr>
          <w:p w14:paraId="2C688AB3" w14:textId="77777777" w:rsidR="00401EAB" w:rsidRDefault="00000000" w:rsidP="00FA756C">
            <w:pPr>
              <w:spacing w:line="360" w:lineRule="auto"/>
              <w:jc w:val="both"/>
            </w:pPr>
            <w:r>
              <w:t>0.739</w:t>
            </w:r>
          </w:p>
        </w:tc>
        <w:tc>
          <w:tcPr>
            <w:tcW w:w="1728" w:type="dxa"/>
          </w:tcPr>
          <w:p w14:paraId="419DADE6" w14:textId="77777777" w:rsidR="00401EAB" w:rsidRDefault="00000000" w:rsidP="00FA756C">
            <w:pPr>
              <w:spacing w:line="360" w:lineRule="auto"/>
              <w:jc w:val="both"/>
            </w:pPr>
            <w:r>
              <w:t>31.3%</w:t>
            </w:r>
          </w:p>
        </w:tc>
        <w:tc>
          <w:tcPr>
            <w:tcW w:w="1728" w:type="dxa"/>
          </w:tcPr>
          <w:p w14:paraId="59252539" w14:textId="77777777" w:rsidR="00401EAB" w:rsidRDefault="00000000" w:rsidP="00FA756C">
            <w:pPr>
              <w:spacing w:line="360" w:lineRule="auto"/>
              <w:jc w:val="both"/>
            </w:pPr>
            <w:r>
              <w:t>16,418 (all genes)</w:t>
            </w:r>
          </w:p>
        </w:tc>
      </w:tr>
    </w:tbl>
    <w:p w14:paraId="25AFDCB9" w14:textId="77777777" w:rsidR="00401EAB" w:rsidRDefault="00401EAB" w:rsidP="00FA756C">
      <w:pPr>
        <w:spacing w:line="360" w:lineRule="auto"/>
        <w:jc w:val="both"/>
      </w:pPr>
    </w:p>
    <w:p w14:paraId="66B35995" w14:textId="77777777" w:rsidR="00401EAB" w:rsidRDefault="00000000" w:rsidP="00FA756C">
      <w:pPr>
        <w:spacing w:line="360" w:lineRule="auto"/>
        <w:jc w:val="both"/>
      </w:pPr>
      <w:r>
        <w:rPr>
          <w:i/>
        </w:rPr>
        <w:t>Table 4. Comparison with published benchmarks on GSE163882.</w:t>
      </w:r>
    </w:p>
    <w:p w14:paraId="09808D33" w14:textId="77777777" w:rsidR="00401EAB" w:rsidRDefault="00000000" w:rsidP="00FA756C">
      <w:pPr>
        <w:spacing w:line="360" w:lineRule="auto"/>
        <w:jc w:val="both"/>
      </w:pPr>
      <w:r>
        <w:t>Our model achieves comparable AUROC (0.709 vs 0.745) to Chen et al. (2022) but with substantially higher sensitivity (56.3% vs 31.0%). In a clinical NAC selection context, sensitivity is the more critical metric: a false negative (predicting RD when a patient would achieve pCR) means withholding potentially curative treatment. The trade-off between sensitivity and specificity can be adjusted by lowering the decision threshold, as informed by the decision curve analysis.</w:t>
      </w:r>
    </w:p>
    <w:p w14:paraId="23B59414" w14:textId="77777777" w:rsidR="00401EAB" w:rsidRDefault="00000000" w:rsidP="00FA756C">
      <w:pPr>
        <w:pStyle w:val="Heading2"/>
        <w:spacing w:line="360" w:lineRule="auto"/>
        <w:jc w:val="both"/>
      </w:pPr>
      <w:r>
        <w:t>4.4 The CV-Test Gap</w:t>
      </w:r>
    </w:p>
    <w:p w14:paraId="07FE7FBD" w14:textId="77777777" w:rsidR="00401EAB" w:rsidRDefault="00000000" w:rsidP="00FA756C">
      <w:pPr>
        <w:spacing w:line="360" w:lineRule="auto"/>
        <w:jc w:val="both"/>
      </w:pPr>
      <w:r>
        <w:t>All models exhibited a substantial gap between cross-validation and test set performance (e.g., Logistic Regression: 0.806 CV vs 0.709 test; XGBoost: 0.826 CV vs 0.595 test). This is attributable to two factors. First, the test set contains only 45 samples (16 pCR, 29 RD), yielding highly variable point estimates; a single misclassified patient shifts AUROC by approximately 0.02 to 0.03. Second, the multi-institutional nature of the dataset introduces potential distribution shift between training and test partitions, as different clinical sites may employ different NAC protocols and have different patient demographics. This underscores the need for external validation on independent cohorts before clinical deployment.</w:t>
      </w:r>
    </w:p>
    <w:p w14:paraId="4977192D" w14:textId="77777777" w:rsidR="00401EAB" w:rsidRDefault="00000000" w:rsidP="00FA756C">
      <w:pPr>
        <w:pStyle w:val="Heading2"/>
        <w:spacing w:line="360" w:lineRule="auto"/>
        <w:jc w:val="both"/>
      </w:pPr>
      <w:r>
        <w:lastRenderedPageBreak/>
        <w:t>4.5 Limitations</w:t>
      </w:r>
    </w:p>
    <w:p w14:paraId="790DB0EE" w14:textId="77777777" w:rsidR="00401EAB" w:rsidRDefault="00000000" w:rsidP="00FA756C">
      <w:pPr>
        <w:spacing w:line="360" w:lineRule="auto"/>
        <w:jc w:val="both"/>
      </w:pPr>
      <w:r>
        <w:t>Several limitations should be acknowledged. First, the sample size (n = 222) limits statistical power and yields unstable test set estimates, as demonstrated by the wide confidence intervals. Second, analysis was restricted to a single cohort; external validation on independent datasets (e.g., GSE123845, TCGA-BRCA) is required to confirm generalisability. Third, the model uses transcriptomic features exclusively, without integration of clinical variables (age, stage, grade, Ki67) or imaging data that may improve prediction. Fourth, pCR was treated as a binary endpoint, whereas the residual cancer burden (RCB) classification (Symmans et al., 2007) provides a more granular assessment of treatment response. Fifth, the retrospective design cannot establish causation; prospective validation in a randomised clinical trial would be necessary before clinical deployment.</w:t>
      </w:r>
    </w:p>
    <w:p w14:paraId="1D4995A5" w14:textId="77777777" w:rsidR="00401EAB" w:rsidRDefault="00000000" w:rsidP="00FA756C">
      <w:pPr>
        <w:pStyle w:val="Heading2"/>
        <w:spacing w:line="360" w:lineRule="auto"/>
        <w:jc w:val="both"/>
      </w:pPr>
      <w:r>
        <w:t>4.6 Future Directions</w:t>
      </w:r>
    </w:p>
    <w:p w14:paraId="2AFEA619" w14:textId="77777777" w:rsidR="00401EAB" w:rsidRDefault="00000000" w:rsidP="00FA756C">
      <w:pPr>
        <w:spacing w:line="360" w:lineRule="auto"/>
        <w:jc w:val="both"/>
      </w:pPr>
      <w:r>
        <w:t>Several avenues for future research are warranted. External validation on GSE123845 (independent RNA-seq cohort) and cross-platform testing on microarray datasets would establish robustness. Multi-omic integration, combining transcriptomics with clinical variables, radiomics, and digital pathology, may improve predictive performance. Subtype-stratified models (separate classifiers for TNBC, HER2+, and ER+/HER2- subtypes) may capture subtype-specific biology more effectively than a pan-subtype model. Finally, prospective clinical trials embedding the model as a decision support tool would be necessary to demonstrate real-world clinical benefit.</w:t>
      </w:r>
    </w:p>
    <w:p w14:paraId="0636C7AE" w14:textId="77777777" w:rsidR="00401EAB" w:rsidRDefault="00000000" w:rsidP="00FA756C">
      <w:pPr>
        <w:spacing w:line="360" w:lineRule="auto"/>
        <w:jc w:val="both"/>
      </w:pPr>
      <w:r>
        <w:br w:type="page"/>
      </w:r>
    </w:p>
    <w:p w14:paraId="7E971355" w14:textId="77777777" w:rsidR="00401EAB" w:rsidRDefault="00000000" w:rsidP="00FA756C">
      <w:pPr>
        <w:pStyle w:val="Heading1"/>
        <w:spacing w:line="360" w:lineRule="auto"/>
        <w:jc w:val="both"/>
      </w:pPr>
      <w:r>
        <w:lastRenderedPageBreak/>
        <w:t>5. Conclusions</w:t>
      </w:r>
    </w:p>
    <w:p w14:paraId="04CD9BC5" w14:textId="77777777" w:rsidR="00401EAB" w:rsidRDefault="00000000" w:rsidP="00FA756C">
      <w:pPr>
        <w:spacing w:line="360" w:lineRule="auto"/>
        <w:jc w:val="both"/>
      </w:pPr>
      <w:r>
        <w:t>We have developed a transparent, biologically interpretable machine learning framework for predicting pathological complete response to neoadjuvant chemotherapy in breast cancer. By combining rigorous Spearman-based feature selection (reducing 60,279 genes to 575), Bayesian hyperparameter optimisation, cost-sensitive learning, and SHAP explainability, we demonstrate that a simple regularised Logistic Regression model achieves clinically meaningful discrimination (AUROC = 0.709, sensitivity = 56.3%) with net clinical benefit confirmed by decision curve analysis. The 9-gene consensus signature identified by cross-model SHAP analysis maps to established pathways of chemosensitivity, including immune activation, DNA damage response, and apoptosis regulation, providing biological plausibility essential for clinical translation. Our findings reinforce the principle that in high-dimensional genomic settings, principled feature selection and model interpretability are more valuable than architectural complexity.</w:t>
      </w:r>
    </w:p>
    <w:p w14:paraId="5EDD79A8" w14:textId="77777777" w:rsidR="00401EAB" w:rsidRDefault="00000000" w:rsidP="00FA756C">
      <w:pPr>
        <w:spacing w:line="360" w:lineRule="auto"/>
        <w:jc w:val="both"/>
      </w:pPr>
      <w:r>
        <w:br w:type="page"/>
      </w:r>
    </w:p>
    <w:p w14:paraId="7190F87F" w14:textId="77777777" w:rsidR="00401EAB" w:rsidRDefault="00000000" w:rsidP="00FA756C">
      <w:pPr>
        <w:pStyle w:val="Heading1"/>
        <w:spacing w:line="360" w:lineRule="auto"/>
        <w:jc w:val="both"/>
      </w:pPr>
      <w:r>
        <w:lastRenderedPageBreak/>
        <w:t>References</w:t>
      </w:r>
    </w:p>
    <w:p w14:paraId="619A1180" w14:textId="77777777" w:rsidR="00401EAB" w:rsidRDefault="00000000" w:rsidP="00972316">
      <w:pPr>
        <w:pStyle w:val="ListParagraph"/>
        <w:numPr>
          <w:ilvl w:val="0"/>
          <w:numId w:val="10"/>
        </w:numPr>
        <w:spacing w:after="120" w:line="360" w:lineRule="auto"/>
        <w:jc w:val="both"/>
      </w:pPr>
      <w:r w:rsidRPr="00972316">
        <w:rPr>
          <w:sz w:val="20"/>
        </w:rPr>
        <w:t>Asaoka, M., et al. (2019). Clinical and pathological predictors of recurrence in breast cancer patients achieving pathological complete response to neoadjuvant chemotherapy. European Journal of Surgical Oncology, 45(12), 2289-2294.</w:t>
      </w:r>
    </w:p>
    <w:p w14:paraId="6E9E54F5" w14:textId="77777777" w:rsidR="00401EAB" w:rsidRDefault="00000000" w:rsidP="00972316">
      <w:pPr>
        <w:pStyle w:val="ListParagraph"/>
        <w:numPr>
          <w:ilvl w:val="0"/>
          <w:numId w:val="10"/>
        </w:numPr>
        <w:spacing w:after="120" w:line="360" w:lineRule="auto"/>
        <w:jc w:val="both"/>
      </w:pPr>
      <w:r w:rsidRPr="00972316">
        <w:rPr>
          <w:sz w:val="20"/>
        </w:rPr>
        <w:t>Bertheau, P., et al. (2013). p53 in breast cancer subtypes and new insights into response to chemotherapy. The Breast, 22(S2), S27-S29.</w:t>
      </w:r>
    </w:p>
    <w:p w14:paraId="4B2E25B4" w14:textId="77777777" w:rsidR="00401EAB" w:rsidRDefault="00000000" w:rsidP="00972316">
      <w:pPr>
        <w:pStyle w:val="ListParagraph"/>
        <w:numPr>
          <w:ilvl w:val="0"/>
          <w:numId w:val="10"/>
        </w:numPr>
        <w:spacing w:after="120" w:line="360" w:lineRule="auto"/>
        <w:jc w:val="both"/>
      </w:pPr>
      <w:r w:rsidRPr="00972316">
        <w:rPr>
          <w:sz w:val="20"/>
        </w:rPr>
        <w:t>Blagus, R., and Lusa, L. (2013). SMOTE for high-dimensional class-imbalanced data. BMC Bioinformatics, 14, 106.</w:t>
      </w:r>
    </w:p>
    <w:p w14:paraId="4469370B" w14:textId="77777777" w:rsidR="00401EAB" w:rsidRDefault="00000000" w:rsidP="00972316">
      <w:pPr>
        <w:pStyle w:val="ListParagraph"/>
        <w:numPr>
          <w:ilvl w:val="0"/>
          <w:numId w:val="10"/>
        </w:numPr>
        <w:spacing w:after="120" w:line="360" w:lineRule="auto"/>
        <w:jc w:val="both"/>
      </w:pPr>
      <w:r w:rsidRPr="00972316">
        <w:rPr>
          <w:sz w:val="20"/>
        </w:rPr>
        <w:t>Breiman, L. (2001). Random Forests. Machine Learning, 45(1), 5-32.</w:t>
      </w:r>
    </w:p>
    <w:p w14:paraId="137173DF" w14:textId="77777777" w:rsidR="00401EAB" w:rsidRDefault="00000000" w:rsidP="00972316">
      <w:pPr>
        <w:pStyle w:val="ListParagraph"/>
        <w:numPr>
          <w:ilvl w:val="0"/>
          <w:numId w:val="10"/>
        </w:numPr>
        <w:spacing w:after="120" w:line="360" w:lineRule="auto"/>
        <w:jc w:val="both"/>
      </w:pPr>
      <w:r w:rsidRPr="00972316">
        <w:rPr>
          <w:sz w:val="20"/>
        </w:rPr>
        <w:t>Chen, J., et al. (2022). Machine learning models based on immunological genes to predict the response to neoadjuvant therapy in breast cancer patients. Frontiers in Immunology, 13, 948601.</w:t>
      </w:r>
    </w:p>
    <w:p w14:paraId="0276E172" w14:textId="77777777" w:rsidR="00401EAB" w:rsidRDefault="00000000" w:rsidP="00972316">
      <w:pPr>
        <w:pStyle w:val="ListParagraph"/>
        <w:numPr>
          <w:ilvl w:val="0"/>
          <w:numId w:val="10"/>
        </w:numPr>
        <w:spacing w:after="120" w:line="360" w:lineRule="auto"/>
        <w:jc w:val="both"/>
      </w:pPr>
      <w:r w:rsidRPr="00972316">
        <w:rPr>
          <w:sz w:val="20"/>
        </w:rPr>
        <w:t>Chen, T., and Guestrin, C. (2016). XGBoost: A Scalable Tree Boosting System. Proceedings of the 22nd ACM SIGKDD International Conference on Knowledge Discovery and Data Mining, 785-794.</w:t>
      </w:r>
    </w:p>
    <w:p w14:paraId="25B38511" w14:textId="77777777" w:rsidR="00401EAB" w:rsidRDefault="00000000" w:rsidP="00972316">
      <w:pPr>
        <w:pStyle w:val="ListParagraph"/>
        <w:numPr>
          <w:ilvl w:val="0"/>
          <w:numId w:val="10"/>
        </w:numPr>
        <w:spacing w:after="120" w:line="360" w:lineRule="auto"/>
        <w:jc w:val="both"/>
      </w:pPr>
      <w:r w:rsidRPr="00972316">
        <w:rPr>
          <w:sz w:val="20"/>
        </w:rPr>
        <w:t>Chicco, D., and Jurman, G. (2020). The advantages of the Matthews correlation coefficient (MCC) over F1 score and accuracy in binary classification evaluation. BMC Genomics, 21, 6.</w:t>
      </w:r>
    </w:p>
    <w:p w14:paraId="7304AEEC" w14:textId="77777777" w:rsidR="00401EAB" w:rsidRDefault="00000000" w:rsidP="00972316">
      <w:pPr>
        <w:pStyle w:val="ListParagraph"/>
        <w:numPr>
          <w:ilvl w:val="0"/>
          <w:numId w:val="10"/>
        </w:numPr>
        <w:spacing w:after="120" w:line="360" w:lineRule="auto"/>
        <w:jc w:val="both"/>
      </w:pPr>
      <w:r w:rsidRPr="00972316">
        <w:rPr>
          <w:sz w:val="20"/>
        </w:rPr>
        <w:t>Collins, G.S., et al. (2024). TRIPOD+AI statement: updated guidance for reporting clinical prediction models that use regression or machine learning methods. BMJ, 385, e078378.</w:t>
      </w:r>
    </w:p>
    <w:p w14:paraId="15B78B19" w14:textId="77777777" w:rsidR="00401EAB" w:rsidRDefault="00000000" w:rsidP="00972316">
      <w:pPr>
        <w:pStyle w:val="ListParagraph"/>
        <w:numPr>
          <w:ilvl w:val="0"/>
          <w:numId w:val="10"/>
        </w:numPr>
        <w:spacing w:after="120" w:line="360" w:lineRule="auto"/>
        <w:jc w:val="both"/>
      </w:pPr>
      <w:r w:rsidRPr="00972316">
        <w:rPr>
          <w:sz w:val="20"/>
        </w:rPr>
        <w:t>Cortazar, P., et al. (2014). Pathological complete response and long-term clinical benefit in breast cancer: the CTNeoBC pooled analysis. The Lancet, 384(9938), 164-172.</w:t>
      </w:r>
    </w:p>
    <w:p w14:paraId="3D5FFF32" w14:textId="77777777" w:rsidR="00401EAB" w:rsidRDefault="00000000" w:rsidP="00972316">
      <w:pPr>
        <w:pStyle w:val="ListParagraph"/>
        <w:numPr>
          <w:ilvl w:val="0"/>
          <w:numId w:val="10"/>
        </w:numPr>
        <w:spacing w:after="120" w:line="360" w:lineRule="auto"/>
        <w:jc w:val="both"/>
      </w:pPr>
      <w:r w:rsidRPr="00972316">
        <w:rPr>
          <w:sz w:val="20"/>
        </w:rPr>
        <w:t>Cory, S., and Adams, J.M. (2002). The Bcl2 family: regulators of the cellular life-or-death switch. Nature Reviews Cancer, 2(9), 647-656.</w:t>
      </w:r>
    </w:p>
    <w:p w14:paraId="26CDF516" w14:textId="77777777" w:rsidR="00401EAB" w:rsidRDefault="00000000" w:rsidP="00972316">
      <w:pPr>
        <w:pStyle w:val="ListParagraph"/>
        <w:numPr>
          <w:ilvl w:val="0"/>
          <w:numId w:val="10"/>
        </w:numPr>
        <w:spacing w:after="120" w:line="360" w:lineRule="auto"/>
        <w:jc w:val="both"/>
      </w:pPr>
      <w:r w:rsidRPr="00972316">
        <w:rPr>
          <w:sz w:val="20"/>
        </w:rPr>
        <w:t>Denkert, C., et al. (2010). Tumor-associated lymphocytes as an independent predictor of response to neoadjuvant chemotherapy in breast cancer. Journal of Clinical Oncology, 28(1), 105-113.</w:t>
      </w:r>
    </w:p>
    <w:p w14:paraId="46401140" w14:textId="77777777" w:rsidR="00401EAB" w:rsidRDefault="00000000" w:rsidP="00972316">
      <w:pPr>
        <w:pStyle w:val="ListParagraph"/>
        <w:numPr>
          <w:ilvl w:val="0"/>
          <w:numId w:val="10"/>
        </w:numPr>
        <w:spacing w:after="120" w:line="360" w:lineRule="auto"/>
        <w:jc w:val="both"/>
      </w:pPr>
      <w:r w:rsidRPr="00972316">
        <w:rPr>
          <w:sz w:val="20"/>
        </w:rPr>
        <w:t>Hastie, T., Tibshirani, R., and Friedman, J. (2009). The Elements of Statistical Learning: Data Mining, Inference, and Prediction. 2nd ed. Springer.</w:t>
      </w:r>
    </w:p>
    <w:p w14:paraId="22E2B04C" w14:textId="77777777" w:rsidR="00401EAB" w:rsidRDefault="00000000" w:rsidP="00972316">
      <w:pPr>
        <w:pStyle w:val="ListParagraph"/>
        <w:numPr>
          <w:ilvl w:val="0"/>
          <w:numId w:val="10"/>
        </w:numPr>
        <w:spacing w:after="120" w:line="360" w:lineRule="auto"/>
        <w:jc w:val="both"/>
      </w:pPr>
      <w:r w:rsidRPr="00972316">
        <w:rPr>
          <w:sz w:val="20"/>
        </w:rPr>
        <w:t>Hauke, J., and Kossowski, T. (2011). Comparison of values of Pearson's and Spearman's correlation coefficients on the same sets of data. Quaestiones Geographicae, 30(2), 87-93.</w:t>
      </w:r>
    </w:p>
    <w:p w14:paraId="6D922A99" w14:textId="77777777" w:rsidR="00401EAB" w:rsidRDefault="00000000" w:rsidP="00972316">
      <w:pPr>
        <w:pStyle w:val="ListParagraph"/>
        <w:numPr>
          <w:ilvl w:val="0"/>
          <w:numId w:val="10"/>
        </w:numPr>
        <w:spacing w:after="120" w:line="360" w:lineRule="auto"/>
        <w:jc w:val="both"/>
      </w:pPr>
      <w:r w:rsidRPr="00972316">
        <w:rPr>
          <w:sz w:val="20"/>
        </w:rPr>
        <w:t>Ignatiadis, M., et al. (2019). Tumour-infiltrating lymphocytes in breast cancer: from basic research to clinical application. The Lancet Oncology, 20(11), e557-e568.</w:t>
      </w:r>
    </w:p>
    <w:p w14:paraId="1B792B5E" w14:textId="77777777" w:rsidR="00401EAB" w:rsidRDefault="00000000" w:rsidP="00972316">
      <w:pPr>
        <w:pStyle w:val="ListParagraph"/>
        <w:numPr>
          <w:ilvl w:val="0"/>
          <w:numId w:val="10"/>
        </w:numPr>
        <w:spacing w:after="120" w:line="360" w:lineRule="auto"/>
        <w:jc w:val="both"/>
      </w:pPr>
      <w:r w:rsidRPr="00972316">
        <w:rPr>
          <w:sz w:val="20"/>
        </w:rPr>
        <w:t>Law, C.W., et al. (2014). voom: precision weights unlock linear model analysis tools for RNA-seq read counts. Genome Biology, 15, R29.</w:t>
      </w:r>
    </w:p>
    <w:p w14:paraId="12816B53" w14:textId="77777777" w:rsidR="00401EAB" w:rsidRDefault="00000000" w:rsidP="00972316">
      <w:pPr>
        <w:pStyle w:val="ListParagraph"/>
        <w:numPr>
          <w:ilvl w:val="0"/>
          <w:numId w:val="10"/>
        </w:numPr>
        <w:spacing w:after="120" w:line="360" w:lineRule="auto"/>
        <w:jc w:val="both"/>
      </w:pPr>
      <w:r w:rsidRPr="00972316">
        <w:rPr>
          <w:sz w:val="20"/>
        </w:rPr>
        <w:t>Lundberg, S.M., and Lee, S.I. (2017). A Unified Approach to Interpreting Model Predictions. Advances in Neural Information Processing Systems, 30.</w:t>
      </w:r>
    </w:p>
    <w:p w14:paraId="09FF0F25" w14:textId="77777777" w:rsidR="00401EAB" w:rsidRDefault="00000000" w:rsidP="00972316">
      <w:pPr>
        <w:pStyle w:val="ListParagraph"/>
        <w:numPr>
          <w:ilvl w:val="0"/>
          <w:numId w:val="10"/>
        </w:numPr>
        <w:spacing w:after="120" w:line="360" w:lineRule="auto"/>
        <w:jc w:val="both"/>
      </w:pPr>
      <w:r w:rsidRPr="00972316">
        <w:rPr>
          <w:sz w:val="20"/>
        </w:rPr>
        <w:lastRenderedPageBreak/>
        <w:t>Park, Y.H., et al. (2020). Chemotherapy induces dynamic immune responses in breast cancers that impact treatment outcome. Nature Communications, 11, 6175.</w:t>
      </w:r>
    </w:p>
    <w:p w14:paraId="18F4B691" w14:textId="77777777" w:rsidR="00401EAB" w:rsidRDefault="00000000" w:rsidP="00972316">
      <w:pPr>
        <w:pStyle w:val="ListParagraph"/>
        <w:numPr>
          <w:ilvl w:val="0"/>
          <w:numId w:val="10"/>
        </w:numPr>
        <w:spacing w:after="120" w:line="360" w:lineRule="auto"/>
        <w:jc w:val="both"/>
      </w:pPr>
      <w:r w:rsidRPr="00972316">
        <w:rPr>
          <w:sz w:val="20"/>
        </w:rPr>
        <w:t>Saito, T., and Rehmsmeier, M. (2015). The precision-recall plot is more informative than the ROC plot when evaluating binary classifiers on imbalanced datasets. PLoS ONE, 10(3), e0118432.</w:t>
      </w:r>
    </w:p>
    <w:p w14:paraId="7F0C8E05" w14:textId="77777777" w:rsidR="00401EAB" w:rsidRDefault="00000000" w:rsidP="00972316">
      <w:pPr>
        <w:pStyle w:val="ListParagraph"/>
        <w:numPr>
          <w:ilvl w:val="0"/>
          <w:numId w:val="10"/>
        </w:numPr>
        <w:spacing w:after="120" w:line="360" w:lineRule="auto"/>
        <w:jc w:val="both"/>
      </w:pPr>
      <w:r w:rsidRPr="00972316">
        <w:rPr>
          <w:sz w:val="20"/>
        </w:rPr>
        <w:t>Snoek, J., Larochelle, H., and Adams, R.P. (2012). Practical Bayesian Optimization of Machine Learning Algorithms. Advances in Neural Information Processing Systems, 25.</w:t>
      </w:r>
    </w:p>
    <w:p w14:paraId="1FB1629C" w14:textId="77777777" w:rsidR="00401EAB" w:rsidRDefault="00000000" w:rsidP="00972316">
      <w:pPr>
        <w:pStyle w:val="ListParagraph"/>
        <w:numPr>
          <w:ilvl w:val="0"/>
          <w:numId w:val="10"/>
        </w:numPr>
        <w:spacing w:after="120" w:line="360" w:lineRule="auto"/>
        <w:jc w:val="both"/>
      </w:pPr>
      <w:r w:rsidRPr="00972316">
        <w:rPr>
          <w:sz w:val="20"/>
        </w:rPr>
        <w:t>Sparano, J.A., et al. (2018). Adjuvant Chemotherapy Guided by a 21-Gene Expression Assay in Breast Cancer. New England Journal of Medicine, 379(2), 111-121.</w:t>
      </w:r>
    </w:p>
    <w:p w14:paraId="7320B9D5" w14:textId="77777777" w:rsidR="00401EAB" w:rsidRDefault="00000000" w:rsidP="00972316">
      <w:pPr>
        <w:pStyle w:val="ListParagraph"/>
        <w:numPr>
          <w:ilvl w:val="0"/>
          <w:numId w:val="10"/>
        </w:numPr>
        <w:spacing w:after="120" w:line="360" w:lineRule="auto"/>
        <w:jc w:val="both"/>
      </w:pPr>
      <w:r w:rsidRPr="00972316">
        <w:rPr>
          <w:sz w:val="20"/>
        </w:rPr>
        <w:t>Statnikov, A., et al. (2008). A comprehensive comparison of random forests and support vector machines for microarray-based cancer classification. BMC Bioinformatics, 9, 319.</w:t>
      </w:r>
    </w:p>
    <w:p w14:paraId="4986254D" w14:textId="77777777" w:rsidR="00401EAB" w:rsidRDefault="00000000" w:rsidP="00972316">
      <w:pPr>
        <w:pStyle w:val="ListParagraph"/>
        <w:numPr>
          <w:ilvl w:val="0"/>
          <w:numId w:val="10"/>
        </w:numPr>
        <w:spacing w:after="120" w:line="360" w:lineRule="auto"/>
        <w:jc w:val="both"/>
      </w:pPr>
      <w:r w:rsidRPr="00972316">
        <w:rPr>
          <w:sz w:val="20"/>
        </w:rPr>
        <w:t>Steyerberg, E.W., et al. (2010). Assessing the performance of prediction models: a framework for some traditional and novel measures. Epidemiology, 21(1), 128-138.</w:t>
      </w:r>
    </w:p>
    <w:p w14:paraId="3A51DDCE" w14:textId="77777777" w:rsidR="00401EAB" w:rsidRDefault="00000000" w:rsidP="00972316">
      <w:pPr>
        <w:pStyle w:val="ListParagraph"/>
        <w:numPr>
          <w:ilvl w:val="0"/>
          <w:numId w:val="10"/>
        </w:numPr>
        <w:spacing w:after="120" w:line="360" w:lineRule="auto"/>
        <w:jc w:val="both"/>
      </w:pPr>
      <w:r w:rsidRPr="00972316">
        <w:rPr>
          <w:sz w:val="20"/>
        </w:rPr>
        <w:t>Sung, H., et al. (2021). Global Cancer Statistics 2020: GLOBOCAN Estimates of Incidence and Mortality Worldwide for 36 Cancers in 185 Countries. CA: A Cancer Journal for Clinicians, 71(3), 209-249.</w:t>
      </w:r>
    </w:p>
    <w:p w14:paraId="71B6F1B6" w14:textId="77777777" w:rsidR="00401EAB" w:rsidRDefault="00000000" w:rsidP="00972316">
      <w:pPr>
        <w:pStyle w:val="ListParagraph"/>
        <w:numPr>
          <w:ilvl w:val="0"/>
          <w:numId w:val="10"/>
        </w:numPr>
        <w:spacing w:after="120" w:line="360" w:lineRule="auto"/>
        <w:jc w:val="both"/>
      </w:pPr>
      <w:r w:rsidRPr="00972316">
        <w:rPr>
          <w:sz w:val="20"/>
        </w:rPr>
        <w:t>Symmans, W.F., et al. (2007). Measurement of Residual Breast Cancer Burden to Predict Survival After Neoadjuvant Chemotherapy. Journal of Clinical Oncology, 25(28), 4414-4422.</w:t>
      </w:r>
    </w:p>
    <w:p w14:paraId="1263D712" w14:textId="77777777" w:rsidR="00401EAB" w:rsidRDefault="00000000" w:rsidP="00972316">
      <w:pPr>
        <w:pStyle w:val="ListParagraph"/>
        <w:numPr>
          <w:ilvl w:val="0"/>
          <w:numId w:val="10"/>
        </w:numPr>
        <w:spacing w:after="120" w:line="360" w:lineRule="auto"/>
        <w:jc w:val="both"/>
      </w:pPr>
      <w:r w:rsidRPr="00972316">
        <w:rPr>
          <w:sz w:val="20"/>
        </w:rPr>
        <w:t>Tibshirani, R. (1996). Regression Shrinkage and Selection via the Lasso. Journal of the Royal Statistical Society. Series B, 58(1), 267-288.</w:t>
      </w:r>
    </w:p>
    <w:p w14:paraId="1B3E7C12" w14:textId="77777777" w:rsidR="00401EAB" w:rsidRDefault="00000000" w:rsidP="00972316">
      <w:pPr>
        <w:pStyle w:val="ListParagraph"/>
        <w:numPr>
          <w:ilvl w:val="0"/>
          <w:numId w:val="10"/>
        </w:numPr>
        <w:spacing w:after="120" w:line="360" w:lineRule="auto"/>
        <w:jc w:val="both"/>
      </w:pPr>
      <w:r w:rsidRPr="00972316">
        <w:rPr>
          <w:sz w:val="20"/>
        </w:rPr>
        <w:t>Topol, E.J. (2019). High-performance medicine: the convergence of human and artificial intelligence. Nature Medicine, 25(1), 44-56.</w:t>
      </w:r>
    </w:p>
    <w:p w14:paraId="472A90A9" w14:textId="77777777" w:rsidR="00401EAB" w:rsidRDefault="00000000" w:rsidP="00972316">
      <w:pPr>
        <w:pStyle w:val="ListParagraph"/>
        <w:numPr>
          <w:ilvl w:val="0"/>
          <w:numId w:val="10"/>
        </w:numPr>
        <w:spacing w:after="120" w:line="360" w:lineRule="auto"/>
        <w:jc w:val="both"/>
      </w:pPr>
      <w:r w:rsidRPr="00972316">
        <w:rPr>
          <w:sz w:val="20"/>
        </w:rPr>
        <w:t>Vickers, A.J., and Elkin, E.B. (2006). Decision Curve Analysis: A Novel Method for Evaluating Prediction Models. Medical Decision Making, 26(6), 565-574.</w:t>
      </w:r>
    </w:p>
    <w:p w14:paraId="46FC803B" w14:textId="77777777" w:rsidR="00401EAB" w:rsidRDefault="00000000" w:rsidP="00972316">
      <w:pPr>
        <w:pStyle w:val="ListParagraph"/>
        <w:numPr>
          <w:ilvl w:val="0"/>
          <w:numId w:val="10"/>
        </w:numPr>
        <w:spacing w:after="120" w:line="360" w:lineRule="auto"/>
        <w:jc w:val="both"/>
      </w:pPr>
      <w:r w:rsidRPr="00972316">
        <w:rPr>
          <w:sz w:val="20"/>
        </w:rPr>
        <w:t>Wagner, G.P., Kin, K., and Lynch, V.J. (2012). Measurement of mRNA abundance using RNA-seq data: RPKM measure is inconsistent among samples. Theory in Biosciences, 131(4), 281-285.</w:t>
      </w:r>
    </w:p>
    <w:p w14:paraId="5FD0334B" w14:textId="77777777" w:rsidR="00401EAB" w:rsidRDefault="00000000" w:rsidP="00972316">
      <w:pPr>
        <w:pStyle w:val="ListParagraph"/>
        <w:numPr>
          <w:ilvl w:val="0"/>
          <w:numId w:val="10"/>
        </w:numPr>
        <w:spacing w:after="120" w:line="360" w:lineRule="auto"/>
        <w:jc w:val="both"/>
      </w:pPr>
      <w:r w:rsidRPr="00972316">
        <w:rPr>
          <w:sz w:val="20"/>
        </w:rPr>
        <w:t>Wang, Z., Gerstein, M., and Snyder, M. (2009). RNA-Seq: a revolutionary tool for transcriptomics. Nature Reviews Genetics, 10(1), 57-63.</w:t>
      </w:r>
    </w:p>
    <w:p w14:paraId="514CB89C" w14:textId="77777777" w:rsidR="00401EAB" w:rsidRDefault="00000000" w:rsidP="00972316">
      <w:pPr>
        <w:pStyle w:val="ListParagraph"/>
        <w:numPr>
          <w:ilvl w:val="0"/>
          <w:numId w:val="10"/>
        </w:numPr>
        <w:spacing w:after="120" w:line="360" w:lineRule="auto"/>
        <w:jc w:val="both"/>
      </w:pPr>
      <w:r w:rsidRPr="00972316">
        <w:rPr>
          <w:sz w:val="20"/>
        </w:rPr>
        <w:t>Wolpert, D.H. (1992). Stacked Generalization. Neural Networks, 5(2), 241-259.</w:t>
      </w:r>
    </w:p>
    <w:p w14:paraId="075315E3" w14:textId="77777777" w:rsidR="00401EAB" w:rsidRDefault="00000000" w:rsidP="00972316">
      <w:pPr>
        <w:pStyle w:val="ListParagraph"/>
        <w:numPr>
          <w:ilvl w:val="0"/>
          <w:numId w:val="10"/>
        </w:numPr>
        <w:spacing w:after="120" w:line="360" w:lineRule="auto"/>
        <w:jc w:val="both"/>
      </w:pPr>
      <w:r w:rsidRPr="00972316">
        <w:rPr>
          <w:sz w:val="20"/>
        </w:rPr>
        <w:t>Yau, C., et al. (2022). Residual cancer burden after neoadjuvant chemotherapy and long-term survival outcomes in breast cancer: a multicentre pooled analysis of 5161 patients. The Lancet Oncology, 23(1), 149-160.</w:t>
      </w:r>
    </w:p>
    <w:sectPr w:rsidR="00401EA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B142C49"/>
    <w:multiLevelType w:val="hybridMultilevel"/>
    <w:tmpl w:val="35A2017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660620656">
    <w:abstractNumId w:val="8"/>
  </w:num>
  <w:num w:numId="2" w16cid:durableId="128279373">
    <w:abstractNumId w:val="6"/>
  </w:num>
  <w:num w:numId="3" w16cid:durableId="396438014">
    <w:abstractNumId w:val="5"/>
  </w:num>
  <w:num w:numId="4" w16cid:durableId="700474204">
    <w:abstractNumId w:val="4"/>
  </w:num>
  <w:num w:numId="5" w16cid:durableId="254024875">
    <w:abstractNumId w:val="7"/>
  </w:num>
  <w:num w:numId="6" w16cid:durableId="1731073092">
    <w:abstractNumId w:val="3"/>
  </w:num>
  <w:num w:numId="7" w16cid:durableId="2069457576">
    <w:abstractNumId w:val="2"/>
  </w:num>
  <w:num w:numId="8" w16cid:durableId="1261986234">
    <w:abstractNumId w:val="1"/>
  </w:num>
  <w:num w:numId="9" w16cid:durableId="1502165213">
    <w:abstractNumId w:val="0"/>
  </w:num>
  <w:num w:numId="10" w16cid:durableId="5295311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990"/>
    <w:rsid w:val="0015074B"/>
    <w:rsid w:val="0029639D"/>
    <w:rsid w:val="00326F90"/>
    <w:rsid w:val="00401EAB"/>
    <w:rsid w:val="00972316"/>
    <w:rsid w:val="00AA1D8D"/>
    <w:rsid w:val="00B47730"/>
    <w:rsid w:val="00CB0664"/>
    <w:rsid w:val="00FA75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A60948"/>
  <w14:defaultImageDpi w14:val="300"/>
  <w15:docId w15:val="{45DD0CF8-BE5B-478E-AD58-AC6AEB528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18</Pages>
  <Words>4600</Words>
  <Characters>26225</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Walter Odur</cp:lastModifiedBy>
  <cp:revision>3</cp:revision>
  <dcterms:created xsi:type="dcterms:W3CDTF">2013-12-23T23:15:00Z</dcterms:created>
  <dcterms:modified xsi:type="dcterms:W3CDTF">2026-05-16T20:25:00Z</dcterms:modified>
  <cp:category/>
</cp:coreProperties>
</file>