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00"/>
        <w:jc w:val="center"/>
      </w:pPr>
      <w:r>
        <w:rPr>
          <w:rFonts w:ascii="Arial" w:cs="Arial" w:eastAsia="Arial" w:hAnsi="Arial"/>
          <w:b/>
          <w:bCs/>
          <w:color w:val="1B3A5C"/>
          <w:sz w:val="52"/>
          <w:szCs w:val="52"/>
        </w:rPr>
        <w:t xml:space="preserve">INITIATING COVERAGE</w:t>
      </w:r>
    </w:p>
    <w:p>
      <w:pPr>
        <w:spacing w:after="200"/>
        <w:jc w:val="center"/>
      </w:pPr>
      <w:r>
        <w:rPr>
          <w:rFonts w:ascii="Arial" w:cs="Arial" w:eastAsia="Arial" w:hAnsi="Arial"/>
          <w:color w:val="2C5F8A"/>
          <w:sz w:val="36"/>
          <w:szCs w:val="36"/>
        </w:rPr>
        <w:t xml:space="preserve">MercadoLibre, Inc. (NASDAQ: MELI)</w:t>
      </w:r>
    </w:p>
    <w:p>
      <w:pPr>
        <w:spacing w:after="100"/>
        <w:jc w:val="center"/>
      </w:pPr>
      <w:r>
        <w:rPr>
          <w:rFonts w:ascii="Arial" w:cs="Arial" w:eastAsia="Arial" w:hAnsi="Arial"/>
          <w:color w:val="666666"/>
          <w:sz w:val="28"/>
          <w:szCs w:val="28"/>
        </w:rPr>
        <w:t xml:space="preserve">E-commerce &amp; Fintech | Latin America</w:t>
      </w:r>
    </w:p>
    <w:p>
      <w:pPr>
        <w:spacing w:before="40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B6B3A"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Rating: BUY</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Target: $2,200</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Current: $1,774</w:t>
            </w:r>
          </w:p>
        </w:tc>
        <w:tc>
          <w:tcPr>
            <w:tcW w:type="dxa" w:w="2430"/>
            <w:tcBorders>
              <w:top w:val="single" w:color="999999" w:sz="1"/>
              <w:left w:val="single" w:color="999999" w:sz="1"/>
              <w:bottom w:val="single" w:color="999999" w:sz="1"/>
              <w:right w:val="single" w:color="999999" w:sz="1"/>
            </w:tcBorders>
            <w:shd w:fill="2E7D32" w:val="clear"/>
            <w:tcMar>
              <w:top w:type="dxa" w:w="60"/>
              <w:left w:type="dxa" w:w="100"/>
              <w:bottom w:type="dxa" w:w="60"/>
              <w:right w:type="dxa" w:w="100"/>
            </w:tcMar>
          </w:tcPr>
          <w:p>
            <w:pPr>
              <w:jc w:val="center"/>
            </w:pPr>
            <w:r>
              <w:rPr>
                <w:rFonts w:ascii="Arial" w:cs="Arial" w:eastAsia="Arial" w:hAnsi="Arial"/>
                <w:b/>
                <w:bCs/>
                <w:color w:val="FFFFFF"/>
                <w:sz w:val="28"/>
                <w:szCs w:val="28"/>
              </w:rPr>
              <w:t xml:space="preserve">Upside: +24%</w:t>
            </w:r>
          </w:p>
        </w:tc>
      </w:tr>
    </w:tbl>
    <w:p>
      <w:pPr>
        <w:spacing w:before="400"/>
        <w:jc w:val="center"/>
      </w:pPr>
      <w:r>
        <w:rPr>
          <w:rFonts w:ascii="Arial" w:cs="Arial" w:eastAsia="Arial" w:hAnsi="Arial"/>
          <w:color w:val="666666"/>
          <w:sz w:val="24"/>
          <w:szCs w:val="24"/>
        </w:rPr>
        <w:t xml:space="preserve">2026-02-27</w:t>
      </w:r>
    </w:p>
    <w:p>
      <w:r>
        <w:br w:type="page"/>
      </w:r>
    </w:p>
    <w:p>
      <w:pPr>
        <w:pStyle w:val="Heading1"/>
        <w:spacing w:after="240" w:before="360"/>
      </w:pPr>
      <w:r>
        <w:rPr>
          <w:rFonts w:ascii="Arial" w:cs="Arial" w:eastAsia="Arial" w:hAnsi="Arial"/>
          <w:b/>
          <w:bCs/>
        </w:rPr>
        <w:t xml:space="preserve">1. Executive Summary</w:t>
      </w:r>
    </w:p>
    <w:p>
      <w:pPr>
        <w:spacing w:after="120"/>
      </w:pPr>
      <w:r>
        <w:rPr>
          <w:rFonts w:ascii="Arial" w:cs="Arial" w:eastAsia="Arial" w:hAnsi="Arial"/>
          <w:sz w:val="22"/>
          <w:szCs w:val="22"/>
        </w:rPr>
        <w:t xml:space="preserve">We initiate coverage of MercadoLibre (MELI) with a </w:t>
      </w:r>
      <w:r>
        <w:rPr>
          <w:rFonts w:ascii="Arial" w:cs="Arial" w:eastAsia="Arial" w:hAnsi="Arial"/>
          <w:b/>
          <w:bCs/>
          <w:color w:val="1B6B3A"/>
          <w:sz w:val="22"/>
          <w:szCs w:val="22"/>
        </w:rPr>
        <w:t xml:space="preserve">BUY</w:t>
      </w:r>
      <w:r>
        <w:rPr>
          <w:rFonts w:ascii="Arial" w:cs="Arial" w:eastAsia="Arial" w:hAnsi="Arial"/>
          <w:sz w:val="22"/>
          <w:szCs w:val="22"/>
        </w:rPr>
        <w:t xml:space="preserve">rating and a 12-month target price of </w:t>
      </w:r>
      <w:r>
        <w:rPr>
          <w:rFonts w:ascii="Arial" w:cs="Arial" w:eastAsia="Arial" w:hAnsi="Arial"/>
          <w:b/>
          <w:bCs/>
          <w:sz w:val="22"/>
          <w:szCs w:val="22"/>
        </w:rPr>
        <w:t xml:space="preserve">$2,200</w:t>
      </w:r>
      <w:r>
        <w:rPr>
          <w:rFonts w:ascii="Arial" w:cs="Arial" w:eastAsia="Arial" w:hAnsi="Arial"/>
          <w:sz w:val="22"/>
          <w:szCs w:val="22"/>
        </w:rPr>
        <w:t xml:space="preserve">, implying ~24% upside from the current price of $1,774.</w:t>
      </w:r>
    </w:p>
    <w:p>
      <w:pPr>
        <w:spacing w:after="120"/>
      </w:pPr>
      <w:r>
        <w:rPr>
          <w:rFonts w:ascii="Arial" w:cs="Arial" w:eastAsia="Arial" w:hAnsi="Arial"/>
          <w:sz w:val="22"/>
          <w:szCs w:val="22"/>
        </w:rPr>
        <w:t xml:space="preserve">MELI is the dominant digital ecosystem in Latin America, operating the region's largest e-commerce marketplace, fintech platform (Mercado Pago), logistics network (Mercado Envios), and digital advertising business (Mercado Ads). With $21B+ in revenue growing 37%+ YoY, expanding margins, and a $900B+ addressable market at just ~16% online penetration, MELI represents a compelling secular growth story with improving unit economics.</w:t>
      </w:r>
    </w:p>
    <w:p>
      <w:pPr>
        <w:pStyle w:val="Heading2"/>
        <w:spacing w:after="180" w:before="240"/>
      </w:pPr>
      <w:r>
        <w:rPr>
          <w:rFonts w:ascii="Arial" w:cs="Arial" w:eastAsia="Arial" w:hAnsi="Arial"/>
          <w:b/>
          <w:bCs/>
        </w:rPr>
        <w:t xml:space="preserve">Investment Thesis (3 Pillars)</w:t>
      </w:r>
    </w:p>
    <w:p>
      <w:pPr>
        <w:pStyle w:val="ListParagraph"/>
        <w:numPr>
          <w:ilvl w:val="0"/>
          <w:numId w:val="2"/>
        </w:numPr>
        <w:spacing w:after="80"/>
      </w:pPr>
      <w:r>
        <w:rPr>
          <w:rFonts w:ascii="Arial" w:cs="Arial" w:eastAsia="Arial" w:hAnsi="Arial"/>
          <w:b/>
          <w:bCs/>
          <w:sz w:val="22"/>
          <w:szCs w:val="22"/>
        </w:rPr>
        <w:t xml:space="preserve">Unassailable Ecosystem Moat: </w:t>
      </w:r>
      <w:r>
        <w:rPr>
          <w:rFonts w:ascii="Arial" w:cs="Arial" w:eastAsia="Arial" w:hAnsi="Arial"/>
          <w:sz w:val="22"/>
          <w:szCs w:val="22"/>
        </w:rPr>
        <w:t xml:space="preserve">The integrated flywheel of marketplace + payments + logistics + credit + ads creates network effects that no single competitor can replicate. 100M+ unique buyers, 55M+ Mercado Pago users, 100+ fulfillment centers.</w:t>
      </w:r>
    </w:p>
    <w:p>
      <w:pPr>
        <w:pStyle w:val="ListParagraph"/>
        <w:numPr>
          <w:ilvl w:val="0"/>
          <w:numId w:val="2"/>
        </w:numPr>
        <w:spacing w:after="80"/>
      </w:pPr>
      <w:r>
        <w:rPr>
          <w:rFonts w:ascii="Arial" w:cs="Arial" w:eastAsia="Arial" w:hAnsi="Arial"/>
          <w:b/>
          <w:bCs/>
          <w:sz w:val="22"/>
          <w:szCs w:val="22"/>
        </w:rPr>
        <w:t xml:space="preserve">Multiple High-Growth Vectors: </w:t>
      </w:r>
      <w:r>
        <w:rPr>
          <w:rFonts w:ascii="Arial" w:cs="Arial" w:eastAsia="Arial" w:hAnsi="Arial"/>
          <w:sz w:val="22"/>
          <w:szCs w:val="22"/>
        </w:rPr>
        <w:t xml:space="preserve">Beyond marketplace GMV, Mercado Ads (nascent), Mercado Credito ($4B+ portfolio), and logistics-as-a-service each represent multi-billion dollar revenue opportunities with accretive margins.</w:t>
      </w:r>
    </w:p>
    <w:p>
      <w:pPr>
        <w:pStyle w:val="ListParagraph"/>
        <w:numPr>
          <w:ilvl w:val="0"/>
          <w:numId w:val="2"/>
        </w:numPr>
        <w:spacing w:after="80"/>
      </w:pPr>
      <w:r>
        <w:rPr>
          <w:rFonts w:ascii="Arial" w:cs="Arial" w:eastAsia="Arial" w:hAnsi="Arial"/>
          <w:b/>
          <w:bCs/>
          <w:sz w:val="22"/>
          <w:szCs w:val="22"/>
        </w:rPr>
        <w:t xml:space="preserve">Secular LATAM Digitization Tailwind: </w:t>
      </w:r>
      <w:r>
        <w:rPr>
          <w:rFonts w:ascii="Arial" w:cs="Arial" w:eastAsia="Arial" w:hAnsi="Arial"/>
          <w:sz w:val="22"/>
          <w:szCs w:val="22"/>
        </w:rPr>
        <w:t xml:space="preserve">E-commerce penetration in LATAM (~16%) is less than half of US/China levels. 200M+ underbanked adults drive fintech adoption. Young demographics (median age ~31) accelerate digital consumption.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2024A</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2025E</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2026E</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 ($B)</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$20.8</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$28.0</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$35.9</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Revenue Growth</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37.5%</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35.0%</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28.0%</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EBITDA ($B)</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$3.2</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$6.3</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EBITDA Margin</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15.4%</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16.5%</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17.5%</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Net Income ($B)</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$1.9</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EPS</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$37.69</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$54.50</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$78.80</w:t>
            </w:r>
          </w:p>
        </w:tc>
      </w:tr>
    </w:tbl>
    <w:p>
      <w:r>
        <w:br w:type="page"/>
      </w:r>
    </w:p>
    <w:p>
      <w:pPr>
        <w:pStyle w:val="Heading1"/>
        <w:spacing w:after="240" w:before="360"/>
      </w:pPr>
      <w:r>
        <w:rPr>
          <w:rFonts w:ascii="Arial" w:cs="Arial" w:eastAsia="Arial" w:hAnsi="Arial"/>
          <w:b/>
          <w:bCs/>
        </w:rPr>
        <w:t xml:space="preserve">2. Company Overview</w:t>
      </w:r>
    </w:p>
    <w:p>
      <w:pPr>
        <w:spacing w:after="120"/>
      </w:pPr>
      <w:r>
        <w:rPr>
          <w:rFonts w:ascii="Arial" w:cs="Arial" w:eastAsia="Arial" w:hAnsi="Arial"/>
          <w:sz w:val="22"/>
          <w:szCs w:val="22"/>
        </w:rPr>
        <w:t xml:space="preserve">MercadoLibre, Inc. was founded in 1999 by Marcos Galperin in Buenos Aires, Argentina and is headquartered in Montevideo, Uruguay. The company went public on NASDAQ in 2007 and operates across 18 countries in Latin America.</w:t>
      </w:r>
    </w:p>
    <w:p>
      <w:pPr>
        <w:pStyle w:val="Heading2"/>
        <w:spacing w:after="180" w:before="240"/>
      </w:pPr>
      <w:r>
        <w:rPr>
          <w:rFonts w:ascii="Arial" w:cs="Arial" w:eastAsia="Arial" w:hAnsi="Arial"/>
          <w:b/>
          <w:bCs/>
        </w:rPr>
        <w:t xml:space="preserve">2.1 Business Segments</w:t>
      </w:r>
    </w:p>
    <w:p>
      <w:pPr>
        <w:pStyle w:val="Heading3"/>
        <w:spacing w:after="120" w:before="180"/>
      </w:pPr>
      <w:r>
        <w:rPr>
          <w:rFonts w:ascii="Arial" w:cs="Arial" w:eastAsia="Arial" w:hAnsi="Arial"/>
          <w:b/>
          <w:bCs/>
        </w:rPr>
        <w:t xml:space="preserve">E-commerce (Mercado Libre Marketplace)</w:t>
      </w:r>
    </w:p>
    <w:p>
      <w:pPr>
        <w:pStyle w:val="ListParagraph"/>
        <w:numPr>
          <w:ilvl w:val="0"/>
          <w:numId w:val="3"/>
        </w:numPr>
        <w:spacing w:after="80"/>
      </w:pPr>
      <w:r>
        <w:rPr>
          <w:rFonts w:ascii="Arial" w:cs="Arial" w:eastAsia="Arial" w:hAnsi="Arial"/>
          <w:sz w:val="22"/>
          <w:szCs w:val="22"/>
        </w:rPr>
        <w:t xml:space="preserve">Largest online marketplace in LATAM with ~28% regional market share</w:t>
      </w:r>
    </w:p>
    <w:p>
      <w:pPr>
        <w:pStyle w:val="ListParagraph"/>
        <w:numPr>
          <w:ilvl w:val="0"/>
          <w:numId w:val="3"/>
        </w:numPr>
        <w:spacing w:after="80"/>
      </w:pPr>
      <w:r>
        <w:rPr>
          <w:rFonts w:ascii="Arial" w:cs="Arial" w:eastAsia="Arial" w:hAnsi="Arial"/>
          <w:sz w:val="22"/>
          <w:szCs w:val="22"/>
        </w:rPr>
        <w:t xml:space="preserve">GMV of $51.5B in 2024, with 100M+ unique annual buyers</w:t>
      </w:r>
    </w:p>
    <w:p>
      <w:pPr>
        <w:pStyle w:val="ListParagraph"/>
        <w:numPr>
          <w:ilvl w:val="0"/>
          <w:numId w:val="3"/>
        </w:numPr>
        <w:spacing w:after="80"/>
      </w:pPr>
      <w:r>
        <w:rPr>
          <w:rFonts w:ascii="Arial" w:cs="Arial" w:eastAsia="Arial" w:hAnsi="Arial"/>
          <w:sz w:val="22"/>
          <w:szCs w:val="22"/>
        </w:rPr>
        <w:t xml:space="preserve">35% market share in Brazil, 30% in Mexico, dominant in Argentina</w:t>
      </w:r>
    </w:p>
    <w:p>
      <w:pPr>
        <w:pStyle w:val="ListParagraph"/>
        <w:numPr>
          <w:ilvl w:val="0"/>
          <w:numId w:val="3"/>
        </w:numPr>
        <w:spacing w:after="80"/>
      </w:pPr>
      <w:r>
        <w:rPr>
          <w:rFonts w:ascii="Arial" w:cs="Arial" w:eastAsia="Arial" w:hAnsi="Arial"/>
          <w:sz w:val="22"/>
          <w:szCs w:val="22"/>
        </w:rPr>
        <w:t xml:space="preserve">Categories: electronics, apparel, home, auto parts, FMCG — expanding into groceries</w:t>
      </w:r>
    </w:p>
    <w:p>
      <w:pPr>
        <w:pStyle w:val="Heading3"/>
        <w:spacing w:after="120" w:before="180"/>
      </w:pPr>
      <w:r>
        <w:rPr>
          <w:rFonts w:ascii="Arial" w:cs="Arial" w:eastAsia="Arial" w:hAnsi="Arial"/>
          <w:b/>
          <w:bCs/>
        </w:rPr>
        <w:t xml:space="preserve">Fintech (Mercado Pago)</w:t>
      </w:r>
    </w:p>
    <w:p>
      <w:pPr>
        <w:pStyle w:val="ListParagraph"/>
        <w:numPr>
          <w:ilvl w:val="0"/>
          <w:numId w:val="3"/>
        </w:numPr>
        <w:spacing w:after="80"/>
      </w:pPr>
      <w:r>
        <w:rPr>
          <w:rFonts w:ascii="Arial" w:cs="Arial" w:eastAsia="Arial" w:hAnsi="Arial"/>
          <w:sz w:val="22"/>
          <w:szCs w:val="22"/>
        </w:rPr>
        <w:t xml:space="preserve">Digital wallet with 55M+ active users</w:t>
      </w:r>
    </w:p>
    <w:p>
      <w:pPr>
        <w:pStyle w:val="ListParagraph"/>
        <w:numPr>
          <w:ilvl w:val="0"/>
          <w:numId w:val="3"/>
        </w:numPr>
        <w:spacing w:after="80"/>
      </w:pPr>
      <w:r>
        <w:rPr>
          <w:rFonts w:ascii="Arial" w:cs="Arial" w:eastAsia="Arial" w:hAnsi="Arial"/>
          <w:sz w:val="22"/>
          <w:szCs w:val="22"/>
        </w:rPr>
        <w:t xml:space="preserve">Total Payment Volume growing ~35% YoY, with ~65% off-platform</w:t>
      </w:r>
    </w:p>
    <w:p>
      <w:pPr>
        <w:pStyle w:val="ListParagraph"/>
        <w:numPr>
          <w:ilvl w:val="0"/>
          <w:numId w:val="3"/>
        </w:numPr>
        <w:spacing w:after="80"/>
      </w:pPr>
      <w:r>
        <w:rPr>
          <w:rFonts w:ascii="Arial" w:cs="Arial" w:eastAsia="Arial" w:hAnsi="Arial"/>
          <w:sz w:val="22"/>
          <w:szCs w:val="22"/>
        </w:rPr>
        <w:t xml:space="preserve">Mercado Credito: $4B+ loan portfolio with ~7% NPL ratio (&gt;90 days)</w:t>
      </w:r>
    </w:p>
    <w:p>
      <w:pPr>
        <w:pStyle w:val="ListParagraph"/>
        <w:numPr>
          <w:ilvl w:val="0"/>
          <w:numId w:val="3"/>
        </w:numPr>
        <w:spacing w:after="80"/>
      </w:pPr>
      <w:r>
        <w:rPr>
          <w:rFonts w:ascii="Arial" w:cs="Arial" w:eastAsia="Arial" w:hAnsi="Arial"/>
          <w:sz w:val="22"/>
          <w:szCs w:val="22"/>
        </w:rPr>
        <w:t xml:space="preserve">Products: QR payments, card, P2P transfers, investments, insurance, crypto</w:t>
      </w:r>
    </w:p>
    <w:p>
      <w:pPr>
        <w:pStyle w:val="Heading3"/>
        <w:spacing w:after="120" w:before="180"/>
      </w:pPr>
      <w:r>
        <w:rPr>
          <w:rFonts w:ascii="Arial" w:cs="Arial" w:eastAsia="Arial" w:hAnsi="Arial"/>
          <w:b/>
          <w:bCs/>
        </w:rPr>
        <w:t xml:space="preserve">Logistics (Mercado Envios)</w:t>
      </w:r>
    </w:p>
    <w:p>
      <w:pPr>
        <w:pStyle w:val="ListParagraph"/>
        <w:numPr>
          <w:ilvl w:val="0"/>
          <w:numId w:val="3"/>
        </w:numPr>
        <w:spacing w:after="80"/>
      </w:pPr>
      <w:r>
        <w:rPr>
          <w:rFonts w:ascii="Arial" w:cs="Arial" w:eastAsia="Arial" w:hAnsi="Arial"/>
          <w:sz w:val="22"/>
          <w:szCs w:val="22"/>
        </w:rPr>
        <w:t xml:space="preserve">100+ fulfillment centers across LATAM</w:t>
      </w:r>
    </w:p>
    <w:p>
      <w:pPr>
        <w:pStyle w:val="ListParagraph"/>
        <w:numPr>
          <w:ilvl w:val="0"/>
          <w:numId w:val="3"/>
        </w:numPr>
        <w:spacing w:after="80"/>
      </w:pPr>
      <w:r>
        <w:rPr>
          <w:rFonts w:ascii="Arial" w:cs="Arial" w:eastAsia="Arial" w:hAnsi="Arial"/>
          <w:sz w:val="22"/>
          <w:szCs w:val="22"/>
        </w:rPr>
        <w:t xml:space="preserve">~55% of orders delivered same-day or next-day</w:t>
      </w:r>
    </w:p>
    <w:p>
      <w:pPr>
        <w:pStyle w:val="ListParagraph"/>
        <w:numPr>
          <w:ilvl w:val="0"/>
          <w:numId w:val="3"/>
        </w:numPr>
        <w:spacing w:after="80"/>
      </w:pPr>
      <w:r>
        <w:rPr>
          <w:rFonts w:ascii="Arial" w:cs="Arial" w:eastAsia="Arial" w:hAnsi="Arial"/>
          <w:sz w:val="22"/>
          <w:szCs w:val="22"/>
        </w:rPr>
        <w:t xml:space="preserve">Cross-docking, drop-shipping, and Flex (gig delivery) models</w:t>
      </w:r>
    </w:p>
    <w:p>
      <w:pPr>
        <w:pStyle w:val="ListParagraph"/>
        <w:numPr>
          <w:ilvl w:val="0"/>
          <w:numId w:val="3"/>
        </w:numPr>
        <w:spacing w:after="80"/>
      </w:pPr>
      <w:r>
        <w:rPr>
          <w:rFonts w:ascii="Arial" w:cs="Arial" w:eastAsia="Arial" w:hAnsi="Arial"/>
          <w:sz w:val="22"/>
          <w:szCs w:val="22"/>
        </w:rPr>
        <w:t xml:space="preserve">Increasingly offered as 3PL service to non-MELI sellers</w:t>
      </w:r>
    </w:p>
    <w:p>
      <w:pPr>
        <w:pStyle w:val="Heading3"/>
        <w:spacing w:after="120" w:before="180"/>
      </w:pPr>
      <w:r>
        <w:rPr>
          <w:rFonts w:ascii="Arial" w:cs="Arial" w:eastAsia="Arial" w:hAnsi="Arial"/>
          <w:b/>
          <w:bCs/>
        </w:rPr>
        <w:t xml:space="preserve">Advertising (Mercado Ads)</w:t>
      </w:r>
    </w:p>
    <w:p>
      <w:pPr>
        <w:pStyle w:val="ListParagraph"/>
        <w:numPr>
          <w:ilvl w:val="0"/>
          <w:numId w:val="3"/>
        </w:numPr>
        <w:spacing w:after="80"/>
      </w:pPr>
      <w:r>
        <w:rPr>
          <w:rFonts w:ascii="Arial" w:cs="Arial" w:eastAsia="Arial" w:hAnsi="Arial"/>
          <w:sz w:val="22"/>
          <w:szCs w:val="22"/>
        </w:rPr>
        <w:t xml:space="preserve">Product display ads and sponsored listings within marketplace</w:t>
      </w:r>
    </w:p>
    <w:p>
      <w:pPr>
        <w:pStyle w:val="ListParagraph"/>
        <w:numPr>
          <w:ilvl w:val="0"/>
          <w:numId w:val="3"/>
        </w:numPr>
        <w:spacing w:after="80"/>
      </w:pPr>
      <w:r>
        <w:rPr>
          <w:rFonts w:ascii="Arial" w:cs="Arial" w:eastAsia="Arial" w:hAnsi="Arial"/>
          <w:sz w:val="22"/>
          <w:szCs w:val="22"/>
        </w:rPr>
        <w:t xml:space="preserve">Nascent but high-margin business leveraging first-party purchase data</w:t>
      </w:r>
    </w:p>
    <w:p>
      <w:pPr>
        <w:pStyle w:val="ListParagraph"/>
        <w:numPr>
          <w:ilvl w:val="0"/>
          <w:numId w:val="3"/>
        </w:numPr>
        <w:spacing w:after="80"/>
      </w:pPr>
      <w:r>
        <w:rPr>
          <w:rFonts w:ascii="Arial" w:cs="Arial" w:eastAsia="Arial" w:hAnsi="Arial"/>
          <w:sz w:val="22"/>
          <w:szCs w:val="22"/>
        </w:rPr>
        <w:t xml:space="preserve">Comparable to Amazon Ads model with significant runway</w:t>
      </w:r>
    </w:p>
    <w:p>
      <w:pPr>
        <w:pStyle w:val="Heading2"/>
        <w:spacing w:after="180" w:before="240"/>
      </w:pPr>
      <w:r>
        <w:rPr>
          <w:rFonts w:ascii="Arial" w:cs="Arial" w:eastAsia="Arial" w:hAnsi="Arial"/>
          <w:b/>
          <w:bCs/>
        </w:rPr>
        <w:t xml:space="preserve">2.2 Geographic Breakdown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Market</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 of Revenue</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Market Position</w:t>
            </w:r>
          </w:p>
        </w:tc>
        <w:tc>
          <w:tcPr>
            <w:tcW w:type="dxa" w:w="243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Key Dynamic</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Brazil</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~55%</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e-commerce</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Largest market, Pix tailwind</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Mexico</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~25%</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 (behind Amazon)</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Fastest-growing, nearshoring</w:t>
            </w:r>
          </w:p>
        </w:tc>
      </w:tr>
      <w:tr>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Argentina</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 dominant</w:t>
            </w:r>
          </w:p>
        </w:tc>
        <w:tc>
          <w:tcPr>
            <w:tcW w:type="dxa" w:w="243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Macro volatile, high penetration</w:t>
            </w:r>
          </w:p>
        </w:tc>
      </w:tr>
      <w:tr>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Other (CO,CL,PE,UY)</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Top 3 in each</w:t>
            </w:r>
          </w:p>
        </w:tc>
        <w:tc>
          <w:tcPr>
            <w:tcW w:type="dxa" w:w="243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Earlier stage, high growth</w:t>
            </w:r>
          </w:p>
        </w:tc>
      </w:tr>
    </w:tbl>
    <w:p>
      <w:pPr>
        <w:pStyle w:val="Heading2"/>
        <w:spacing w:after="180" w:before="240"/>
      </w:pPr>
      <w:r>
        <w:rPr>
          <w:rFonts w:ascii="Arial" w:cs="Arial" w:eastAsia="Arial" w:hAnsi="Arial"/>
          <w:b/>
          <w:bCs/>
        </w:rPr>
        <w:t xml:space="preserve">2.3 Management</w:t>
      </w:r>
    </w:p>
    <w:p>
      <w:pPr>
        <w:pStyle w:val="ListParagraph"/>
        <w:numPr>
          <w:ilvl w:val="0"/>
          <w:numId w:val="3"/>
        </w:numPr>
        <w:spacing w:after="80"/>
      </w:pPr>
      <w:r>
        <w:rPr>
          <w:rFonts w:ascii="Arial" w:cs="Arial" w:eastAsia="Arial" w:hAnsi="Arial"/>
          <w:sz w:val="22"/>
          <w:szCs w:val="22"/>
        </w:rPr>
        <w:t xml:space="preserve">Marcos Galperin, CEO &amp; Founder: Visionary leader since founding. Stanford MBA. Owns ~8% stake, strong alignment.</w:t>
      </w:r>
    </w:p>
    <w:p>
      <w:pPr>
        <w:pStyle w:val="ListParagraph"/>
        <w:numPr>
          <w:ilvl w:val="0"/>
          <w:numId w:val="3"/>
        </w:numPr>
        <w:spacing w:after="80"/>
      </w:pPr>
      <w:r>
        <w:rPr>
          <w:rFonts w:ascii="Arial" w:cs="Arial" w:eastAsia="Arial" w:hAnsi="Arial"/>
          <w:sz w:val="22"/>
          <w:szCs w:val="22"/>
        </w:rPr>
        <w:t xml:space="preserve">Daniel Rabinovich, COO: Leads engineering, product, marketplace ops since 2019.</w:t>
      </w:r>
    </w:p>
    <w:p>
      <w:pPr>
        <w:pStyle w:val="ListParagraph"/>
        <w:numPr>
          <w:ilvl w:val="0"/>
          <w:numId w:val="3"/>
        </w:numPr>
        <w:spacing w:after="80"/>
      </w:pPr>
      <w:r>
        <w:rPr>
          <w:rFonts w:ascii="Arial" w:cs="Arial" w:eastAsia="Arial" w:hAnsi="Arial"/>
          <w:sz w:val="22"/>
          <w:szCs w:val="22"/>
        </w:rPr>
        <w:t xml:space="preserve">Martin de los Santos, CFO: Former JP Morgan, joined 2019. Driving profitability focus.</w:t>
      </w:r>
    </w:p>
    <w:p>
      <w:r>
        <w:br w:type="page"/>
      </w:r>
    </w:p>
    <w:p>
      <w:pPr>
        <w:pStyle w:val="Heading1"/>
        <w:spacing w:after="240" w:before="360"/>
      </w:pPr>
      <w:r>
        <w:rPr>
          <w:rFonts w:ascii="Arial" w:cs="Arial" w:eastAsia="Arial" w:hAnsi="Arial"/>
          <w:b/>
          <w:bCs/>
        </w:rPr>
        <w:t xml:space="preserve">3. Sector Analysis</w:t>
      </w:r>
    </w:p>
    <w:p>
      <w:pPr>
        <w:spacing w:after="120"/>
      </w:pPr>
      <w:r>
        <w:rPr>
          <w:rFonts w:ascii="Arial" w:cs="Arial" w:eastAsia="Arial" w:hAnsi="Arial"/>
          <w:sz w:val="22"/>
          <w:szCs w:val="22"/>
        </w:rPr>
        <w:t xml:space="preserve">The LATAM e-commerce and fintech sector represents one of the most compelling secular growth opportunities in emerging markets. Key highlights:</w:t>
      </w:r>
    </w:p>
    <w:p>
      <w:pPr>
        <w:pStyle w:val="ListParagraph"/>
        <w:numPr>
          <w:ilvl w:val="0"/>
          <w:numId w:val="3"/>
        </w:numPr>
        <w:spacing w:after="80"/>
      </w:pPr>
      <w:r>
        <w:rPr>
          <w:rFonts w:ascii="Arial" w:cs="Arial" w:eastAsia="Arial" w:hAnsi="Arial"/>
          <w:sz w:val="22"/>
          <w:szCs w:val="22"/>
        </w:rPr>
        <w:t xml:space="preserve">LATAM e-commerce GMV reached $769B in 2025, growing 21% YoY — fastest region globally</w:t>
      </w:r>
    </w:p>
    <w:p>
      <w:pPr>
        <w:pStyle w:val="ListParagraph"/>
        <w:numPr>
          <w:ilvl w:val="0"/>
          <w:numId w:val="3"/>
        </w:numPr>
        <w:spacing w:after="80"/>
      </w:pPr>
      <w:r>
        <w:rPr>
          <w:rFonts w:ascii="Arial" w:cs="Arial" w:eastAsia="Arial" w:hAnsi="Arial"/>
          <w:sz w:val="22"/>
          <w:szCs w:val="22"/>
        </w:rPr>
        <w:t xml:space="preserve">E-commerce penetration at ~16% vs 25-35% in US/China — long runway</w:t>
      </w:r>
    </w:p>
    <w:p>
      <w:pPr>
        <w:pStyle w:val="ListParagraph"/>
        <w:numPr>
          <w:ilvl w:val="0"/>
          <w:numId w:val="3"/>
        </w:numPr>
        <w:spacing w:after="80"/>
      </w:pPr>
      <w:r>
        <w:rPr>
          <w:rFonts w:ascii="Arial" w:cs="Arial" w:eastAsia="Arial" w:hAnsi="Arial"/>
          <w:sz w:val="22"/>
          <w:szCs w:val="22"/>
        </w:rPr>
        <w:t xml:space="preserve">Digital payments now 60% of consumer spending; projected to triple to $300B by 2027</w:t>
      </w:r>
    </w:p>
    <w:p>
      <w:pPr>
        <w:pStyle w:val="ListParagraph"/>
        <w:numPr>
          <w:ilvl w:val="0"/>
          <w:numId w:val="3"/>
        </w:numPr>
        <w:spacing w:after="80"/>
      </w:pPr>
      <w:r>
        <w:rPr>
          <w:rFonts w:ascii="Arial" w:cs="Arial" w:eastAsia="Arial" w:hAnsi="Arial"/>
          <w:sz w:val="22"/>
          <w:szCs w:val="22"/>
        </w:rPr>
        <w:t xml:space="preserve">200M+ underbanked adults driving fintech adoption</w:t>
      </w:r>
    </w:p>
    <w:p>
      <w:pPr>
        <w:pStyle w:val="ListParagraph"/>
        <w:numPr>
          <w:ilvl w:val="0"/>
          <w:numId w:val="3"/>
        </w:numPr>
        <w:spacing w:after="80"/>
      </w:pPr>
      <w:r>
        <w:rPr>
          <w:rFonts w:ascii="Arial" w:cs="Arial" w:eastAsia="Arial" w:hAnsi="Arial"/>
          <w:sz w:val="22"/>
          <w:szCs w:val="22"/>
        </w:rPr>
        <w:t xml:space="preserve">Brazil (55% of market), Mexico (25%), Argentina (12%) are the three core markets</w:t>
      </w:r>
    </w:p>
    <w:p>
      <w:pPr>
        <w:pStyle w:val="ListParagraph"/>
        <w:numPr>
          <w:ilvl w:val="0"/>
          <w:numId w:val="3"/>
        </w:numPr>
        <w:spacing w:after="80"/>
      </w:pPr>
      <w:r>
        <w:rPr>
          <w:rFonts w:ascii="Arial" w:cs="Arial" w:eastAsia="Arial" w:hAnsi="Arial"/>
          <w:sz w:val="22"/>
          <w:szCs w:val="22"/>
        </w:rPr>
        <w:t xml:space="preserve">Regulatory environment maturing: Brazil LGPD, Mexico Ley Fintech, cross-border taxation</w:t>
      </w:r>
    </w:p>
    <w:p>
      <w:pPr>
        <w:spacing w:after="120"/>
      </w:pPr>
      <w:r>
        <w:rPr>
          <w:rFonts w:ascii="Arial" w:cs="Arial" w:eastAsia="Arial" w:hAnsi="Arial"/>
          <w:i/>
          <w:iCs/>
          <w:color w:val="888888"/>
          <w:sz w:val="22"/>
          <w:szCs w:val="22"/>
        </w:rPr>
        <w:t xml:space="preserve">For detailed sector analysis, see the companion Sector Overview document.</w:t>
      </w:r>
    </w:p>
    <w:p>
      <w:r>
        <w:br w:type="page"/>
      </w:r>
    </w:p>
    <w:p>
      <w:pPr>
        <w:pStyle w:val="Heading1"/>
        <w:spacing w:after="240" w:before="360"/>
      </w:pPr>
      <w:r>
        <w:rPr>
          <w:rFonts w:ascii="Arial" w:cs="Arial" w:eastAsia="Arial" w:hAnsi="Arial"/>
          <w:b/>
          <w:bCs/>
        </w:rPr>
        <w:t xml:space="preserve">4. Financial Analysis</w:t>
      </w:r>
    </w:p>
    <w:p>
      <w:pPr>
        <w:pStyle w:val="Heading2"/>
        <w:spacing w:after="180" w:before="240"/>
      </w:pPr>
      <w:r>
        <w:rPr>
          <w:rFonts w:ascii="Arial" w:cs="Arial" w:eastAsia="Arial" w:hAnsi="Arial"/>
          <w:b/>
          <w:bCs/>
        </w:rPr>
        <w:t xml:space="preserve">4.1 Revenue Trajectory</w:t>
      </w:r>
    </w:p>
    <w:p>
      <w:pPr>
        <w:spacing w:after="120"/>
      </w:pPr>
      <w:r>
        <w:rPr>
          <w:rFonts w:ascii="Arial" w:cs="Arial" w:eastAsia="Arial" w:hAnsi="Arial"/>
          <w:sz w:val="22"/>
          <w:szCs w:val="22"/>
        </w:rPr>
        <w:t xml:space="preserve">MELI has compounded revenue at ~40% CAGR over the past 3 years, driven by both commerce and fintech segments. The company's take rate has expanded from ~14% to ~19% as advertising, credit, and logistics services layer onto the base marketplace revenue.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2021</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2022</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2023</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2024</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 ($B)</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$7.1</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$10.5</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$14.5</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$20.8</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Rev Growth</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78%</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49%</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37%</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44%</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GMV ($B)</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$28.4</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$34.5</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$44.7</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$51.5</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Take Rate</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14.2%</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16.5%</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17.8%</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19.0%</w:t>
            </w:r>
          </w:p>
        </w:tc>
      </w:tr>
    </w:tbl>
    <w:p>
      <w:pPr>
        <w:pStyle w:val="Heading2"/>
        <w:spacing w:after="180" w:before="240"/>
      </w:pPr>
      <w:r>
        <w:rPr>
          <w:rFonts w:ascii="Arial" w:cs="Arial" w:eastAsia="Arial" w:hAnsi="Arial"/>
          <w:b/>
          <w:bCs/>
        </w:rPr>
        <w:t xml:space="preserve">4.2 Profitability</w:t>
      </w:r>
    </w:p>
    <w:p>
      <w:pPr>
        <w:spacing w:after="120"/>
      </w:pPr>
      <w:r>
        <w:rPr>
          <w:rFonts w:ascii="Arial" w:cs="Arial" w:eastAsia="Arial" w:hAnsi="Arial"/>
          <w:sz w:val="22"/>
          <w:szCs w:val="22"/>
        </w:rPr>
        <w:t xml:space="preserve">MELI has demonstrated a clear path from growth-at-all-costs to profitable scaling. Operating margin expanded from ~10% in 2021 to ~13% in 2024, with Q4 2024 recording a record $820M operating income. Net margin reached 9.2% in 2024, up from 1.2% in 2021.</w:t>
      </w:r>
    </w:p>
    <w:p>
      <w:pPr>
        <w:pStyle w:val="ListParagraph"/>
        <w:numPr>
          <w:ilvl w:val="0"/>
          <w:numId w:val="3"/>
        </w:numPr>
        <w:spacing w:after="80"/>
      </w:pPr>
      <w:r>
        <w:rPr>
          <w:rFonts w:ascii="Arial" w:cs="Arial" w:eastAsia="Arial" w:hAnsi="Arial"/>
          <w:sz w:val="22"/>
          <w:szCs w:val="22"/>
        </w:rPr>
        <w:t xml:space="preserve">Gross margin stable at ~46%, reflecting business mix shift toward fintech</w:t>
      </w:r>
    </w:p>
    <w:p>
      <w:pPr>
        <w:pStyle w:val="ListParagraph"/>
        <w:numPr>
          <w:ilvl w:val="0"/>
          <w:numId w:val="3"/>
        </w:numPr>
        <w:spacing w:after="80"/>
      </w:pPr>
      <w:r>
        <w:rPr>
          <w:rFonts w:ascii="Arial" w:cs="Arial" w:eastAsia="Arial" w:hAnsi="Arial"/>
          <w:sz w:val="22"/>
          <w:szCs w:val="22"/>
        </w:rPr>
        <w:t xml:space="preserve">Operating leverage on technology &amp; G&amp;A as fixed costs scale</w:t>
      </w:r>
    </w:p>
    <w:p>
      <w:pPr>
        <w:pStyle w:val="ListParagraph"/>
        <w:numPr>
          <w:ilvl w:val="0"/>
          <w:numId w:val="3"/>
        </w:numPr>
        <w:spacing w:after="80"/>
      </w:pPr>
      <w:r>
        <w:rPr>
          <w:rFonts w:ascii="Arial" w:cs="Arial" w:eastAsia="Arial" w:hAnsi="Arial"/>
          <w:sz w:val="22"/>
          <w:szCs w:val="22"/>
        </w:rPr>
        <w:t xml:space="preserve">Fintech margin expanding as credit portfolio seasons and provisioning normalizes</w:t>
      </w:r>
    </w:p>
    <w:p>
      <w:pPr>
        <w:pStyle w:val="ListParagraph"/>
        <w:numPr>
          <w:ilvl w:val="0"/>
          <w:numId w:val="3"/>
        </w:numPr>
        <w:spacing w:after="80"/>
      </w:pPr>
      <w:r>
        <w:rPr>
          <w:rFonts w:ascii="Arial" w:cs="Arial" w:eastAsia="Arial" w:hAnsi="Arial"/>
          <w:sz w:val="22"/>
          <w:szCs w:val="22"/>
        </w:rPr>
        <w:t xml:space="preserve">Advertising revenue (high-margin, variable cost) increasingly accretive</w:t>
      </w:r>
    </w:p>
    <w:p>
      <w:pPr>
        <w:pStyle w:val="Heading2"/>
        <w:spacing w:after="180" w:before="240"/>
      </w:pPr>
      <w:r>
        <w:rPr>
          <w:rFonts w:ascii="Arial" w:cs="Arial" w:eastAsia="Arial" w:hAnsi="Arial"/>
          <w:b/>
          <w:bCs/>
        </w:rPr>
        <w:t xml:space="preserve">4.3 Cash Flow Generation</w:t>
      </w:r>
    </w:p>
    <w:p>
      <w:pPr>
        <w:spacing w:after="120"/>
      </w:pPr>
      <w:r>
        <w:rPr>
          <w:rFonts w:ascii="Arial" w:cs="Arial" w:eastAsia="Arial" w:hAnsi="Arial"/>
          <w:sz w:val="22"/>
          <w:szCs w:val="22"/>
        </w:rPr>
        <w:t xml:space="preserve">Free cash flow reached $7.1B in 2024, up 52% YoY, reflecting strong operating leverage and capital-light fintech revenue streams. Capital expenditure of $1.2B (5.9% of revenue) is primarily directed toward fulfillment infrastructure.</w:t>
      </w:r>
    </w:p>
    <w:p>
      <w:r>
        <w:br w:type="page"/>
      </w:r>
    </w:p>
    <w:p>
      <w:pPr>
        <w:pStyle w:val="Heading1"/>
        <w:spacing w:after="240" w:before="360"/>
      </w:pPr>
      <w:r>
        <w:rPr>
          <w:rFonts w:ascii="Arial" w:cs="Arial" w:eastAsia="Arial" w:hAnsi="Arial"/>
          <w:b/>
          <w:bCs/>
        </w:rPr>
        <w:t xml:space="preserve">5. Valuation</w:t>
      </w:r>
    </w:p>
    <w:p>
      <w:pPr>
        <w:pStyle w:val="Heading2"/>
        <w:spacing w:after="180" w:before="240"/>
      </w:pPr>
      <w:r>
        <w:rPr>
          <w:rFonts w:ascii="Arial" w:cs="Arial" w:eastAsia="Arial" w:hAnsi="Arial"/>
          <w:b/>
          <w:bCs/>
        </w:rPr>
        <w:t xml:space="preserve">5.1 Comparable Company Analysis</w:t>
      </w:r>
    </w:p>
    <w:p>
      <w:pPr>
        <w:spacing w:after="120"/>
      </w:pPr>
      <w:r>
        <w:rPr>
          <w:rFonts w:ascii="Arial" w:cs="Arial" w:eastAsia="Arial" w:hAnsi="Arial"/>
          <w:sz w:val="22"/>
          <w:szCs w:val="22"/>
        </w:rPr>
        <w:t xml:space="preserve">MELI trades at a premium to LATAM peers on most metrics, justified by its superior growth profile, market position, and ecosystem breadth.</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tblGrid>
      <w:tr>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Company</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EV/Revenue</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EV/EBITDA</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P/E</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Rev Growth</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EBITDA Margin</w:t>
            </w:r>
          </w:p>
        </w:tc>
      </w:tr>
      <w:tr>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MELI</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4.5x</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28x</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47x</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37%</w:t>
            </w:r>
          </w:p>
        </w:tc>
        <w:tc>
          <w:tcPr>
            <w:tcW w:type="dxa" w:w="162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sz w:val="20"/>
                <w:szCs w:val="20"/>
              </w:rPr>
              <w:t xml:space="preserve">15.4%</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NU</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5.0x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23x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21.5%</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SE</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3.0x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24x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100x+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29%</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11.9%</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STNE</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17x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18.7%</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PAGS</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0.7x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3.5x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6x</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20.0%</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DLO</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5.4x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30x</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25.3%</w:t>
            </w:r>
          </w:p>
        </w:tc>
      </w:tr>
      <w:tr>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Median</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3.8x</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22x</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29x</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27%</w:t>
            </w:r>
          </w:p>
        </w:tc>
        <w:tc>
          <w:tcPr>
            <w:tcW w:type="dxa" w:w="1620"/>
            <w:tcBorders>
              <w:top w:val="single" w:color="999999" w:sz="1"/>
              <w:left w:val="single" w:color="999999" w:sz="1"/>
              <w:bottom w:val="single" w:color="999999" w:sz="1"/>
              <w:right w:val="single" w:color="999999" w:sz="1"/>
            </w:tcBorders>
            <w:shd w:fill="FFF3CD" w:val="clear"/>
            <w:tcMar>
              <w:top w:type="dxa" w:w="60"/>
              <w:left w:type="dxa" w:w="100"/>
              <w:bottom w:type="dxa" w:w="60"/>
              <w:right w:type="dxa" w:w="100"/>
            </w:tcMar>
          </w:tcPr>
          <w:p>
            <w:r>
              <w:rPr>
                <w:rFonts w:ascii="Arial" w:cs="Arial" w:eastAsia="Arial" w:hAnsi="Arial"/>
                <w:sz w:val="20"/>
                <w:szCs w:val="20"/>
              </w:rPr>
              <w:t xml:space="preserve">19.4%</w:t>
            </w:r>
          </w:p>
        </w:tc>
      </w:tr>
    </w:tbl>
    <w:p>
      <w:pPr>
        <w:pStyle w:val="Heading2"/>
        <w:spacing w:after="180" w:before="240"/>
      </w:pPr>
      <w:r>
        <w:rPr>
          <w:rFonts w:ascii="Arial" w:cs="Arial" w:eastAsia="Arial" w:hAnsi="Arial"/>
          <w:b/>
          <w:bCs/>
        </w:rPr>
        <w:t xml:space="preserve">5.2 DCF Valuation</w:t>
      </w:r>
    </w:p>
    <w:p>
      <w:pPr>
        <w:spacing w:after="120"/>
      </w:pPr>
      <w:r>
        <w:rPr>
          <w:rFonts w:ascii="Arial" w:cs="Arial" w:eastAsia="Arial" w:hAnsi="Arial"/>
          <w:sz w:val="22"/>
          <w:szCs w:val="22"/>
        </w:rPr>
        <w:t xml:space="preserve">Our DCF model uses a 5-year explicit forecast period with a blended terminal value (50% perpetuity growth, 50% exit multiple). Key assumptions:</w:t>
      </w:r>
    </w:p>
    <w:p>
      <w:pPr>
        <w:pStyle w:val="ListParagraph"/>
        <w:numPr>
          <w:ilvl w:val="0"/>
          <w:numId w:val="3"/>
        </w:numPr>
        <w:spacing w:after="80"/>
      </w:pPr>
      <w:r>
        <w:rPr>
          <w:rFonts w:ascii="Arial" w:cs="Arial" w:eastAsia="Arial" w:hAnsi="Arial"/>
          <w:sz w:val="22"/>
          <w:szCs w:val="22"/>
        </w:rPr>
        <w:t xml:space="preserve">WACC: 11.5% (risk-free 4.3% + beta 1.35 * (ERP 5.5% + CRP 2.5%) + debt weighting)</w:t>
      </w:r>
    </w:p>
    <w:p>
      <w:pPr>
        <w:pStyle w:val="ListParagraph"/>
        <w:numPr>
          <w:ilvl w:val="0"/>
          <w:numId w:val="3"/>
        </w:numPr>
        <w:spacing w:after="80"/>
      </w:pPr>
      <w:r>
        <w:rPr>
          <w:rFonts w:ascii="Arial" w:cs="Arial" w:eastAsia="Arial" w:hAnsi="Arial"/>
          <w:sz w:val="22"/>
          <w:szCs w:val="22"/>
        </w:rPr>
        <w:t xml:space="preserve">Revenue CAGR (5Y): ~25% tapering from 35% to 15%</w:t>
      </w:r>
    </w:p>
    <w:p>
      <w:pPr>
        <w:pStyle w:val="ListParagraph"/>
        <w:numPr>
          <w:ilvl w:val="0"/>
          <w:numId w:val="3"/>
        </w:numPr>
        <w:spacing w:after="80"/>
      </w:pPr>
      <w:r>
        <w:rPr>
          <w:rFonts w:ascii="Arial" w:cs="Arial" w:eastAsia="Arial" w:hAnsi="Arial"/>
          <w:sz w:val="22"/>
          <w:szCs w:val="22"/>
        </w:rPr>
        <w:t xml:space="preserve">Terminal EBITDA margin: 20% (vs 15.4% in 2024)</w:t>
      </w:r>
    </w:p>
    <w:p>
      <w:pPr>
        <w:pStyle w:val="ListParagraph"/>
        <w:numPr>
          <w:ilvl w:val="0"/>
          <w:numId w:val="3"/>
        </w:numPr>
        <w:spacing w:after="80"/>
      </w:pPr>
      <w:r>
        <w:rPr>
          <w:rFonts w:ascii="Arial" w:cs="Arial" w:eastAsia="Arial" w:hAnsi="Arial"/>
          <w:sz w:val="22"/>
          <w:szCs w:val="22"/>
        </w:rPr>
        <w:t xml:space="preserve">Terminal growth: 3.5% | Exit EV/EBITDA: 18x</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3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Implied Price</w:t>
            </w:r>
          </w:p>
        </w:tc>
        <w:tc>
          <w:tcPr>
            <w:tcW w:type="dxa" w:w="324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Upside</w:t>
            </w:r>
          </w:p>
        </w:tc>
      </w:tr>
      <w:tr>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Perpetuity Growth (3.5%)</w:t>
            </w:r>
          </w:p>
        </w:tc>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$2,150</w:t>
            </w:r>
          </w:p>
        </w:tc>
        <w:tc>
          <w:tcPr>
            <w:tcW w:type="dxa" w:w="32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32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Exit Multiple (18x EBITDA)</w:t>
            </w:r>
          </w:p>
        </w:tc>
        <w:tc>
          <w:tcPr>
            <w:tcW w:type="dxa" w:w="32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$2,250</w:t>
            </w:r>
          </w:p>
        </w:tc>
        <w:tc>
          <w:tcPr>
            <w:tcW w:type="dxa" w:w="324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w:t>
            </w:r>
          </w:p>
        </w:tc>
      </w:tr>
      <w:tr>
        <w:tc>
          <w:tcPr>
            <w:tcW w:type="dxa" w:w="324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Blended (50/50)</w:t>
            </w:r>
          </w:p>
        </w:tc>
        <w:tc>
          <w:tcPr>
            <w:tcW w:type="dxa" w:w="324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$2,200</w:t>
            </w:r>
          </w:p>
        </w:tc>
        <w:tc>
          <w:tcPr>
            <w:tcW w:type="dxa" w:w="3240"/>
            <w:tcBorders>
              <w:top w:val="single" w:color="999999" w:sz="1"/>
              <w:left w:val="single" w:color="999999" w:sz="1"/>
              <w:bottom w:val="single" w:color="999999" w:sz="1"/>
              <w:right w:val="single" w:color="999999" w:sz="1"/>
            </w:tcBorders>
            <w:shd w:fill="E8F5E9" w:val="clear"/>
            <w:tcMar>
              <w:top w:type="dxa" w:w="60"/>
              <w:left w:type="dxa" w:w="100"/>
              <w:bottom w:type="dxa" w:w="60"/>
              <w:right w:type="dxa" w:w="100"/>
            </w:tcMar>
          </w:tcPr>
          <w:p>
            <w:r>
              <w:rPr>
                <w:rFonts w:ascii="Arial" w:cs="Arial" w:eastAsia="Arial" w:hAnsi="Arial"/>
                <w:b/>
                <w:bCs/>
                <w:sz w:val="20"/>
                <w:szCs w:val="20"/>
              </w:rPr>
              <w:t xml:space="preserve">+24%</w:t>
            </w:r>
          </w:p>
        </w:tc>
      </w:tr>
    </w:tbl>
    <w:p>
      <w:pPr>
        <w:pStyle w:val="Heading2"/>
        <w:spacing w:after="180" w:before="240"/>
      </w:pPr>
      <w:r>
        <w:rPr>
          <w:rFonts w:ascii="Arial" w:cs="Arial" w:eastAsia="Arial" w:hAnsi="Arial"/>
          <w:b/>
          <w:bCs/>
        </w:rPr>
        <w:t xml:space="preserve">5.3 Target Price Derivation</w:t>
      </w:r>
    </w:p>
    <w:p>
      <w:pPr>
        <w:spacing w:after="120"/>
      </w:pPr>
      <w:r>
        <w:rPr>
          <w:rFonts w:ascii="Arial" w:cs="Arial" w:eastAsia="Arial" w:hAnsi="Arial"/>
          <w:sz w:val="22"/>
          <w:szCs w:val="22"/>
        </w:rPr>
        <w:t xml:space="preserve">Our 12-month target price of $2,200 is derived from a blended DCF valuation (perpetuity growth + exit multiple). This implies an EV/EBITDA of ~22x on 2026E EBITDA — a premium to the peer median of ~22x, which we believe is justified by MELI's superior growth, ecosystem breadth, and market leadership.</w:t>
      </w:r>
    </w:p>
    <w:p>
      <w:r>
        <w:br w:type="page"/>
      </w:r>
    </w:p>
    <w:p>
      <w:pPr>
        <w:pStyle w:val="Heading1"/>
        <w:spacing w:after="240" w:before="360"/>
      </w:pPr>
      <w:r>
        <w:rPr>
          <w:rFonts w:ascii="Arial" w:cs="Arial" w:eastAsia="Arial" w:hAnsi="Arial"/>
          <w:b/>
          <w:bCs/>
        </w:rPr>
        <w:t xml:space="preserve">6. Financial Model Summary</w:t>
      </w:r>
    </w:p>
    <w:p>
      <w:pPr>
        <w:spacing w:after="120"/>
      </w:pPr>
      <w:r>
        <w:rPr>
          <w:rFonts w:ascii="Arial" w:cs="Arial" w:eastAsia="Arial" w:hAnsi="Arial"/>
          <w:sz w:val="22"/>
          <w:szCs w:val="22"/>
        </w:rPr>
        <w:t xml:space="preserve">Key projections from our three-statement model: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1944"/>
        <w:gridCol w:w="1944"/>
        <w:gridCol w:w="1944"/>
      </w:tblGrid>
      <w:tr>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2024A</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2025E</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2026E</w:t>
            </w:r>
          </w:p>
        </w:tc>
        <w:tc>
          <w:tcPr>
            <w:tcW w:type="dxa" w:w="1944"/>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2027E</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Revenue</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20,777</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28,049</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35,903</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43,801</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Gross Profit</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9,577</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13,183</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17,233</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21,245</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EBITDA</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3,200</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4,628</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6,283</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8,103</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Net Income</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1,911</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2,780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4,019</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5,402</w:t>
            </w:r>
          </w:p>
        </w:tc>
      </w:tr>
      <w:tr>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EPS</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$37.69</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$54.51</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$78.81</w:t>
            </w:r>
          </w:p>
        </w:tc>
        <w:tc>
          <w:tcPr>
            <w:tcW w:type="dxa" w:w="1944"/>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$105.92</w:t>
            </w:r>
          </w:p>
        </w:tc>
      </w:tr>
      <w:tr>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FCF</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7,058</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~5,500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~7,200</w:t>
            </w:r>
          </w:p>
        </w:tc>
        <w:tc>
          <w:tcPr>
            <w:tcW w:type="dxa" w:w="1944"/>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~9,000</w:t>
            </w:r>
          </w:p>
        </w:tc>
      </w:tr>
    </w:tbl>
    <w:p>
      <w:pPr>
        <w:spacing w:after="120"/>
      </w:pPr>
      <w:r>
        <w:rPr>
          <w:rFonts w:ascii="Arial" w:cs="Arial" w:eastAsia="Arial" w:hAnsi="Arial"/>
          <w:i/>
          <w:iCs/>
          <w:color w:val="666666"/>
          <w:sz w:val="20"/>
          <w:szCs w:val="20"/>
        </w:rPr>
        <w:t xml:space="preserve">Key assumptions: Revenue CAGR ~25% (2024-2029E), EBITDA margin expanding from 15.4% to 20.0%, capex declining from 5.9% to 4.8% of revenue. Full model available in companion 3-statements.xlsx.</w:t>
      </w:r>
    </w:p>
    <w:p>
      <w:r>
        <w:br w:type="page"/>
      </w:r>
    </w:p>
    <w:p>
      <w:pPr>
        <w:pStyle w:val="Heading1"/>
        <w:spacing w:after="240" w:before="360"/>
      </w:pPr>
      <w:r>
        <w:rPr>
          <w:rFonts w:ascii="Arial" w:cs="Arial" w:eastAsia="Arial" w:hAnsi="Arial"/>
          <w:b/>
          <w:bCs/>
        </w:rPr>
        <w:t xml:space="preserve">7. Risks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4860"/>
        <w:gridCol w:w="1620"/>
        <w:gridCol w:w="1620"/>
      </w:tblGrid>
      <w:tr>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486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Probability</w:t>
            </w:r>
          </w:p>
        </w:tc>
        <w:tc>
          <w:tcPr>
            <w:tcW w:type="dxa" w:w="1620"/>
            <w:tcBorders>
              <w:top w:val="single" w:color="999999" w:sz="1"/>
              <w:left w:val="single" w:color="999999" w:sz="1"/>
              <w:bottom w:val="single" w:color="999999" w:sz="1"/>
              <w:right w:val="single" w:color="999999"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Impact</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Macro deterioration in Brazil/Mexico: Currency depreciation, recession, or political instability reducing consumer spending and reported USD revenues.</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2</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Credit quality deterioration: Rapid scaling of Mercado Credito could lead to rising NPLs above the current ~7% level, compressing fintech margins.</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High</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Competitive intensification: Amazon expanding aggressively in Mexico, Shopee gaining share in Brazil, Nubank competing in fintech — could pressure take rates and margins.</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4</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Regulatory risk: New fintech licensing, data privacy (LGPD), or digital taxation rules could increase compliance costs or limit product expansion.</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Valuation compression: At ~47x P/E, MELI trades at a premium. A shift in growth expectations or risk appetite could compress multiples significantly.</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High</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6</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Execution risk in logistics: Fulfillment center expansion requires significant capex. Underperformance in delivery times or cost overruns could erode competitive advantage.</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Low</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7</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Key person risk: Marcos Galperin has been instrumental. A leadership transition could create uncertainty.</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Low</w:t>
            </w:r>
          </w:p>
        </w:tc>
        <w:tc>
          <w:tcPr>
            <w:tcW w:type="dxa" w:w="16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Medium</w:t>
            </w:r>
          </w:p>
        </w:tc>
      </w:tr>
      <w:tr>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8</w:t>
            </w:r>
          </w:p>
        </w:tc>
        <w:tc>
          <w:tcPr>
            <w:tcW w:type="dxa" w:w="486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FX translation risk: MELI reports in USD but earns in BRL, MXN, ARS. Sustained USD strength would reduce reported revenue growth.</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c>
          <w:tcPr>
            <w:tcW w:type="dxa" w:w="1620"/>
            <w:tcBorders>
              <w:top w:val="single" w:color="999999" w:sz="1"/>
              <w:left w:val="single" w:color="999999" w:sz="1"/>
              <w:bottom w:val="single" w:color="999999" w:sz="1"/>
              <w:right w:val="single" w:color="999999" w:sz="1"/>
            </w:tcBorders>
            <w:shd w:fill="F2F6FA" w:val="clear"/>
            <w:tcMar>
              <w:top w:type="dxa" w:w="60"/>
              <w:left w:type="dxa" w:w="100"/>
              <w:bottom w:type="dxa" w:w="60"/>
              <w:right w:type="dxa" w:w="100"/>
            </w:tcMar>
          </w:tcPr>
          <w:p>
            <w:r>
              <w:rPr>
                <w:rFonts w:ascii="Arial" w:cs="Arial" w:eastAsia="Arial" w:hAnsi="Arial"/>
                <w:sz w:val="20"/>
                <w:szCs w:val="20"/>
              </w:rPr>
              <w:t xml:space="preserve">Medium</w:t>
            </w:r>
          </w:p>
        </w:tc>
      </w:tr>
    </w:tbl>
    <w:p>
      <w:r>
        <w:br w:type="page"/>
      </w:r>
    </w:p>
    <w:p>
      <w:pPr>
        <w:pStyle w:val="Heading1"/>
        <w:spacing w:after="240" w:before="360"/>
      </w:pPr>
      <w:r>
        <w:rPr>
          <w:rFonts w:ascii="Arial" w:cs="Arial" w:eastAsia="Arial" w:hAnsi="Arial"/>
          <w:b/>
          <w:bCs/>
        </w:rPr>
        <w:t xml:space="preserve">8. Appendices</w:t>
      </w:r>
    </w:p>
    <w:p>
      <w:pPr>
        <w:spacing w:after="120"/>
      </w:pPr>
      <w:r>
        <w:rPr>
          <w:rFonts w:ascii="Arial" w:cs="Arial" w:eastAsia="Arial" w:hAnsi="Arial"/>
          <w:sz w:val="22"/>
          <w:szCs w:val="22"/>
        </w:rPr>
        <w:t xml:space="preserve">The following companion files contain detailed supporting analysis:</w:t>
      </w:r>
    </w:p>
    <w:p>
      <w:pPr>
        <w:pStyle w:val="ListParagraph"/>
        <w:numPr>
          <w:ilvl w:val="0"/>
          <w:numId w:val="3"/>
        </w:numPr>
        <w:spacing w:after="80"/>
      </w:pPr>
      <w:r>
        <w:rPr>
          <w:rFonts w:ascii="Arial" w:cs="Arial" w:eastAsia="Arial" w:hAnsi="Arial"/>
          <w:sz w:val="22"/>
          <w:szCs w:val="22"/>
        </w:rPr>
        <w:t xml:space="preserve">Sector Overview: coverage/MELI/01-sector-overview.docx</w:t>
      </w:r>
    </w:p>
    <w:p>
      <w:pPr>
        <w:pStyle w:val="ListParagraph"/>
        <w:numPr>
          <w:ilvl w:val="0"/>
          <w:numId w:val="3"/>
        </w:numPr>
        <w:spacing w:after="80"/>
      </w:pPr>
      <w:r>
        <w:rPr>
          <w:rFonts w:ascii="Arial" w:cs="Arial" w:eastAsia="Arial" w:hAnsi="Arial"/>
          <w:sz w:val="22"/>
          <w:szCs w:val="22"/>
        </w:rPr>
        <w:t xml:space="preserve">Idea Generation &amp; Screening: coverage/MELI/02-idea-generation.docx</w:t>
      </w:r>
    </w:p>
    <w:p>
      <w:pPr>
        <w:pStyle w:val="ListParagraph"/>
        <w:numPr>
          <w:ilvl w:val="0"/>
          <w:numId w:val="3"/>
        </w:numPr>
        <w:spacing w:after="80"/>
      </w:pPr>
      <w:r>
        <w:rPr>
          <w:rFonts w:ascii="Arial" w:cs="Arial" w:eastAsia="Arial" w:hAnsi="Arial"/>
          <w:sz w:val="22"/>
          <w:szCs w:val="22"/>
        </w:rPr>
        <w:t xml:space="preserve">Comparable Company Analysis: coverage/MELI/03-valuation/comps-analysis.xlsx</w:t>
      </w:r>
    </w:p>
    <w:p>
      <w:pPr>
        <w:pStyle w:val="ListParagraph"/>
        <w:numPr>
          <w:ilvl w:val="0"/>
          <w:numId w:val="3"/>
        </w:numPr>
        <w:spacing w:after="80"/>
      </w:pPr>
      <w:r>
        <w:rPr>
          <w:rFonts w:ascii="Arial" w:cs="Arial" w:eastAsia="Arial" w:hAnsi="Arial"/>
          <w:sz w:val="22"/>
          <w:szCs w:val="22"/>
        </w:rPr>
        <w:t xml:space="preserve">DCF Valuation Model: coverage/MELI/03-valuation/dcf-model.xlsx</w:t>
      </w:r>
    </w:p>
    <w:p>
      <w:pPr>
        <w:pStyle w:val="ListParagraph"/>
        <w:numPr>
          <w:ilvl w:val="0"/>
          <w:numId w:val="3"/>
        </w:numPr>
        <w:spacing w:after="80"/>
      </w:pPr>
      <w:r>
        <w:rPr>
          <w:rFonts w:ascii="Arial" w:cs="Arial" w:eastAsia="Arial" w:hAnsi="Arial"/>
          <w:sz w:val="22"/>
          <w:szCs w:val="22"/>
        </w:rPr>
        <w:t xml:space="preserve">Three-Statement Financial Model: coverage/MELI/04-financial-model/3-statements.xlsx</w:t>
      </w:r>
    </w:p>
    <w:p>
      <w:r>
        <w:br w:type="page"/>
      </w:r>
    </w:p>
    <w:p>
      <w:pPr>
        <w:pStyle w:val="Heading1"/>
        <w:spacing w:after="240" w:before="360"/>
      </w:pPr>
      <w:r>
        <w:rPr>
          <w:rFonts w:ascii="Arial" w:cs="Arial" w:eastAsia="Arial" w:hAnsi="Arial"/>
          <w:b/>
          <w:bCs/>
        </w:rPr>
        <w:t xml:space="preserve">Disclaimer</w:t>
      </w:r>
    </w:p>
    <w:p>
      <w:pPr>
        <w:spacing w:after="120"/>
      </w:pPr>
      <w:r>
        <w:rPr>
          <w:rFonts w:ascii="Arial" w:cs="Arial" w:eastAsia="Arial" w:hAnsi="Arial"/>
          <w:color w:val="666666"/>
          <w:sz w:val="18"/>
          <w:szCs w:val="18"/>
        </w:rPr>
        <w:t xml:space="preserve">This report has been prepared for informational purposes only and does not constitute an offer to sell, a solicitation of an offer to buy, or a recommendation to purchase or sell any securities. The information contained herein is based on sources believed to be reliable, but no representation or warranty, express or implied, is made as to its accuracy, completeness, or timeliness.</w:t>
      </w:r>
    </w:p>
    <w:p>
      <w:pPr>
        <w:spacing w:after="120"/>
      </w:pPr>
      <w:r>
        <w:rPr>
          <w:rFonts w:ascii="Arial" w:cs="Arial" w:eastAsia="Arial" w:hAnsi="Arial"/>
          <w:color w:val="666666"/>
          <w:sz w:val="18"/>
          <w:szCs w:val="18"/>
        </w:rPr>
        <w:t xml:space="preserve">This report does not constitute investment advice. Past performance is not indicative of future results. Investors should conduct their own due diligence and consult with qualified financial professionals before making investment decisions.</w:t>
      </w:r>
    </w:p>
    <w:p>
      <w:pPr>
        <w:spacing w:after="120"/>
      </w:pPr>
      <w:r>
        <w:rPr>
          <w:rFonts w:ascii="Arial" w:cs="Arial" w:eastAsia="Arial" w:hAnsi="Arial"/>
          <w:color w:val="666666"/>
          <w:sz w:val="18"/>
          <w:szCs w:val="18"/>
        </w:rPr>
        <w:t xml:space="preserve">The analyst(s) responsible for this report certify that (1) the views expressed herein accurately reflect their personal views about the subject securities and issuers, and (2) no part of their compensation was, is, or will be directly or indirectly related to the specific recommendation or views contained in this report.</w:t>
      </w:r>
    </w:p>
    <w:p>
      <w:pPr>
        <w:spacing w:after="120"/>
      </w:pPr>
      <w:r>
        <w:rPr>
          <w:rFonts w:ascii="Arial" w:cs="Arial" w:eastAsia="Arial" w:hAnsi="Arial"/>
          <w:color w:val="666666"/>
          <w:sz w:val="18"/>
          <w:szCs w:val="18"/>
        </w:rPr>
        <w:t xml:space="preserve">Rating definitions: BUY = expected total return &gt;15% over 12 months. OVERWEIGHT = &gt;5%. HOLD = -5% to +5%. UNDERWEIGHT = &lt;-5%. SELL = &lt;-15%.</w:t>
      </w:r>
    </w:p>
    <w:p>
      <w:pPr>
        <w:spacing w:after="120"/>
      </w:pPr>
      <w:r>
        <w:rPr>
          <w:rFonts w:ascii="Arial" w:cs="Arial" w:eastAsia="Arial" w:hAnsi="Arial"/>
          <w:color w:val="666666"/>
          <w:sz w:val="18"/>
          <w:szCs w:val="18"/>
        </w:rPr>
        <w:t xml:space="preserve">All data as of 2026-02-27. Sources include Yahoo Finance, company SEC filings, Statista, eMarketer, Grand View Research, and public financial databases.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For Institutional Use Only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MercadoLibre (MELI) | Initiating Coverage | 2026-02-27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D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2026-02-27T00:19:35.097Z</dcterms:created>
  <dcterms:modified xsi:type="dcterms:W3CDTF">2026-02-27T00:19:35.097Z</dcterms:modified>
</cp:coreProperties>
</file>

<file path=docProps/custom.xml><?xml version="1.0" encoding="utf-8"?>
<Properties xmlns="http://schemas.openxmlformats.org/officeDocument/2006/custom-properties" xmlns:vt="http://schemas.openxmlformats.org/officeDocument/2006/docPropsVTypes"/>
</file>