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680"/>
        <w:gridCol w:w="1680"/>
        <w:gridCol w:w="1680"/>
        <w:gridCol w:w="1680"/>
        <w:gridCol w:w="1680"/>
      </w:tblGrid>
      <w:tr w:rsidR="000F485B" w14:paraId="1EFDA6C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BF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Ticker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C0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C1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C2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C3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Upside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C4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0F485B" w14:paraId="1EFDA6C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C6" w14:textId="77777777" w:rsidR="000F485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MELI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C7" w14:textId="77777777" w:rsidR="000F485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BUY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C8" w14:textId="77777777" w:rsidR="000F485B" w:rsidRDefault="00000000">
            <w:pPr>
              <w:jc w:val="center"/>
            </w:pPr>
            <w:r>
              <w:rPr>
                <w:sz w:val="20"/>
                <w:szCs w:val="20"/>
              </w:rPr>
              <w:t>$2,220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C9" w14:textId="77777777" w:rsidR="000F485B" w:rsidRDefault="00000000">
            <w:pPr>
              <w:jc w:val="center"/>
            </w:pPr>
            <w:r>
              <w:rPr>
                <w:sz w:val="20"/>
                <w:szCs w:val="20"/>
              </w:rPr>
              <w:t>$1,745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CA" w14:textId="77777777" w:rsidR="000F485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+27.2%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CB" w14:textId="77777777" w:rsidR="000F485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BUY WEAKNESS</w:t>
            </w:r>
          </w:p>
        </w:tc>
      </w:tr>
    </w:tbl>
    <w:p w14:paraId="1EFDA6CD" w14:textId="77777777" w:rsidR="000F485B" w:rsidRDefault="000F485B">
      <w:pPr>
        <w:spacing w:after="100"/>
      </w:pPr>
    </w:p>
    <w:p w14:paraId="1EFDA6CE" w14:textId="77777777" w:rsidR="000F485B" w:rsidRDefault="00000000">
      <w:pPr>
        <w:pStyle w:val="Ttulo2"/>
      </w:pPr>
      <w:r>
        <w:t>Price Action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0F485B" w14:paraId="1EFDA6D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CF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1-Day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D0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1-Week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D1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1-Month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D2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YTD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D3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Volume</w:t>
            </w:r>
          </w:p>
        </w:tc>
      </w:tr>
      <w:tr w:rsidR="000F485B" w14:paraId="1EFDA6D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D5" w14:textId="77777777" w:rsidR="000F485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-9.25%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D6" w14:textId="77777777" w:rsidR="000F485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-7.8%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D7" w14:textId="77777777" w:rsidR="000F485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-3.2%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D8" w14:textId="77777777" w:rsidR="000F485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-5.1%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D9" w14:textId="77777777" w:rsidR="000F485B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~3.5x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</w:tr>
    </w:tbl>
    <w:p w14:paraId="1EFDA6DB" w14:textId="77777777" w:rsidR="000F485B" w:rsidRDefault="000F485B">
      <w:pPr>
        <w:spacing w:after="100"/>
      </w:pPr>
    </w:p>
    <w:p w14:paraId="1EFDA6DC" w14:textId="77777777" w:rsidR="000F485B" w:rsidRDefault="00000000">
      <w:pPr>
        <w:spacing w:after="100"/>
      </w:pPr>
      <w:r>
        <w:t>MELI fell -9.25% on Feb 25 following Q4 2025 earnings released after close on Feb 24. Volume was approximately 3.5x the 20-day average, indicating significant institutional repositioning. The selloff was driven by the EPS miss ($11.03 vs $11.77 consensus) and operating margin compression (10.1% vs 13.5% prior year), despite a significant revenue beat ($8.76B, +45% YoY).</w:t>
      </w:r>
    </w:p>
    <w:p w14:paraId="1EFDA6DD" w14:textId="77777777" w:rsidR="000F485B" w:rsidRDefault="00000000">
      <w:pPr>
        <w:pStyle w:val="Ttulo2"/>
      </w:pPr>
      <w:r>
        <w:t>News &amp; Events (Last 24 Hours)</w:t>
      </w:r>
    </w:p>
    <w:p w14:paraId="1EFDA6DE" w14:textId="77777777" w:rsidR="000F485B" w:rsidRDefault="00000000">
      <w:pPr>
        <w:pStyle w:val="Prrafodelista"/>
        <w:numPr>
          <w:ilvl w:val="0"/>
          <w:numId w:val="2"/>
        </w:numPr>
        <w:spacing w:after="60"/>
      </w:pPr>
      <w:r>
        <w:t>Q4 2025 Earnings Released (Feb 24 AMC): Revenue $8.76B (+45% YoY), EPS $11.03 (missed by 6.3%)</w:t>
      </w:r>
    </w:p>
    <w:p w14:paraId="1EFDA6DF" w14:textId="77777777" w:rsidR="000F485B" w:rsidRDefault="00000000">
      <w:pPr>
        <w:pStyle w:val="Prrafodelista"/>
        <w:numPr>
          <w:ilvl w:val="0"/>
          <w:numId w:val="2"/>
        </w:numPr>
        <w:spacing w:after="60"/>
      </w:pPr>
      <w:r>
        <w:t>Credit portfolio reached $12.5B (+90% YoY); NPL at 4.4% (historic low)</w:t>
      </w:r>
    </w:p>
    <w:p w14:paraId="1EFDA6E0" w14:textId="77777777" w:rsidR="000F485B" w:rsidRDefault="00000000">
      <w:pPr>
        <w:pStyle w:val="Prrafodelista"/>
        <w:numPr>
          <w:ilvl w:val="0"/>
          <w:numId w:val="2"/>
        </w:numPr>
        <w:spacing w:after="60"/>
      </w:pPr>
      <w:r>
        <w:t>Credit card issuance accelerated to ~3M in Q4 (up from 2M in Q3)</w:t>
      </w:r>
    </w:p>
    <w:p w14:paraId="1EFDA6E1" w14:textId="77777777" w:rsidR="000F485B" w:rsidRDefault="00000000">
      <w:pPr>
        <w:pStyle w:val="Prrafodelista"/>
        <w:numPr>
          <w:ilvl w:val="0"/>
          <w:numId w:val="2"/>
        </w:numPr>
        <w:spacing w:after="60"/>
      </w:pPr>
      <w:r>
        <w:t>Management stated: "We are not trying to optimize short-term margin"</w:t>
      </w:r>
    </w:p>
    <w:p w14:paraId="1EFDA6E2" w14:textId="77777777" w:rsidR="000F485B" w:rsidRDefault="00000000">
      <w:pPr>
        <w:pStyle w:val="Prrafodelista"/>
        <w:numPr>
          <w:ilvl w:val="0"/>
          <w:numId w:val="2"/>
        </w:numPr>
        <w:spacing w:after="60"/>
      </w:pPr>
      <w:r>
        <w:t>Capex guidance for 2026: ~$1.42B (up from ~$1.23B in 2025)</w:t>
      </w:r>
    </w:p>
    <w:p w14:paraId="1EFDA6E3" w14:textId="77777777" w:rsidR="000F485B" w:rsidRDefault="00000000">
      <w:pPr>
        <w:pStyle w:val="Prrafodelista"/>
        <w:numPr>
          <w:ilvl w:val="0"/>
          <w:numId w:val="2"/>
        </w:numPr>
        <w:spacing w:after="60"/>
      </w:pPr>
      <w:r>
        <w:t>23 Buy ratings, 3 Holds, 0 Sells from sell-side; consensus PT ~$2,800</w:t>
      </w:r>
    </w:p>
    <w:p w14:paraId="1EFDA6E4" w14:textId="77777777" w:rsidR="000F485B" w:rsidRDefault="00000000">
      <w:pPr>
        <w:pStyle w:val="Ttulo2"/>
      </w:pPr>
      <w:r>
        <w:t>Thesis Update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0F485B" w14:paraId="1EFDA6E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E5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E6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E7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Conviction</w:t>
            </w:r>
          </w:p>
        </w:tc>
      </w:tr>
      <w:tr w:rsidR="000F485B" w14:paraId="1EFDA6E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E9" w14:textId="77777777" w:rsidR="000F485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7/8 Pillars </w:t>
            </w:r>
            <w:proofErr w:type="gramStart"/>
            <w:r>
              <w:rPr>
                <w:b/>
                <w:bCs/>
                <w:sz w:val="20"/>
                <w:szCs w:val="20"/>
              </w:rPr>
              <w:t>On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Track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EA" w14:textId="77777777" w:rsidR="000F485B" w:rsidRDefault="00000000">
            <w:r>
              <w:rPr>
                <w:sz w:val="20"/>
                <w:szCs w:val="20"/>
              </w:rPr>
              <w:t>Margin Expansion moved to At Risk (deliberate, not structural)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EB" w14:textId="77777777" w:rsidR="000F485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4.1 / 5.0</w:t>
            </w:r>
          </w:p>
        </w:tc>
      </w:tr>
    </w:tbl>
    <w:p w14:paraId="1EFDA6ED" w14:textId="77777777" w:rsidR="000F485B" w:rsidRDefault="000F485B">
      <w:pPr>
        <w:spacing w:after="100"/>
      </w:pPr>
    </w:p>
    <w:p w14:paraId="1EFDA6EE" w14:textId="77777777" w:rsidR="000F485B" w:rsidRDefault="00000000">
      <w:pPr>
        <w:spacing w:after="100"/>
      </w:pPr>
      <w:r>
        <w:t>The Q4 results broadly reinforce our thesis. Revenue acceleration, credit quality improvement, and Mexico strength are all positive. The only negative is margin compression, which management explicitly characterizes as a deliberate investment choice. No thesis pillar is Broken.</w:t>
      </w:r>
    </w:p>
    <w:p w14:paraId="1EFDA6EF" w14:textId="77777777" w:rsidR="000F485B" w:rsidRDefault="00000000">
      <w:pPr>
        <w:pStyle w:val="Ttulo2"/>
      </w:pPr>
      <w:r>
        <w:t>Action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0F485B" w14:paraId="1EFDA6F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FDA6F0" w14:textId="77777777" w:rsidR="000F485B" w:rsidRDefault="00000000">
            <w:r>
              <w:rPr>
                <w:b/>
                <w:bCs/>
                <w:color w:val="1565C0"/>
                <w:sz w:val="24"/>
                <w:szCs w:val="24"/>
              </w:rPr>
              <w:t>RECOMMENDATION: BUY ON WEAKNESS</w:t>
            </w:r>
          </w:p>
          <w:p w14:paraId="1EFDA6F1" w14:textId="77777777" w:rsidR="000F485B" w:rsidRDefault="00000000">
            <w:pPr>
              <w:spacing w:before="80"/>
            </w:pPr>
            <w:r>
              <w:rPr>
                <w:sz w:val="20"/>
                <w:szCs w:val="20"/>
              </w:rPr>
              <w:t>The -9.25% selloff creates a tactical buying opportunity. At $1,745, MELI trades at ~25x 2026E EPS for a company growing revenue 25%+ with a $12.5B credit portfolio at historic-low NPLs. The market is penalizing a deliberate investment cycle; we view this as a feature (market share capture), not a bug. Our updated target of $2,220 implies +27.2% upside.</w:t>
            </w:r>
          </w:p>
        </w:tc>
      </w:tr>
    </w:tbl>
    <w:p w14:paraId="1EFDA6F3" w14:textId="77777777" w:rsidR="000F485B" w:rsidRDefault="00000000">
      <w:pPr>
        <w:pStyle w:val="Ttulo2"/>
      </w:pPr>
      <w:r>
        <w:t>Upcoming Catalysts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5040"/>
        <w:gridCol w:w="2520"/>
      </w:tblGrid>
      <w:tr w:rsidR="000F485B" w14:paraId="1EFDA6F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F4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F5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F6" w14:textId="77777777" w:rsidR="000F48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0F485B" w14:paraId="1EFDA6F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F8" w14:textId="77777777" w:rsidR="000F485B" w:rsidRDefault="00000000">
            <w:r>
              <w:rPr>
                <w:sz w:val="20"/>
                <w:szCs w:val="20"/>
              </w:rPr>
              <w:t>Mar 4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F9" w14:textId="77777777" w:rsidR="000F485B" w:rsidRDefault="00000000">
            <w:r>
              <w:rPr>
                <w:sz w:val="20"/>
                <w:szCs w:val="20"/>
              </w:rPr>
              <w:t>Brazil Q4 2025 GDP Release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FA" w14:textId="77777777" w:rsidR="000F485B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0F485B" w14:paraId="1EFDA6F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FC" w14:textId="77777777" w:rsidR="000F485B" w:rsidRDefault="00000000">
            <w:r>
              <w:rPr>
                <w:sz w:val="20"/>
                <w:szCs w:val="20"/>
              </w:rPr>
              <w:t>Mar 4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FD" w14:textId="77777777" w:rsidR="000F485B" w:rsidRDefault="00000000">
            <w:r>
              <w:rPr>
                <w:sz w:val="20"/>
                <w:szCs w:val="20"/>
              </w:rPr>
              <w:t>Sea Limited (SE) Q4 2024 Results — Shopee Brazil commentary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6FE" w14:textId="77777777" w:rsidR="000F485B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0F485B" w14:paraId="1EFDA70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700" w14:textId="77777777" w:rsidR="000F485B" w:rsidRDefault="00000000">
            <w:r>
              <w:rPr>
                <w:sz w:val="20"/>
                <w:szCs w:val="20"/>
              </w:rPr>
              <w:t>Mar 18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701" w14:textId="77777777" w:rsidR="000F485B" w:rsidRDefault="00000000">
            <w:r>
              <w:rPr>
                <w:sz w:val="20"/>
                <w:szCs w:val="20"/>
              </w:rPr>
              <w:t xml:space="preserve">Brazil </w:t>
            </w:r>
            <w:proofErr w:type="spellStart"/>
            <w:r>
              <w:rPr>
                <w:sz w:val="20"/>
                <w:szCs w:val="20"/>
              </w:rPr>
              <w:t>Copom</w:t>
            </w:r>
            <w:proofErr w:type="spellEnd"/>
            <w:r>
              <w:rPr>
                <w:sz w:val="20"/>
                <w:szCs w:val="20"/>
              </w:rPr>
              <w:t xml:space="preserve"> Meeting (Selic) — Likely hold at 15%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702" w14:textId="77777777" w:rsidR="000F485B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0F485B" w14:paraId="1EFDA70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704" w14:textId="77777777" w:rsidR="000F485B" w:rsidRDefault="00000000">
            <w:r>
              <w:rPr>
                <w:sz w:val="20"/>
                <w:szCs w:val="20"/>
              </w:rPr>
              <w:lastRenderedPageBreak/>
              <w:t>Mar 27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705" w14:textId="77777777" w:rsidR="000F485B" w:rsidRDefault="00000000">
            <w:r>
              <w:rPr>
                <w:sz w:val="20"/>
                <w:szCs w:val="20"/>
              </w:rPr>
              <w:t xml:space="preserve">Mexico </w:t>
            </w:r>
            <w:proofErr w:type="spellStart"/>
            <w:r>
              <w:rPr>
                <w:sz w:val="20"/>
                <w:szCs w:val="20"/>
              </w:rPr>
              <w:t>Banxico</w:t>
            </w:r>
            <w:proofErr w:type="spellEnd"/>
            <w:r>
              <w:rPr>
                <w:sz w:val="20"/>
                <w:szCs w:val="20"/>
              </w:rPr>
              <w:t xml:space="preserve"> Rate Decision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706" w14:textId="77777777" w:rsidR="000F485B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0F485B" w14:paraId="1EFDA70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708" w14:textId="77777777" w:rsidR="000F485B" w:rsidRDefault="00000000">
            <w:r>
              <w:rPr>
                <w:sz w:val="20"/>
                <w:szCs w:val="20"/>
              </w:rPr>
              <w:t>May 7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709" w14:textId="77777777" w:rsidR="000F485B" w:rsidRDefault="00000000">
            <w:r>
              <w:rPr>
                <w:sz w:val="20"/>
                <w:szCs w:val="20"/>
              </w:rPr>
              <w:t>MELI Q1 2026 Earnings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A70A" w14:textId="77777777" w:rsidR="000F485B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</w:tbl>
    <w:p w14:paraId="1EFDA70C" w14:textId="77777777" w:rsidR="000F485B" w:rsidRDefault="000F485B">
      <w:pPr>
        <w:spacing w:after="100"/>
      </w:pPr>
    </w:p>
    <w:p w14:paraId="1EFDA70D" w14:textId="77777777" w:rsidR="000F485B" w:rsidRDefault="00000000">
      <w:pPr>
        <w:spacing w:after="100"/>
      </w:pPr>
      <w:r>
        <w:t>Next major catalyst: MELI Q1 2026 earnings on May 7. Key focus will be whether margin trajectory stabilizes and credit quality remains strong. Brazil macro (</w:t>
      </w:r>
      <w:proofErr w:type="spellStart"/>
      <w:r>
        <w:t>Copom</w:t>
      </w:r>
      <w:proofErr w:type="spellEnd"/>
      <w:r>
        <w:t xml:space="preserve"> on Mar 18) could influence sentiment ahead of earnings.</w:t>
      </w:r>
    </w:p>
    <w:p w14:paraId="1EFDA70E" w14:textId="77777777" w:rsidR="000F485B" w:rsidRDefault="000F485B">
      <w:pPr>
        <w:spacing w:after="100"/>
      </w:pPr>
    </w:p>
    <w:p w14:paraId="1EFDA70F" w14:textId="77777777" w:rsidR="000F485B" w:rsidRDefault="00000000">
      <w:pPr>
        <w:spacing w:after="100"/>
      </w:pPr>
      <w:r>
        <w:rPr>
          <w:i/>
          <w:iCs/>
          <w:color w:val="888888"/>
          <w:sz w:val="16"/>
          <w:szCs w:val="16"/>
        </w:rPr>
        <w:t>This note is for informational purposes only. Not investment advice.</w:t>
      </w:r>
    </w:p>
    <w:sectPr w:rsidR="000F485B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633E0" w14:textId="77777777" w:rsidR="00650385" w:rsidRDefault="00650385">
      <w:r>
        <w:separator/>
      </w:r>
    </w:p>
  </w:endnote>
  <w:endnote w:type="continuationSeparator" w:id="0">
    <w:p w14:paraId="37A48E04" w14:textId="77777777" w:rsidR="00650385" w:rsidRDefault="00650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FFE0C" w14:textId="77777777" w:rsidR="00650385" w:rsidRDefault="00650385">
      <w:r>
        <w:separator/>
      </w:r>
    </w:p>
  </w:footnote>
  <w:footnote w:type="continuationSeparator" w:id="0">
    <w:p w14:paraId="3CA35BB2" w14:textId="77777777" w:rsidR="00650385" w:rsidRDefault="00650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A710" w14:textId="77777777" w:rsidR="000F485B" w:rsidRDefault="00000000">
    <w:pPr>
      <w:jc w:val="center"/>
    </w:pPr>
    <w:r>
      <w:rPr>
        <w:i/>
        <w:iCs/>
        <w:color w:val="888888"/>
        <w:sz w:val="16"/>
        <w:szCs w:val="16"/>
      </w:rPr>
      <w:t>MORNING NOTE | MELI | 2026-02-25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562"/>
    <w:multiLevelType w:val="hybridMultilevel"/>
    <w:tmpl w:val="3CCCA68A"/>
    <w:lvl w:ilvl="0" w:tplc="9B6299FA">
      <w:start w:val="1"/>
      <w:numFmt w:val="bullet"/>
      <w:lvlText w:val="•"/>
      <w:lvlJc w:val="left"/>
      <w:pPr>
        <w:ind w:left="720" w:hanging="360"/>
      </w:pPr>
    </w:lvl>
    <w:lvl w:ilvl="1" w:tplc="9FFE6CAC">
      <w:numFmt w:val="decimal"/>
      <w:lvlText w:val=""/>
      <w:lvlJc w:val="left"/>
    </w:lvl>
    <w:lvl w:ilvl="2" w:tplc="6BF28D54">
      <w:numFmt w:val="decimal"/>
      <w:lvlText w:val=""/>
      <w:lvlJc w:val="left"/>
    </w:lvl>
    <w:lvl w:ilvl="3" w:tplc="78223E74">
      <w:numFmt w:val="decimal"/>
      <w:lvlText w:val=""/>
      <w:lvlJc w:val="left"/>
    </w:lvl>
    <w:lvl w:ilvl="4" w:tplc="4422177E">
      <w:numFmt w:val="decimal"/>
      <w:lvlText w:val=""/>
      <w:lvlJc w:val="left"/>
    </w:lvl>
    <w:lvl w:ilvl="5" w:tplc="8AD45DD4">
      <w:numFmt w:val="decimal"/>
      <w:lvlText w:val=""/>
      <w:lvlJc w:val="left"/>
    </w:lvl>
    <w:lvl w:ilvl="6" w:tplc="246EF814">
      <w:numFmt w:val="decimal"/>
      <w:lvlText w:val=""/>
      <w:lvlJc w:val="left"/>
    </w:lvl>
    <w:lvl w:ilvl="7" w:tplc="A6EC3A26">
      <w:numFmt w:val="decimal"/>
      <w:lvlText w:val=""/>
      <w:lvlJc w:val="left"/>
    </w:lvl>
    <w:lvl w:ilvl="8" w:tplc="49DABF8A">
      <w:numFmt w:val="decimal"/>
      <w:lvlText w:val=""/>
      <w:lvlJc w:val="left"/>
    </w:lvl>
  </w:abstractNum>
  <w:abstractNum w:abstractNumId="1" w15:restartNumberingAfterBreak="0">
    <w:nsid w:val="03F212AF"/>
    <w:multiLevelType w:val="hybridMultilevel"/>
    <w:tmpl w:val="BCF6C504"/>
    <w:lvl w:ilvl="0" w:tplc="D13ECAE2">
      <w:start w:val="1"/>
      <w:numFmt w:val="bullet"/>
      <w:lvlText w:val="●"/>
      <w:lvlJc w:val="left"/>
      <w:pPr>
        <w:ind w:left="720" w:hanging="360"/>
      </w:pPr>
    </w:lvl>
    <w:lvl w:ilvl="1" w:tplc="E9EC9340">
      <w:start w:val="1"/>
      <w:numFmt w:val="bullet"/>
      <w:lvlText w:val="○"/>
      <w:lvlJc w:val="left"/>
      <w:pPr>
        <w:ind w:left="1440" w:hanging="360"/>
      </w:pPr>
    </w:lvl>
    <w:lvl w:ilvl="2" w:tplc="652A67CA">
      <w:start w:val="1"/>
      <w:numFmt w:val="bullet"/>
      <w:lvlText w:val="■"/>
      <w:lvlJc w:val="left"/>
      <w:pPr>
        <w:ind w:left="2160" w:hanging="360"/>
      </w:pPr>
    </w:lvl>
    <w:lvl w:ilvl="3" w:tplc="5148A70E">
      <w:start w:val="1"/>
      <w:numFmt w:val="bullet"/>
      <w:lvlText w:val="●"/>
      <w:lvlJc w:val="left"/>
      <w:pPr>
        <w:ind w:left="2880" w:hanging="360"/>
      </w:pPr>
    </w:lvl>
    <w:lvl w:ilvl="4" w:tplc="306630BE">
      <w:start w:val="1"/>
      <w:numFmt w:val="bullet"/>
      <w:lvlText w:val="○"/>
      <w:lvlJc w:val="left"/>
      <w:pPr>
        <w:ind w:left="3600" w:hanging="360"/>
      </w:pPr>
    </w:lvl>
    <w:lvl w:ilvl="5" w:tplc="6874C862">
      <w:start w:val="1"/>
      <w:numFmt w:val="bullet"/>
      <w:lvlText w:val="■"/>
      <w:lvlJc w:val="left"/>
      <w:pPr>
        <w:ind w:left="4320" w:hanging="360"/>
      </w:pPr>
    </w:lvl>
    <w:lvl w:ilvl="6" w:tplc="F3942BA2">
      <w:start w:val="1"/>
      <w:numFmt w:val="bullet"/>
      <w:lvlText w:val="●"/>
      <w:lvlJc w:val="left"/>
      <w:pPr>
        <w:ind w:left="5040" w:hanging="360"/>
      </w:pPr>
    </w:lvl>
    <w:lvl w:ilvl="7" w:tplc="54828A96">
      <w:start w:val="1"/>
      <w:numFmt w:val="bullet"/>
      <w:lvlText w:val="●"/>
      <w:lvlJc w:val="left"/>
      <w:pPr>
        <w:ind w:left="5760" w:hanging="360"/>
      </w:pPr>
    </w:lvl>
    <w:lvl w:ilvl="8" w:tplc="096E2E18">
      <w:start w:val="1"/>
      <w:numFmt w:val="bullet"/>
      <w:lvlText w:val="●"/>
      <w:lvlJc w:val="left"/>
      <w:pPr>
        <w:ind w:left="6480" w:hanging="360"/>
      </w:pPr>
    </w:lvl>
  </w:abstractNum>
  <w:num w:numId="1" w16cid:durableId="517546682">
    <w:abstractNumId w:val="1"/>
    <w:lvlOverride w:ilvl="0">
      <w:startOverride w:val="1"/>
    </w:lvlOverride>
  </w:num>
  <w:num w:numId="2" w16cid:durableId="1614895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85B"/>
    <w:rsid w:val="000D1C69"/>
    <w:rsid w:val="000F485B"/>
    <w:rsid w:val="00181899"/>
    <w:rsid w:val="0065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DA6BF"/>
  <w15:docId w15:val="{A96133FF-FD97-406B-A19D-B409AE1B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C5F8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2008</Characters>
  <Application>Microsoft Office Word</Application>
  <DocSecurity>0</DocSecurity>
  <Lines>82</Lines>
  <Paragraphs>63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Walter Guzmán</cp:lastModifiedBy>
  <cp:revision>2</cp:revision>
  <dcterms:created xsi:type="dcterms:W3CDTF">2026-02-27T00:52:00Z</dcterms:created>
  <dcterms:modified xsi:type="dcterms:W3CDTF">2026-02-27T02:07:00Z</dcterms:modified>
</cp:coreProperties>
</file>