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0"/>
        <w:gridCol w:w="1680"/>
        <w:gridCol w:w="1680"/>
        <w:gridCol w:w="1680"/>
        <w:gridCol w:w="1680"/>
        <w:gridCol w:w="1680"/>
      </w:tblGrid>
      <w:tr w:rsidR="00D76239" w14:paraId="54E1A945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1A93F" w14:textId="77777777" w:rsidR="00D7623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Ticker</w:t>
            </w:r>
          </w:p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1A940" w14:textId="77777777" w:rsidR="00D7623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Rating</w:t>
            </w:r>
          </w:p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1A941" w14:textId="77777777" w:rsidR="00D7623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Target</w:t>
            </w:r>
          </w:p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1A942" w14:textId="77777777" w:rsidR="00D7623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Price</w:t>
            </w:r>
          </w:p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1A943" w14:textId="77777777" w:rsidR="00D7623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Upside</w:t>
            </w:r>
          </w:p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1A944" w14:textId="77777777" w:rsidR="00D7623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D76239" w14:paraId="54E1A94C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1A946" w14:textId="77777777" w:rsidR="00D7623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MELI</w:t>
            </w:r>
          </w:p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1A947" w14:textId="77777777" w:rsidR="00D7623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BUY</w:t>
            </w:r>
          </w:p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1A948" w14:textId="77777777" w:rsidR="00D76239" w:rsidRDefault="00000000">
            <w:pPr>
              <w:jc w:val="center"/>
            </w:pPr>
            <w:r>
              <w:rPr>
                <w:sz w:val="20"/>
                <w:szCs w:val="20"/>
              </w:rPr>
              <w:t>$2,220</w:t>
            </w:r>
          </w:p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1A949" w14:textId="77777777" w:rsidR="00D76239" w:rsidRDefault="00000000">
            <w:pPr>
              <w:jc w:val="center"/>
            </w:pPr>
            <w:r>
              <w:rPr>
                <w:sz w:val="20"/>
                <w:szCs w:val="20"/>
              </w:rPr>
              <w:t>$1,794</w:t>
            </w:r>
          </w:p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1A94A" w14:textId="77777777" w:rsidR="00D7623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+23.7%</w:t>
            </w:r>
          </w:p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1A94B" w14:textId="77777777" w:rsidR="00D7623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ACCUMULATE</w:t>
            </w:r>
          </w:p>
        </w:tc>
      </w:tr>
    </w:tbl>
    <w:p w14:paraId="54E1A94D" w14:textId="77777777" w:rsidR="00D76239" w:rsidRDefault="00D76239">
      <w:pPr>
        <w:spacing w:after="100"/>
      </w:pPr>
    </w:p>
    <w:p w14:paraId="54E1A94E" w14:textId="77777777" w:rsidR="00D76239" w:rsidRDefault="00000000">
      <w:pPr>
        <w:pStyle w:val="Ttulo2"/>
      </w:pPr>
      <w:r>
        <w:t>Price Action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6"/>
        <w:gridCol w:w="2016"/>
        <w:gridCol w:w="2016"/>
        <w:gridCol w:w="2016"/>
        <w:gridCol w:w="2016"/>
      </w:tblGrid>
      <w:tr w:rsidR="00D76239" w14:paraId="54E1A954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1A94F" w14:textId="77777777" w:rsidR="00D7623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1-Day</w:t>
            </w:r>
          </w:p>
        </w:tc>
        <w:tc>
          <w:tcPr>
            <w:tcW w:w="20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1A950" w14:textId="77777777" w:rsidR="00D7623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1-Week</w:t>
            </w:r>
          </w:p>
        </w:tc>
        <w:tc>
          <w:tcPr>
            <w:tcW w:w="20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1A951" w14:textId="77777777" w:rsidR="00D7623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1-Month</w:t>
            </w:r>
          </w:p>
        </w:tc>
        <w:tc>
          <w:tcPr>
            <w:tcW w:w="20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1A952" w14:textId="77777777" w:rsidR="00D7623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YTD</w:t>
            </w:r>
          </w:p>
        </w:tc>
        <w:tc>
          <w:tcPr>
            <w:tcW w:w="20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1A953" w14:textId="77777777" w:rsidR="00D7623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Volume</w:t>
            </w:r>
          </w:p>
        </w:tc>
      </w:tr>
      <w:tr w:rsidR="00D76239" w14:paraId="54E1A95A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1A955" w14:textId="77777777" w:rsidR="00D7623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+2.8%</w:t>
            </w:r>
          </w:p>
        </w:tc>
        <w:tc>
          <w:tcPr>
            <w:tcW w:w="20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1A956" w14:textId="77777777" w:rsidR="00D7623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-6.7%</w:t>
            </w:r>
          </w:p>
        </w:tc>
        <w:tc>
          <w:tcPr>
            <w:tcW w:w="20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1A957" w14:textId="77777777" w:rsidR="00D7623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-4.5%</w:t>
            </w:r>
          </w:p>
        </w:tc>
        <w:tc>
          <w:tcPr>
            <w:tcW w:w="20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1A958" w14:textId="77777777" w:rsidR="00D7623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-3.8%</w:t>
            </w:r>
          </w:p>
        </w:tc>
        <w:tc>
          <w:tcPr>
            <w:tcW w:w="20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1A959" w14:textId="77777777" w:rsidR="00D76239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~1.5x </w:t>
            </w:r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</w:p>
        </w:tc>
      </w:tr>
    </w:tbl>
    <w:p w14:paraId="54E1A95B" w14:textId="77777777" w:rsidR="00D76239" w:rsidRDefault="00D76239">
      <w:pPr>
        <w:spacing w:after="100"/>
      </w:pPr>
    </w:p>
    <w:p w14:paraId="54E1A95C" w14:textId="77777777" w:rsidR="00D76239" w:rsidRDefault="00000000">
      <w:pPr>
        <w:spacing w:after="100"/>
      </w:pPr>
      <w:r>
        <w:t>MELI bounced +2.8% on Feb 26, recovering a portion of the -9.25% post-earnings selloff from the prior session. Volume was ~1.5x the 20-day average, normalizing from 3.5x on the selloff day. The partial recovery was led by value-oriented buyers stepping in at ~25x 2026E EPS. Pre-market futures indicate a flat open today.</w:t>
      </w:r>
    </w:p>
    <w:p w14:paraId="54E1A95D" w14:textId="77777777" w:rsidR="00D76239" w:rsidRDefault="00000000">
      <w:pPr>
        <w:pStyle w:val="Ttulo2"/>
      </w:pPr>
      <w:r>
        <w:t>News &amp; Events (Last 24 Hours)</w:t>
      </w:r>
    </w:p>
    <w:p w14:paraId="54E1A95E" w14:textId="77777777" w:rsidR="00D76239" w:rsidRDefault="00000000">
      <w:pPr>
        <w:pStyle w:val="Prrafodelista"/>
        <w:numPr>
          <w:ilvl w:val="0"/>
          <w:numId w:val="2"/>
        </w:numPr>
        <w:spacing w:after="60"/>
      </w:pPr>
      <w:r>
        <w:t>Post-earnings analyst notes: Morgan Stanley reiterated OW ($2,950 PT), citing credit quality inflection; Goldman maintained Buy ($2,600 PT) noting Mexico acceleration</w:t>
      </w:r>
    </w:p>
    <w:p w14:paraId="54E1A95F" w14:textId="77777777" w:rsidR="00D76239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Nubank</w:t>
      </w:r>
      <w:proofErr w:type="spellEnd"/>
      <w:r>
        <w:t xml:space="preserve"> (NU) reported Q4 2025 yesterday (Feb 26 AMC): Revenue +36% YoY, ROE 29% — read-across positive for MELI's fintech thesis</w:t>
      </w:r>
    </w:p>
    <w:p w14:paraId="54E1A960" w14:textId="77777777" w:rsidR="00D76239" w:rsidRDefault="00000000">
      <w:pPr>
        <w:pStyle w:val="Prrafodelista"/>
        <w:numPr>
          <w:ilvl w:val="0"/>
          <w:numId w:val="2"/>
        </w:numPr>
        <w:spacing w:after="60"/>
      </w:pPr>
      <w:r>
        <w:t>Brazil real strengthened +0.6% vs USD to R$5.72, supportive for MELI's BRL-denominated revenue</w:t>
      </w:r>
    </w:p>
    <w:p w14:paraId="54E1A961" w14:textId="77777777" w:rsidR="00D76239" w:rsidRDefault="00000000">
      <w:pPr>
        <w:pStyle w:val="Prrafodelista"/>
        <w:numPr>
          <w:ilvl w:val="0"/>
          <w:numId w:val="2"/>
        </w:numPr>
        <w:spacing w:after="60"/>
      </w:pPr>
      <w:r>
        <w:t>Mexico nearshoring data: January industrial production +4.2% YoY, above consensus, positive for MELI Mexico commerce</w:t>
      </w:r>
    </w:p>
    <w:p w14:paraId="54E1A962" w14:textId="77777777" w:rsidR="00D76239" w:rsidRDefault="00000000">
      <w:pPr>
        <w:pStyle w:val="Prrafodelista"/>
        <w:numPr>
          <w:ilvl w:val="0"/>
          <w:numId w:val="2"/>
        </w:numPr>
        <w:spacing w:after="60"/>
      </w:pPr>
      <w:r>
        <w:t>Sea Limited (SE) Q4 results due Mar 4 — key read-across for Shopee Brazil competitive dynamics</w:t>
      </w:r>
    </w:p>
    <w:p w14:paraId="54E1A963" w14:textId="77777777" w:rsidR="00D76239" w:rsidRDefault="00000000">
      <w:pPr>
        <w:pStyle w:val="Ttulo2"/>
      </w:pPr>
      <w:r>
        <w:t>Thesis Update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76239" w14:paraId="54E1A96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1A964" w14:textId="77777777" w:rsidR="00D7623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1A965" w14:textId="77777777" w:rsidR="00D7623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Change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1A966" w14:textId="77777777" w:rsidR="00D7623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Conviction</w:t>
            </w:r>
          </w:p>
        </w:tc>
      </w:tr>
      <w:tr w:rsidR="00D76239" w14:paraId="54E1A96B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1A968" w14:textId="77777777" w:rsidR="00D7623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7/8 Pillars </w:t>
            </w:r>
            <w:proofErr w:type="gramStart"/>
            <w:r>
              <w:rPr>
                <w:b/>
                <w:bCs/>
                <w:sz w:val="20"/>
                <w:szCs w:val="20"/>
              </w:rPr>
              <w:t>On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Track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1A969" w14:textId="77777777" w:rsidR="00D76239" w:rsidRDefault="00000000">
            <w:r>
              <w:rPr>
                <w:sz w:val="20"/>
                <w:szCs w:val="20"/>
              </w:rPr>
              <w:t>No change. NU results reinforce fintech thesis.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1A96A" w14:textId="77777777" w:rsidR="00D7623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4.25 / 5.0</w:t>
            </w:r>
          </w:p>
        </w:tc>
      </w:tr>
    </w:tbl>
    <w:p w14:paraId="54E1A96C" w14:textId="77777777" w:rsidR="00D76239" w:rsidRDefault="00D76239">
      <w:pPr>
        <w:spacing w:after="100"/>
      </w:pPr>
    </w:p>
    <w:p w14:paraId="54E1A96D" w14:textId="77777777" w:rsidR="00D76239" w:rsidRDefault="00000000">
      <w:pPr>
        <w:spacing w:after="100"/>
      </w:pPr>
      <w:proofErr w:type="spellStart"/>
      <w:r>
        <w:t>Nubank's</w:t>
      </w:r>
      <w:proofErr w:type="spellEnd"/>
      <w:r>
        <w:t xml:space="preserve"> strong Q4 results (ROE 29%, asset quality stable) validate the broader LATAM fintech opportunity and support our Fintech Scaling pillar. NU's off-platform credit growth parallels MELI's Mercado Credito trajectory. Margin Expansion remains the sole At Risk pillar — no change in assessment; requires Q1 2026 data to evaluate whether investment cycle moderates.</w:t>
      </w:r>
    </w:p>
    <w:p w14:paraId="54E1A96E" w14:textId="77777777" w:rsidR="00D76239" w:rsidRDefault="00000000">
      <w:pPr>
        <w:pStyle w:val="Ttulo2"/>
      </w:pPr>
      <w:r>
        <w:t>Action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D76239" w14:paraId="54E1A97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E1A96F" w14:textId="77777777" w:rsidR="00D76239" w:rsidRDefault="00000000">
            <w:r>
              <w:rPr>
                <w:b/>
                <w:bCs/>
                <w:color w:val="1565C0"/>
                <w:sz w:val="24"/>
                <w:szCs w:val="24"/>
              </w:rPr>
              <w:t>RECOMMENDATION: ACCUMULATE</w:t>
            </w:r>
          </w:p>
          <w:p w14:paraId="54E1A970" w14:textId="77777777" w:rsidR="00D76239" w:rsidRDefault="00000000">
            <w:pPr>
              <w:spacing w:before="80"/>
            </w:pPr>
            <w:r>
              <w:rPr>
                <w:sz w:val="20"/>
                <w:szCs w:val="20"/>
              </w:rPr>
              <w:t xml:space="preserve">We continue to recommend accumulating MELI on post-earnings weakness. At $1,794 (+2.8% bounce), the stock remains ~7% below pre-earnings levels, offering an attractive entry at ~25x 2026E EPS. The partial recovery confirms buy-the-dip interest from institutional accounts. Near-term focus shifts to Brazil Q4 GDP (Mar 4), SE Q4 results (Mar 4 — Shopee competitive read), and </w:t>
            </w:r>
            <w:proofErr w:type="spellStart"/>
            <w:r>
              <w:rPr>
                <w:sz w:val="20"/>
                <w:szCs w:val="20"/>
              </w:rPr>
              <w:t>Copom</w:t>
            </w:r>
            <w:proofErr w:type="spellEnd"/>
            <w:r>
              <w:rPr>
                <w:sz w:val="20"/>
                <w:szCs w:val="20"/>
              </w:rPr>
              <w:t xml:space="preserve"> (Mar 18). Reiterate BUY with $2,220 target (+23.7% upside).</w:t>
            </w:r>
          </w:p>
        </w:tc>
      </w:tr>
    </w:tbl>
    <w:p w14:paraId="54E1A972" w14:textId="77777777" w:rsidR="00D76239" w:rsidRDefault="00000000">
      <w:pPr>
        <w:pStyle w:val="Ttulo2"/>
      </w:pPr>
      <w:r>
        <w:t>Upcoming Catalysts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5040"/>
        <w:gridCol w:w="2520"/>
      </w:tblGrid>
      <w:tr w:rsidR="00D76239" w14:paraId="54E1A976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1A973" w14:textId="77777777" w:rsidR="00D7623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50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1A974" w14:textId="77777777" w:rsidR="00D7623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Event</w:t>
            </w:r>
          </w:p>
        </w:tc>
        <w:tc>
          <w:tcPr>
            <w:tcW w:w="2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1A975" w14:textId="77777777" w:rsidR="00D7623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</w:tr>
      <w:tr w:rsidR="00D76239" w14:paraId="54E1A97A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1A977" w14:textId="77777777" w:rsidR="00D76239" w:rsidRDefault="00000000">
            <w:r>
              <w:rPr>
                <w:sz w:val="20"/>
                <w:szCs w:val="20"/>
              </w:rPr>
              <w:lastRenderedPageBreak/>
              <w:t>Mar 4</w:t>
            </w:r>
          </w:p>
        </w:tc>
        <w:tc>
          <w:tcPr>
            <w:tcW w:w="50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1A978" w14:textId="77777777" w:rsidR="00D76239" w:rsidRDefault="00000000">
            <w:r>
              <w:rPr>
                <w:sz w:val="20"/>
                <w:szCs w:val="20"/>
              </w:rPr>
              <w:t>Brazil Q4 2025 GDP Release — consensus +1.6-1.8% QoQ</w:t>
            </w:r>
          </w:p>
        </w:tc>
        <w:tc>
          <w:tcPr>
            <w:tcW w:w="2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1A979" w14:textId="77777777" w:rsidR="00D76239" w:rsidRDefault="00000000"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</w:tr>
      <w:tr w:rsidR="00D76239" w14:paraId="54E1A97E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1A97B" w14:textId="77777777" w:rsidR="00D76239" w:rsidRDefault="00000000">
            <w:r>
              <w:rPr>
                <w:sz w:val="20"/>
                <w:szCs w:val="20"/>
              </w:rPr>
              <w:t>Mar 4</w:t>
            </w:r>
          </w:p>
        </w:tc>
        <w:tc>
          <w:tcPr>
            <w:tcW w:w="50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1A97C" w14:textId="77777777" w:rsidR="00D76239" w:rsidRDefault="00000000">
            <w:r>
              <w:rPr>
                <w:sz w:val="20"/>
                <w:szCs w:val="20"/>
              </w:rPr>
              <w:t>Sea Limited (SE) Q4 2024 Results — Shopee Brazil GMV commentary</w:t>
            </w:r>
          </w:p>
        </w:tc>
        <w:tc>
          <w:tcPr>
            <w:tcW w:w="2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1A97D" w14:textId="77777777" w:rsidR="00D76239" w:rsidRDefault="00000000"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</w:tr>
      <w:tr w:rsidR="00D76239" w14:paraId="54E1A982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1A97F" w14:textId="77777777" w:rsidR="00D76239" w:rsidRDefault="00000000">
            <w:r>
              <w:rPr>
                <w:sz w:val="20"/>
                <w:szCs w:val="20"/>
              </w:rPr>
              <w:t>Mar 18</w:t>
            </w:r>
          </w:p>
        </w:tc>
        <w:tc>
          <w:tcPr>
            <w:tcW w:w="50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1A980" w14:textId="77777777" w:rsidR="00D76239" w:rsidRDefault="00000000">
            <w:r>
              <w:rPr>
                <w:sz w:val="20"/>
                <w:szCs w:val="20"/>
              </w:rPr>
              <w:t xml:space="preserve">Brazil </w:t>
            </w:r>
            <w:proofErr w:type="spellStart"/>
            <w:r>
              <w:rPr>
                <w:sz w:val="20"/>
                <w:szCs w:val="20"/>
              </w:rPr>
              <w:t>Copom</w:t>
            </w:r>
            <w:proofErr w:type="spellEnd"/>
            <w:r>
              <w:rPr>
                <w:sz w:val="20"/>
                <w:szCs w:val="20"/>
              </w:rPr>
              <w:t xml:space="preserve"> Meeting (Selic) — Expected hold at 15.0%</w:t>
            </w:r>
          </w:p>
        </w:tc>
        <w:tc>
          <w:tcPr>
            <w:tcW w:w="2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1A981" w14:textId="77777777" w:rsidR="00D76239" w:rsidRDefault="00000000"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</w:tr>
      <w:tr w:rsidR="00D76239" w14:paraId="54E1A986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1A983" w14:textId="77777777" w:rsidR="00D76239" w:rsidRDefault="00000000">
            <w:r>
              <w:rPr>
                <w:sz w:val="20"/>
                <w:szCs w:val="20"/>
              </w:rPr>
              <w:t>Mar 27</w:t>
            </w:r>
          </w:p>
        </w:tc>
        <w:tc>
          <w:tcPr>
            <w:tcW w:w="50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1A984" w14:textId="77777777" w:rsidR="00D76239" w:rsidRDefault="00000000">
            <w:r>
              <w:rPr>
                <w:sz w:val="20"/>
                <w:szCs w:val="20"/>
              </w:rPr>
              <w:t xml:space="preserve">Mexico </w:t>
            </w:r>
            <w:proofErr w:type="spellStart"/>
            <w:r>
              <w:rPr>
                <w:sz w:val="20"/>
                <w:szCs w:val="20"/>
              </w:rPr>
              <w:t>Banxico</w:t>
            </w:r>
            <w:proofErr w:type="spellEnd"/>
            <w:r>
              <w:rPr>
                <w:sz w:val="20"/>
                <w:szCs w:val="20"/>
              </w:rPr>
              <w:t xml:space="preserve"> Rate Decision — Expected hold at 9.5%</w:t>
            </w:r>
          </w:p>
        </w:tc>
        <w:tc>
          <w:tcPr>
            <w:tcW w:w="2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1A985" w14:textId="77777777" w:rsidR="00D76239" w:rsidRDefault="00000000"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</w:tr>
      <w:tr w:rsidR="00D76239" w14:paraId="54E1A98A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1A987" w14:textId="77777777" w:rsidR="00D76239" w:rsidRDefault="00000000">
            <w:r>
              <w:rPr>
                <w:sz w:val="20"/>
                <w:szCs w:val="20"/>
              </w:rPr>
              <w:t>May 7</w:t>
            </w:r>
          </w:p>
        </w:tc>
        <w:tc>
          <w:tcPr>
            <w:tcW w:w="50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1A988" w14:textId="77777777" w:rsidR="00D76239" w:rsidRDefault="00000000">
            <w:r>
              <w:rPr>
                <w:sz w:val="20"/>
                <w:szCs w:val="20"/>
              </w:rPr>
              <w:t>MELI Q1 2026 Earnings — Key: margin trajectory &amp; credit quality</w:t>
            </w:r>
          </w:p>
        </w:tc>
        <w:tc>
          <w:tcPr>
            <w:tcW w:w="2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1A989" w14:textId="77777777" w:rsidR="00D76239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</w:tr>
    </w:tbl>
    <w:p w14:paraId="54E1A98B" w14:textId="77777777" w:rsidR="00D76239" w:rsidRDefault="00D76239">
      <w:pPr>
        <w:spacing w:after="100"/>
      </w:pPr>
    </w:p>
    <w:p w14:paraId="54E1A98C" w14:textId="77777777" w:rsidR="00D76239" w:rsidRDefault="00000000">
      <w:pPr>
        <w:spacing w:after="100"/>
      </w:pPr>
      <w:r>
        <w:t xml:space="preserve">Near-term catalyst density increases next week: Brazil GDP and SE results on Mar 4 will provide macro and competitive read-throughs. </w:t>
      </w:r>
      <w:proofErr w:type="spellStart"/>
      <w:r>
        <w:t>Copom</w:t>
      </w:r>
      <w:proofErr w:type="spellEnd"/>
      <w:r>
        <w:t xml:space="preserve"> on Mar 18 will signal Selic trajectory — any dovish pivot would be a meaningful positive for MELI's credit portfolio and consumer spending.</w:t>
      </w:r>
    </w:p>
    <w:p w14:paraId="54E1A98D" w14:textId="77777777" w:rsidR="00D76239" w:rsidRDefault="00D76239">
      <w:pPr>
        <w:spacing w:after="100"/>
      </w:pPr>
    </w:p>
    <w:p w14:paraId="54E1A98E" w14:textId="77777777" w:rsidR="00D76239" w:rsidRDefault="00000000">
      <w:pPr>
        <w:spacing w:after="100"/>
      </w:pPr>
      <w:r>
        <w:rPr>
          <w:i/>
          <w:iCs/>
          <w:color w:val="888888"/>
          <w:sz w:val="16"/>
          <w:szCs w:val="16"/>
        </w:rPr>
        <w:t>This note is for informational purposes only. Not investment advice.</w:t>
      </w:r>
    </w:p>
    <w:sectPr w:rsidR="00D76239">
      <w:head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9CBB3" w14:textId="77777777" w:rsidR="00BB785A" w:rsidRDefault="00BB785A">
      <w:r>
        <w:separator/>
      </w:r>
    </w:p>
  </w:endnote>
  <w:endnote w:type="continuationSeparator" w:id="0">
    <w:p w14:paraId="4CF3FE85" w14:textId="77777777" w:rsidR="00BB785A" w:rsidRDefault="00BB78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8F514" w14:textId="77777777" w:rsidR="00BB785A" w:rsidRDefault="00BB785A">
      <w:r>
        <w:separator/>
      </w:r>
    </w:p>
  </w:footnote>
  <w:footnote w:type="continuationSeparator" w:id="0">
    <w:p w14:paraId="154F18E8" w14:textId="77777777" w:rsidR="00BB785A" w:rsidRDefault="00BB78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1A98F" w14:textId="77777777" w:rsidR="00D76239" w:rsidRDefault="00000000">
    <w:pPr>
      <w:jc w:val="center"/>
    </w:pPr>
    <w:r>
      <w:rPr>
        <w:i/>
        <w:iCs/>
        <w:color w:val="888888"/>
        <w:sz w:val="16"/>
        <w:szCs w:val="16"/>
      </w:rPr>
      <w:t>MORNING NOTE | MELI | 2026-02-27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03727B"/>
    <w:multiLevelType w:val="hybridMultilevel"/>
    <w:tmpl w:val="32566BC6"/>
    <w:lvl w:ilvl="0" w:tplc="F0440BC2">
      <w:start w:val="1"/>
      <w:numFmt w:val="bullet"/>
      <w:lvlText w:val="•"/>
      <w:lvlJc w:val="left"/>
      <w:pPr>
        <w:ind w:left="720" w:hanging="360"/>
      </w:pPr>
    </w:lvl>
    <w:lvl w:ilvl="1" w:tplc="59EE72F6">
      <w:numFmt w:val="decimal"/>
      <w:lvlText w:val=""/>
      <w:lvlJc w:val="left"/>
    </w:lvl>
    <w:lvl w:ilvl="2" w:tplc="D348F0EA">
      <w:numFmt w:val="decimal"/>
      <w:lvlText w:val=""/>
      <w:lvlJc w:val="left"/>
    </w:lvl>
    <w:lvl w:ilvl="3" w:tplc="F3A24A6A">
      <w:numFmt w:val="decimal"/>
      <w:lvlText w:val=""/>
      <w:lvlJc w:val="left"/>
    </w:lvl>
    <w:lvl w:ilvl="4" w:tplc="303CCE32">
      <w:numFmt w:val="decimal"/>
      <w:lvlText w:val=""/>
      <w:lvlJc w:val="left"/>
    </w:lvl>
    <w:lvl w:ilvl="5" w:tplc="E4BEEF94">
      <w:numFmt w:val="decimal"/>
      <w:lvlText w:val=""/>
      <w:lvlJc w:val="left"/>
    </w:lvl>
    <w:lvl w:ilvl="6" w:tplc="CA42D4BE">
      <w:numFmt w:val="decimal"/>
      <w:lvlText w:val=""/>
      <w:lvlJc w:val="left"/>
    </w:lvl>
    <w:lvl w:ilvl="7" w:tplc="FF24912E">
      <w:numFmt w:val="decimal"/>
      <w:lvlText w:val=""/>
      <w:lvlJc w:val="left"/>
    </w:lvl>
    <w:lvl w:ilvl="8" w:tplc="0FA451A0">
      <w:numFmt w:val="decimal"/>
      <w:lvlText w:val=""/>
      <w:lvlJc w:val="left"/>
    </w:lvl>
  </w:abstractNum>
  <w:abstractNum w:abstractNumId="1" w15:restartNumberingAfterBreak="0">
    <w:nsid w:val="702519C5"/>
    <w:multiLevelType w:val="hybridMultilevel"/>
    <w:tmpl w:val="F2BCA108"/>
    <w:lvl w:ilvl="0" w:tplc="4D4E28D8">
      <w:start w:val="1"/>
      <w:numFmt w:val="bullet"/>
      <w:lvlText w:val="●"/>
      <w:lvlJc w:val="left"/>
      <w:pPr>
        <w:ind w:left="720" w:hanging="360"/>
      </w:pPr>
    </w:lvl>
    <w:lvl w:ilvl="1" w:tplc="3788C69E">
      <w:start w:val="1"/>
      <w:numFmt w:val="bullet"/>
      <w:lvlText w:val="○"/>
      <w:lvlJc w:val="left"/>
      <w:pPr>
        <w:ind w:left="1440" w:hanging="360"/>
      </w:pPr>
    </w:lvl>
    <w:lvl w:ilvl="2" w:tplc="33C0C70A">
      <w:start w:val="1"/>
      <w:numFmt w:val="bullet"/>
      <w:lvlText w:val="■"/>
      <w:lvlJc w:val="left"/>
      <w:pPr>
        <w:ind w:left="2160" w:hanging="360"/>
      </w:pPr>
    </w:lvl>
    <w:lvl w:ilvl="3" w:tplc="4A8433BE">
      <w:start w:val="1"/>
      <w:numFmt w:val="bullet"/>
      <w:lvlText w:val="●"/>
      <w:lvlJc w:val="left"/>
      <w:pPr>
        <w:ind w:left="2880" w:hanging="360"/>
      </w:pPr>
    </w:lvl>
    <w:lvl w:ilvl="4" w:tplc="90AEECD8">
      <w:start w:val="1"/>
      <w:numFmt w:val="bullet"/>
      <w:lvlText w:val="○"/>
      <w:lvlJc w:val="left"/>
      <w:pPr>
        <w:ind w:left="3600" w:hanging="360"/>
      </w:pPr>
    </w:lvl>
    <w:lvl w:ilvl="5" w:tplc="AE50CBE6">
      <w:start w:val="1"/>
      <w:numFmt w:val="bullet"/>
      <w:lvlText w:val="■"/>
      <w:lvlJc w:val="left"/>
      <w:pPr>
        <w:ind w:left="4320" w:hanging="360"/>
      </w:pPr>
    </w:lvl>
    <w:lvl w:ilvl="6" w:tplc="D9E857A8">
      <w:start w:val="1"/>
      <w:numFmt w:val="bullet"/>
      <w:lvlText w:val="●"/>
      <w:lvlJc w:val="left"/>
      <w:pPr>
        <w:ind w:left="5040" w:hanging="360"/>
      </w:pPr>
    </w:lvl>
    <w:lvl w:ilvl="7" w:tplc="2C74BD44">
      <w:start w:val="1"/>
      <w:numFmt w:val="bullet"/>
      <w:lvlText w:val="●"/>
      <w:lvlJc w:val="left"/>
      <w:pPr>
        <w:ind w:left="5760" w:hanging="360"/>
      </w:pPr>
    </w:lvl>
    <w:lvl w:ilvl="8" w:tplc="70C0ED7C">
      <w:start w:val="1"/>
      <w:numFmt w:val="bullet"/>
      <w:lvlText w:val="●"/>
      <w:lvlJc w:val="left"/>
      <w:pPr>
        <w:ind w:left="6480" w:hanging="360"/>
      </w:pPr>
    </w:lvl>
  </w:abstractNum>
  <w:num w:numId="1" w16cid:durableId="1521236798">
    <w:abstractNumId w:val="1"/>
    <w:lvlOverride w:ilvl="0">
      <w:startOverride w:val="1"/>
    </w:lvlOverride>
  </w:num>
  <w:num w:numId="2" w16cid:durableId="18941912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6239"/>
    <w:rsid w:val="00497422"/>
    <w:rsid w:val="00BB785A"/>
    <w:rsid w:val="00D76239"/>
    <w:rsid w:val="00FD6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1A93F"/>
  <w15:docId w15:val="{BB56DC22-CEC7-45BC-AE08-44149FE6E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spacing w:before="200" w:after="120"/>
      <w:outlineLvl w:val="1"/>
    </w:pPr>
    <w:rPr>
      <w:b/>
      <w:bCs/>
      <w:color w:val="2C5F8A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423</Words>
  <Characters>2388</Characters>
  <Application>Microsoft Office Word</Application>
  <DocSecurity>0</DocSecurity>
  <Lines>90</Lines>
  <Paragraphs>62</Paragraphs>
  <ScaleCrop>false</ScaleCrop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Walter Guzmán</cp:lastModifiedBy>
  <cp:revision>2</cp:revision>
  <dcterms:created xsi:type="dcterms:W3CDTF">2026-02-27T22:30:00Z</dcterms:created>
  <dcterms:modified xsi:type="dcterms:W3CDTF">2026-02-28T17:14:00Z</dcterms:modified>
</cp:coreProperties>
</file>