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660" w:lineRule="atLeast"/>
        <w:jc w:val="center"/>
      </w:pPr>
      <w:r>
        <w:rPr>
          <w:rFonts w:ascii="Calibri" w:eastAsia="SimHei"/>
          <w:b/>
          <w:bCs/>
          <w:color w:val="E26A2C"/>
          <w:sz w:val="88"/>
          <w:szCs w:val="88"/>
        </w:rPr>
        <w:t xml:space="preserve">WATERR</w:t>
      </w:r>
    </w:p>
    <w:p>
      <w:pPr>
        <w:spacing w:after="60" w:before="0" w:line="460" w:lineRule="atLeast"/>
        <w:jc w:val="center"/>
      </w:pPr>
      <w:r>
        <w:rPr>
          <w:rFonts w:ascii="Calibri" w:eastAsia="SimHei"/>
          <w:b/>
          <w:bCs/>
          <w:color w:val="0B2C4B"/>
          <w:sz w:val="32"/>
          <w:szCs w:val="32"/>
        </w:rPr>
        <w:t xml:space="preserve">Sistema de Inteligencia Territorial para Rescates</w:t>
      </w:r>
    </w:p>
    <w:p>
      <w:pPr>
        <w:spacing w:after="80" w:before="0" w:line="320"/>
        <w:jc w:val="center"/>
      </w:pPr>
      <w:r>
        <w:rPr>
          <w:rFonts w:ascii="Calibri" w:eastAsia="Microsoft YaHei"/>
          <w:i/>
          <w:iCs/>
          <w:color w:val="6B7280"/>
          <w:sz w:val="22"/>
          <w:szCs w:val="22"/>
        </w:rPr>
        <w:t xml:space="preserve">Guion de Video Promocional · 90 segundos · Formato 16:9</w:t>
      </w:r>
    </w:p>
    <w:p>
      <w:pPr>
        <w:pBdr>
          <w:bottom w:val="single" w:color="0B2C4B" w:sz="8" w:space="8"/>
        </w:pBdr>
        <w:spacing w:after="320" w:before="0" w:line="280"/>
        <w:jc w:val="center"/>
      </w:pPr>
      <w:r>
        <w:rPr>
          <w:sz w:val="8"/>
          <w:szCs w:val="8"/>
        </w:rPr>
        <w:t xml:space="preserve"/>
      </w:r>
    </w:p>
    <w:p>
      <w:pPr>
        <w:pStyle w:val="Heading2"/>
        <w:spacing w:after="100" w:before="80" w:line="312"/>
        <w:jc w:val="left"/>
      </w:pPr>
      <w:r>
        <w:rPr>
          <w:rFonts w:ascii="Calibri" w:eastAsia="SimHei"/>
          <w:b/>
          <w:bCs/>
          <w:color w:val="0B2C4B"/>
          <w:sz w:val="30"/>
          <w:szCs w:val="30"/>
        </w:rPr>
        <w:t xml:space="preserve">Datos de Producción</w:t>
      </w:r>
    </w:p>
    <w:p>
      <w:pPr>
        <w:spacing w:after="40" w:before="0" w:line="320"/>
        <w:ind w:left="280" w:hanging="280"/>
        <w:jc w:val="left"/>
      </w:pPr>
      <w:r>
        <w:rPr>
          <w:rFonts w:ascii="Calibri" w:eastAsia="SimHei"/>
          <w:b/>
          <w:bCs/>
          <w:color w:val="0B2C4B"/>
          <w:sz w:val="22"/>
          <w:szCs w:val="22"/>
        </w:rPr>
        <w:t xml:space="preserve">Título del proyecto: </w:t>
      </w:r>
      <w:r>
        <w:rPr>
          <w:rFonts w:ascii="Calibri" w:eastAsia="Microsoft YaHei"/>
          <w:color w:val="1F2937"/>
          <w:sz w:val="22"/>
          <w:szCs w:val="22"/>
        </w:rPr>
        <w:t xml:space="preserve">Waterr — Sistema de Inteligencia Territorial para Rescates</w:t>
      </w:r>
    </w:p>
    <w:p>
      <w:pPr>
        <w:spacing w:after="40" w:before="0" w:line="320"/>
        <w:ind w:left="280" w:hanging="280"/>
        <w:jc w:val="left"/>
      </w:pPr>
      <w:r>
        <w:rPr>
          <w:rFonts w:ascii="Calibri" w:eastAsia="SimHei"/>
          <w:b/>
          <w:bCs/>
          <w:color w:val="0B2C4B"/>
          <w:sz w:val="22"/>
          <w:szCs w:val="22"/>
        </w:rPr>
        <w:t xml:space="preserve">Duración total: </w:t>
      </w:r>
      <w:r>
        <w:rPr>
          <w:rFonts w:ascii="Calibri" w:eastAsia="Microsoft YaHei"/>
          <w:color w:val="1F2937"/>
          <w:sz w:val="22"/>
          <w:szCs w:val="22"/>
        </w:rPr>
        <w:t xml:space="preserve">90 segundos (corto promocional)</w:t>
      </w:r>
    </w:p>
    <w:p>
      <w:pPr>
        <w:spacing w:after="40" w:before="0" w:line="320"/>
        <w:ind w:left="280" w:hanging="280"/>
        <w:jc w:val="left"/>
      </w:pPr>
      <w:r>
        <w:rPr>
          <w:rFonts w:ascii="Calibri" w:eastAsia="SimHei"/>
          <w:b/>
          <w:bCs/>
          <w:color w:val="0B2C4B"/>
          <w:sz w:val="22"/>
          <w:szCs w:val="22"/>
        </w:rPr>
        <w:t xml:space="preserve">Audiencia objetivo: </w:t>
      </w:r>
      <w:r>
        <w:rPr>
          <w:rFonts w:ascii="Calibri" w:eastAsia="Microsoft YaHei"/>
          <w:color w:val="1F2937"/>
          <w:sz w:val="22"/>
          <w:szCs w:val="22"/>
        </w:rPr>
        <w:t xml:space="preserve">Jurado evaluador / autoridades SINAPRED</w:t>
      </w:r>
    </w:p>
    <w:p>
      <w:pPr>
        <w:spacing w:after="40" w:before="0" w:line="320"/>
        <w:ind w:left="280" w:hanging="280"/>
        <w:jc w:val="left"/>
      </w:pPr>
      <w:r>
        <w:rPr>
          <w:rFonts w:ascii="Calibri" w:eastAsia="SimHei"/>
          <w:b/>
          <w:bCs/>
          <w:color w:val="0B2C4B"/>
          <w:sz w:val="22"/>
          <w:szCs w:val="22"/>
        </w:rPr>
        <w:t xml:space="preserve">Tono narrativo: </w:t>
      </w:r>
      <w:r>
        <w:rPr>
          <w:rFonts w:ascii="Calibri" w:eastAsia="Microsoft YaHei"/>
          <w:color w:val="1F2937"/>
          <w:sz w:val="22"/>
          <w:szCs w:val="22"/>
        </w:rPr>
        <w:t xml:space="preserve">Motivador-inspirador (estilo TEDx)</w:t>
      </w:r>
    </w:p>
    <w:p>
      <w:pPr>
        <w:spacing w:after="40" w:before="0" w:line="320"/>
        <w:ind w:left="280" w:hanging="280"/>
        <w:jc w:val="left"/>
      </w:pPr>
      <w:r>
        <w:rPr>
          <w:rFonts w:ascii="Calibri" w:eastAsia="SimHei"/>
          <w:b/>
          <w:bCs/>
          <w:color w:val="0B2C4B"/>
          <w:sz w:val="22"/>
          <w:szCs w:val="22"/>
        </w:rPr>
        <w:t xml:space="preserve">Estructura narrativa: </w:t>
      </w:r>
      <w:r>
        <w:rPr>
          <w:rFonts w:ascii="Calibri" w:eastAsia="Microsoft YaHei"/>
          <w:color w:val="1F2937"/>
          <w:sz w:val="22"/>
          <w:szCs w:val="22"/>
        </w:rPr>
        <w:t xml:space="preserve">Problema → Datos → Máquina → Impacto</w:t>
      </w:r>
    </w:p>
    <w:p>
      <w:pPr>
        <w:spacing w:after="40" w:before="0" w:line="320"/>
        <w:ind w:left="280" w:hanging="280"/>
        <w:jc w:val="left"/>
      </w:pPr>
      <w:r>
        <w:rPr>
          <w:rFonts w:ascii="Calibri" w:eastAsia="SimHei"/>
          <w:b/>
          <w:bCs/>
          <w:color w:val="0B2C4B"/>
          <w:sz w:val="22"/>
          <w:szCs w:val="22"/>
        </w:rPr>
        <w:t xml:space="preserve">Locución: </w:t>
      </w:r>
      <w:r>
        <w:rPr>
          <w:rFonts w:ascii="Calibri" w:eastAsia="Microsoft YaHei"/>
          <w:color w:val="1F2937"/>
          <w:sz w:val="22"/>
          <w:szCs w:val="22"/>
        </w:rPr>
        <w:t xml:space="preserve">Voz en off, ritmo pausado-cinético</w:t>
      </w:r>
    </w:p>
    <w:p>
      <w:pPr>
        <w:spacing w:after="40" w:before="0" w:line="320"/>
        <w:ind w:left="280" w:hanging="280"/>
        <w:jc w:val="left"/>
      </w:pPr>
      <w:r>
        <w:rPr>
          <w:rFonts w:ascii="Calibri" w:eastAsia="SimHei"/>
          <w:b/>
          <w:bCs/>
          <w:color w:val="0B2C4B"/>
          <w:sz w:val="22"/>
          <w:szCs w:val="22"/>
        </w:rPr>
        <w:t xml:space="preserve">Formato de salida: </w:t>
      </w:r>
      <w:r>
        <w:rPr>
          <w:rFonts w:ascii="Calibri" w:eastAsia="Microsoft YaHei"/>
          <w:color w:val="1F2937"/>
          <w:sz w:val="22"/>
          <w:szCs w:val="22"/>
        </w:rPr>
        <w:t xml:space="preserve">MP4 H.264, 1920×1080, 30 fps</w:t>
      </w:r>
    </w:p>
    <w:p>
      <w:pPr>
        <w:spacing w:after="40" w:before="0" w:line="320"/>
        <w:ind w:left="280" w:hanging="280"/>
        <w:jc w:val="left"/>
      </w:pPr>
      <w:r>
        <w:rPr>
          <w:rFonts w:ascii="Calibri" w:eastAsia="SimHei"/>
          <w:b/>
          <w:bCs/>
          <w:color w:val="0B2C4B"/>
          <w:sz w:val="22"/>
          <w:szCs w:val="22"/>
        </w:rPr>
        <w:t xml:space="preserve">Música sugerida: </w:t>
      </w:r>
      <w:r>
        <w:rPr>
          <w:rFonts w:ascii="Calibri" w:eastAsia="Microsoft YaHei"/>
          <w:color w:val="1F2937"/>
          <w:sz w:val="22"/>
          <w:szCs w:val="22"/>
        </w:rPr>
        <w:t xml:space="preserve">Cinematic uplifting instrumental (sin vocales)</w:t>
      </w:r>
    </w:p>
    <w:p>
      <w:pPr>
        <w:spacing w:after="240" w:before="200" w:line="360"/>
        <w:jc w:val="both"/>
      </w:pPr>
      <w:r>
        <w:rPr>
          <w:rFonts w:ascii="Calibri" w:eastAsia="Microsoft YaHei"/>
          <w:b w:val="false"/>
          <w:bCs w:val="false"/>
          <w:i w:val="false"/>
          <w:iCs w:val="false"/>
          <w:color w:val="1F2937"/>
          <w:sz w:val="22"/>
          <w:szCs w:val="22"/>
        </w:rPr>
        <w:t xml:space="preserve">Este guion está diseñado para un video corto de 90 segundos dirigido a un jurado evaluador. Combina narración en off, imágenes de archivo de desastres históricos en Nicaragua y Latinoamérica, renders 3D del prototipo, animación del flujo de datos, mapa de calor de la plataforma y lista de presupuesto. Cada escena indica de forma explícita el texto en pantalla y los recursos visuales que el equipo de producción debe preparar.</w:t>
      </w:r>
    </w:p>
    <w:p>
      <w:pPr>
        <w:pStyle w:val="Heading2"/>
        <w:spacing w:after="100" w:before="80" w:line="312"/>
        <w:jc w:val="left"/>
      </w:pPr>
      <w:r>
        <w:rPr>
          <w:rFonts w:ascii="Calibri" w:eastAsia="SimHei"/>
          <w:b/>
          <w:bCs/>
          <w:color w:val="0B2C4B"/>
          <w:sz w:val="30"/>
          <w:szCs w:val="30"/>
        </w:rPr>
        <w:t xml:space="preserve">1. Guion de Video — Escena por Escena</w:t>
      </w:r>
    </w:p>
    <w:p>
      <w:pPr>
        <w:spacing w:after="200" w:before="0" w:line="360"/>
        <w:jc w:val="both"/>
      </w:pPr>
      <w:r>
        <w:rPr>
          <w:rFonts w:ascii="Calibri" w:eastAsia="Microsoft YaHei"/>
          <w:b w:val="false"/>
          <w:bCs w:val="false"/>
          <w:i w:val="false"/>
          <w:iCs w:val="false"/>
          <w:color w:val="1F2937"/>
          <w:sz w:val="22"/>
          <w:szCs w:val="22"/>
        </w:rPr>
        <w:t xml:space="preserve">El guion se desarrolla en cinco escenas encadenadas que cubren 90 segundos en total. Cada escena detalla la pista visual, la narración en off literal, el texto sobreimpreso en pantalla y los recursos que el equipo de producción debe preparar. La estructura sigue el arco Problema → Datos → Máquina → Impacto, calibrado para mantener la atención de un jurado evaluador sin sacrificar profundidad técnica.</w:t>
      </w:r>
    </w:p>
    <w:p>
      <w:pPr>
        <w:pBdr>
          <w:bottom w:val="single" w:color="E26A2C" w:sz="12" w:space="4"/>
        </w:pBdr>
        <w:spacing w:after="100" w:before="320" w:line="360"/>
        <w:jc w:val="left"/>
      </w:pPr>
      <w:r>
        <w:rPr>
          <w:rFonts w:ascii="Calibri" w:eastAsia="SimHei"/>
          <w:b/>
          <w:bCs/>
          <w:color w:val="E26A2C"/>
          <w:sz w:val="26"/>
          <w:szCs w:val="26"/>
        </w:rPr>
        <w:t xml:space="preserve">ESCENA 1 </w:t>
      </w:r>
      <w:r>
        <w:rPr>
          <w:rFonts w:ascii="Calibri" w:eastAsia="SimHei"/>
          <w:b/>
          <w:bCs/>
          <w:color w:val="0B2C4B"/>
          <w:sz w:val="24"/>
          <w:szCs w:val="24"/>
        </w:rPr>
        <w:t xml:space="preserve">· 0:00 – 0:12 · </w:t>
      </w:r>
      <w:r>
        <w:rPr>
          <w:rFonts w:ascii="Calibri" w:eastAsia="SimHei"/>
          <w:b/>
          <w:bCs/>
          <w:color w:val="0B2C4B"/>
          <w:sz w:val="24"/>
          <w:szCs w:val="24"/>
        </w:rPr>
        <w:t xml:space="preserve">APERTURA IMPACTANTE</w:t>
      </w:r>
    </w:p>
    <w:p>
      <w:pPr>
        <w:spacing w:after="40" w:before="160" w:line="320"/>
        <w:jc w:val="left"/>
      </w:pPr>
      <w:r>
        <w:rPr>
          <w:rFonts w:ascii="Calibri" w:eastAsia="SimHei"/>
          <w:b/>
          <w:bCs/>
          <w:color w:val="E26A2C"/>
          <w:sz w:val="20"/>
          <w:szCs w:val="20"/>
        </w:rPr>
        <w:t xml:space="preserve">VISUAL</w:t>
      </w:r>
    </w:p>
    <w:p>
      <w:pPr>
        <w:spacing w:after="60" w:before="0" w:line="360"/>
        <w:ind w:left="280"/>
        <w:jc w:val="both"/>
      </w:pPr>
      <w:r>
        <w:rPr>
          <w:rFonts w:ascii="Calibri" w:eastAsia="Microsoft YaHei"/>
          <w:color w:val="1F2937"/>
          <w:sz w:val="22"/>
          <w:szCs w:val="22"/>
        </w:rPr>
        <w:t xml:space="preserve">Secuencia cinética de cuatro a cinco planos con cortes cada aproximadamente 1.5 segundos: inundación posterior al huracán Mitch en Nicaragua (1998); viviendas sepultadas por un deslizamiento de tierra; imagen satelital del huracán Iota (2020) rotando lentamente; multitud en un mercado abarrotado; y finalmente una vivienda aislada sin luz ni señal. La secuencia cierra con un fundido a negro seguido del título grande en pantalla.</w:t>
      </w:r>
    </w:p>
    <w:p>
      <w:pPr>
        <w:spacing w:after="40" w:before="160" w:line="320"/>
        <w:jc w:val="left"/>
      </w:pPr>
      <w:r>
        <w:rPr>
          <w:rFonts w:ascii="Calibri" w:eastAsia="SimHei"/>
          <w:b/>
          <w:bCs/>
          <w:color w:val="E26A2C"/>
          <w:sz w:val="20"/>
          <w:szCs w:val="20"/>
        </w:rPr>
        <w:t xml:space="preserve">NARRACIÓN</w:t>
      </w:r>
    </w:p>
    <w:p>
      <w:pPr>
        <w:spacing w:after="60" w:before="0" w:line="360"/>
        <w:ind w:left="280"/>
        <w:jc w:val="both"/>
      </w:pPr>
      <w:r>
        <w:rPr>
          <w:rFonts w:ascii="Calibri" w:eastAsia="Microsoft YaHei"/>
          <w:color w:val="1F2937"/>
          <w:sz w:val="22"/>
          <w:szCs w:val="22"/>
        </w:rPr>
        <w:t xml:space="preserve">“En las últimas dos décadas, los desastres naturales en Latinoamérica han dejado más de 45,000 muertos y 190 millones de afectados. En Nicaragua, el huracán Mitch cobró más de 3,800 vidas. En 2020, Eta e Iota dejaron 28 muertos y 2.5 millones de afectados.”</w:t>
      </w:r>
    </w:p>
    <w:p>
      <w:pPr>
        <w:spacing w:after="40" w:before="160" w:line="320"/>
        <w:jc w:val="left"/>
      </w:pPr>
      <w:r>
        <w:rPr>
          <w:rFonts w:ascii="Calibri" w:eastAsia="SimHei"/>
          <w:b/>
          <w:bCs/>
          <w:color w:val="E26A2C"/>
          <w:sz w:val="20"/>
          <w:szCs w:val="20"/>
        </w:rPr>
        <w:t xml:space="preserve">TEXTO EN PANTALLA</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45,000+ muertos en 20 años</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190 millones de afectados en la región</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Mitch 1998: 3,800 víctimas</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Iota 2020: 2.5 millones de afectados</w:t>
      </w:r>
    </w:p>
    <w:p>
      <w:pPr>
        <w:spacing w:after="40" w:before="160" w:line="320"/>
        <w:jc w:val="left"/>
      </w:pPr>
      <w:r>
        <w:rPr>
          <w:rFonts w:ascii="Calibri" w:eastAsia="SimHei"/>
          <w:b/>
          <w:bCs/>
          <w:color w:val="E26A2C"/>
          <w:sz w:val="20"/>
          <w:szCs w:val="20"/>
        </w:rPr>
        <w:t xml:space="preserve">RECURSOS A PRODUCIR</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Cinco fotos o videos con licencia Creative Commons de huracanes, inundaciones, deslizamientos y mercados (Pexels, Unsplash, Wikimedia Commons, ReliefWeb).</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Animación cinemática del título en After Effects o DaVinci Resolve.</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Logo Waterr en capa final con transparencia.</w:t>
      </w:r>
    </w:p>
    <w:p>
      <w:pPr>
        <w:pBdr>
          <w:bottom w:val="single" w:color="E26A2C" w:sz="12" w:space="4"/>
        </w:pBdr>
        <w:spacing w:after="100" w:before="320" w:line="360"/>
        <w:jc w:val="left"/>
      </w:pPr>
      <w:r>
        <w:rPr>
          <w:rFonts w:ascii="Calibri" w:eastAsia="SimHei"/>
          <w:b/>
          <w:bCs/>
          <w:color w:val="E26A2C"/>
          <w:sz w:val="26"/>
          <w:szCs w:val="26"/>
        </w:rPr>
        <w:t xml:space="preserve">ESCENA 2 </w:t>
      </w:r>
      <w:r>
        <w:rPr>
          <w:rFonts w:ascii="Calibri" w:eastAsia="SimHei"/>
          <w:b/>
          <w:bCs/>
          <w:color w:val="0B2C4B"/>
          <w:sz w:val="24"/>
          <w:szCs w:val="24"/>
        </w:rPr>
        <w:t xml:space="preserve">· 0:12 – 0:28 · </w:t>
      </w:r>
      <w:r>
        <w:rPr>
          <w:rFonts w:ascii="Calibri" w:eastAsia="SimHei"/>
          <w:b/>
          <w:bCs/>
          <w:color w:val="0B2C4B"/>
          <w:sz w:val="24"/>
          <w:szCs w:val="24"/>
        </w:rPr>
        <w:t xml:space="preserve">PROBLEMÁTICA</w:t>
      </w:r>
    </w:p>
    <w:p>
      <w:pPr>
        <w:spacing w:after="40" w:before="160" w:line="320"/>
        <w:jc w:val="left"/>
      </w:pPr>
      <w:r>
        <w:rPr>
          <w:rFonts w:ascii="Calibri" w:eastAsia="SimHei"/>
          <w:b/>
          <w:bCs/>
          <w:color w:val="E26A2C"/>
          <w:sz w:val="20"/>
          <w:szCs w:val="20"/>
        </w:rPr>
        <w:t xml:space="preserve">VISUAL</w:t>
      </w:r>
    </w:p>
    <w:p>
      <w:pPr>
        <w:spacing w:after="60" w:before="0" w:line="360"/>
        <w:ind w:left="280"/>
        <w:jc w:val="both"/>
      </w:pPr>
      <w:r>
        <w:rPr>
          <w:rFonts w:ascii="Calibri" w:eastAsia="Microsoft YaHei"/>
          <w:color w:val="1F2937"/>
          <w:sz w:val="22"/>
          <w:szCs w:val="22"/>
        </w:rPr>
        <w:t xml:space="preserve">Plano cenital del Mercado Oriental de Managua con lento zoom out. Corte a terminal de buses atestada de gente. Mapa de Nicaragua con zonas de riesgo resaltadas en color naranja. Plano de un brigadista intentando comunicarse por radio sin éxito. Transición con cuenta regresiva animada sobreimpresa: “12... 24... 48 horas”.</w:t>
      </w:r>
    </w:p>
    <w:p>
      <w:pPr>
        <w:spacing w:after="40" w:before="160" w:line="320"/>
        <w:jc w:val="left"/>
      </w:pPr>
      <w:r>
        <w:rPr>
          <w:rFonts w:ascii="Calibri" w:eastAsia="SimHei"/>
          <w:b/>
          <w:bCs/>
          <w:color w:val="E26A2C"/>
          <w:sz w:val="20"/>
          <w:szCs w:val="20"/>
        </w:rPr>
        <w:t xml:space="preserve">NARRACIÓN</w:t>
      </w:r>
    </w:p>
    <w:p>
      <w:pPr>
        <w:spacing w:after="60" w:before="0" w:line="360"/>
        <w:ind w:left="280"/>
        <w:jc w:val="both"/>
      </w:pPr>
      <w:r>
        <w:rPr>
          <w:rFonts w:ascii="Calibri" w:eastAsia="Microsoft YaHei"/>
          <w:color w:val="1F2937"/>
          <w:sz w:val="22"/>
          <w:szCs w:val="22"/>
        </w:rPr>
        <w:t xml:space="preserve">“Cuando un desastre golpea, los puntos más poblados — mercados, terminales, albergues — concentran a miles de personas en riesgo. Y la primera víctima es la información: SINAPRED puede tardar entre 12 y 48 horas en obtener datos confiables de ocupación humana por sector.”</w:t>
      </w:r>
    </w:p>
    <w:p>
      <w:pPr>
        <w:spacing w:after="40" w:before="160" w:line="320"/>
        <w:jc w:val="left"/>
      </w:pPr>
      <w:r>
        <w:rPr>
          <w:rFonts w:ascii="Calibri" w:eastAsia="SimHei"/>
          <w:b/>
          <w:bCs/>
          <w:color w:val="E26A2C"/>
          <w:sz w:val="20"/>
          <w:szCs w:val="20"/>
        </w:rPr>
        <w:t xml:space="preserve">TEXTO EN PANTALLA</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12 – 48 horas para datos confiables</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~80% cobertura móvil en Nicaragua</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Zonas aisladas sin señal</w:t>
      </w:r>
    </w:p>
    <w:p>
      <w:pPr>
        <w:spacing w:after="40" w:before="160" w:line="320"/>
        <w:jc w:val="left"/>
      </w:pPr>
      <w:r>
        <w:rPr>
          <w:rFonts w:ascii="Calibri" w:eastAsia="SimHei"/>
          <w:b/>
          <w:bCs/>
          <w:color w:val="E26A2C"/>
          <w:sz w:val="20"/>
          <w:szCs w:val="20"/>
        </w:rPr>
        <w:t xml:space="preserve">RECURSOS A PRODUCIR</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Fotos y videos del Mercado Oriental, terminal de buses y albergues (banco de imágenes SINAPRED o archivo periodístico).</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Mapa de Nicaragua editable en SVG o Mapbox con capas de zonas de riesgo.</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Gráfico de barras comparando tiempo de respuesta actual y víctimas potenciales.</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Plano de brigadista con radio (banco de imágenes SINAPRED o recreación).</w:t>
      </w:r>
    </w:p>
    <w:p>
      <w:pPr>
        <w:pBdr>
          <w:bottom w:val="single" w:color="E26A2C" w:sz="12" w:space="4"/>
        </w:pBdr>
        <w:spacing w:after="100" w:before="320" w:line="360"/>
        <w:jc w:val="left"/>
      </w:pPr>
      <w:r>
        <w:rPr>
          <w:rFonts w:ascii="Calibri" w:eastAsia="SimHei"/>
          <w:b/>
          <w:bCs/>
          <w:color w:val="E26A2C"/>
          <w:sz w:val="26"/>
          <w:szCs w:val="26"/>
        </w:rPr>
        <w:t xml:space="preserve">ESCENA 3 </w:t>
      </w:r>
      <w:r>
        <w:rPr>
          <w:rFonts w:ascii="Calibri" w:eastAsia="SimHei"/>
          <w:b/>
          <w:bCs/>
          <w:color w:val="0B2C4B"/>
          <w:sz w:val="24"/>
          <w:szCs w:val="24"/>
        </w:rPr>
        <w:t xml:space="preserve">· 0:28 – 0:55 · </w:t>
      </w:r>
      <w:r>
        <w:rPr>
          <w:rFonts w:ascii="Calibri" w:eastAsia="SimHei"/>
          <w:b/>
          <w:bCs/>
          <w:color w:val="0B2C4B"/>
          <w:sz w:val="24"/>
          <w:szCs w:val="24"/>
        </w:rPr>
        <w:t xml:space="preserve">LA MÁQUINA</w:t>
      </w:r>
    </w:p>
    <w:p>
      <w:pPr>
        <w:spacing w:after="40" w:before="160" w:line="320"/>
        <w:jc w:val="left"/>
      </w:pPr>
      <w:r>
        <w:rPr>
          <w:rFonts w:ascii="Calibri" w:eastAsia="SimHei"/>
          <w:b/>
          <w:bCs/>
          <w:color w:val="E26A2C"/>
          <w:sz w:val="20"/>
          <w:szCs w:val="20"/>
        </w:rPr>
        <w:t xml:space="preserve">VISUAL</w:t>
      </w:r>
    </w:p>
    <w:p>
      <w:pPr>
        <w:spacing w:after="60" w:before="0" w:line="360"/>
        <w:ind w:left="280"/>
        <w:jc w:val="both"/>
      </w:pPr>
      <w:r>
        <w:rPr>
          <w:rFonts w:ascii="Calibri" w:eastAsia="Microsoft YaHei"/>
          <w:color w:val="1F2937"/>
          <w:sz w:val="22"/>
          <w:szCs w:val="22"/>
        </w:rPr>
        <w:t xml:space="preserve">Render 3D del prototipo triangular impreso en 3D con la tapa protectora abierta mostrando los componentes internos. La cámara orbita 360 grados alrededor del dispositivo. Corte a un despiece explotado (exploded view) con etiquetas flotantes para cada componente. Luego animación de flujo de datos: teléfonos móviles → dispositivo → módulo LoRa → estación receptora → plataforma SINAPRED. Cierre con la tapa protectora cerrándose con un click mecánico.</w:t>
      </w:r>
    </w:p>
    <w:p>
      <w:pPr>
        <w:spacing w:after="40" w:before="160" w:line="320"/>
        <w:jc w:val="left"/>
      </w:pPr>
      <w:r>
        <w:rPr>
          <w:rFonts w:ascii="Calibri" w:eastAsia="SimHei"/>
          <w:b/>
          <w:bCs/>
          <w:color w:val="E26A2C"/>
          <w:sz w:val="20"/>
          <w:szCs w:val="20"/>
        </w:rPr>
        <w:t xml:space="preserve">NARRACIÓN</w:t>
      </w:r>
    </w:p>
    <w:p>
      <w:pPr>
        <w:spacing w:after="60" w:before="0" w:line="360"/>
        <w:ind w:left="280"/>
        <w:jc w:val="both"/>
      </w:pPr>
      <w:r>
        <w:rPr>
          <w:rFonts w:ascii="Calibri" w:eastAsia="Microsoft YaHei"/>
          <w:color w:val="1F2937"/>
          <w:sz w:val="22"/>
          <w:szCs w:val="22"/>
        </w:rPr>
        <w:t xml:space="preserve">“Presentamos WATERR: un dispositivo de bajo costo, instalado en puntos elevados estratégicos, que detecta señales Wi-Fi y Bluetooth de teléfonos cercanos para estimar la ocupación por sector. Equipado con ESP32, módulo LoRa, batería de litio y panel solar, transmite datos incluso cuando las redes convencionales fallan.”</w:t>
      </w:r>
    </w:p>
    <w:p>
      <w:pPr>
        <w:spacing w:after="40" w:before="160" w:line="320"/>
        <w:jc w:val="left"/>
      </w:pPr>
      <w:r>
        <w:rPr>
          <w:rFonts w:ascii="Calibri" w:eastAsia="SimHei"/>
          <w:b/>
          <w:bCs/>
          <w:color w:val="E26A2C"/>
          <w:sz w:val="20"/>
          <w:szCs w:val="20"/>
        </w:rPr>
        <w:t xml:space="preserve">TEXTO EN PANTALLA</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ESP32 — Wi-Fi + Bluetooth integrados</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LoRa SX1278 — comunicación de bajo consumo</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Batería + Solar — autonomía sin red eléctrica</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Estimación no invasiva · Sin apps instaladas</w:t>
      </w:r>
    </w:p>
    <w:p>
      <w:pPr>
        <w:spacing w:after="40" w:before="160" w:line="320"/>
        <w:jc w:val="left"/>
      </w:pPr>
      <w:r>
        <w:rPr>
          <w:rFonts w:ascii="Calibri" w:eastAsia="SimHei"/>
          <w:b/>
          <w:bCs/>
          <w:color w:val="E26A2C"/>
          <w:sz w:val="20"/>
          <w:szCs w:val="20"/>
        </w:rPr>
        <w:t xml:space="preserve">RECURSOS A PRODUCIR</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Render 3D en Blender del triángulo impreso con tapa abierta.</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Despiece exploded view con etiquetas flotantes por componente.</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Animación motion graphics del flujo de datos en After Effects.</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Mockup opcional de sensor de lluvia y sensor de nivel de agua.</w:t>
      </w:r>
    </w:p>
    <w:p>
      <w:pPr>
        <w:pBdr>
          <w:bottom w:val="single" w:color="E26A2C" w:sz="12" w:space="4"/>
        </w:pBdr>
        <w:spacing w:after="100" w:before="320" w:line="360"/>
        <w:jc w:val="left"/>
      </w:pPr>
      <w:r>
        <w:rPr>
          <w:rFonts w:ascii="Calibri" w:eastAsia="SimHei"/>
          <w:b/>
          <w:bCs/>
          <w:color w:val="E26A2C"/>
          <w:sz w:val="26"/>
          <w:szCs w:val="26"/>
        </w:rPr>
        <w:t xml:space="preserve">ESCENA 4 </w:t>
      </w:r>
      <w:r>
        <w:rPr>
          <w:rFonts w:ascii="Calibri" w:eastAsia="SimHei"/>
          <w:b/>
          <w:bCs/>
          <w:color w:val="0B2C4B"/>
          <w:sz w:val="24"/>
          <w:szCs w:val="24"/>
        </w:rPr>
        <w:t xml:space="preserve">· 0:55 – 1:13 · </w:t>
      </w:r>
      <w:r>
        <w:rPr>
          <w:rFonts w:ascii="Calibri" w:eastAsia="SimHei"/>
          <w:b/>
          <w:bCs/>
          <w:color w:val="0B2C4B"/>
          <w:sz w:val="24"/>
          <w:szCs w:val="24"/>
        </w:rPr>
        <w:t xml:space="preserve">PLATAFORMA SINAPRED</w:t>
      </w:r>
    </w:p>
    <w:p>
      <w:pPr>
        <w:spacing w:after="40" w:before="160" w:line="320"/>
        <w:jc w:val="left"/>
      </w:pPr>
      <w:r>
        <w:rPr>
          <w:rFonts w:ascii="Calibri" w:eastAsia="SimHei"/>
          <w:b/>
          <w:bCs/>
          <w:color w:val="E26A2C"/>
          <w:sz w:val="20"/>
          <w:szCs w:val="20"/>
        </w:rPr>
        <w:t xml:space="preserve">VISUAL</w:t>
      </w:r>
    </w:p>
    <w:p>
      <w:pPr>
        <w:spacing w:after="60" w:before="0" w:line="360"/>
        <w:ind w:left="280"/>
        <w:jc w:val="both"/>
      </w:pPr>
      <w:r>
        <w:rPr>
          <w:rFonts w:ascii="Calibri" w:eastAsia="Microsoft YaHei"/>
          <w:color w:val="1F2937"/>
          <w:sz w:val="22"/>
          <w:szCs w:val="22"/>
        </w:rPr>
        <w:t xml:space="preserve">Mockup del dashboard web de SINAPRED con un mapa de calor sobre Managua mostrando zonas en rojo, amarillo y verde. Panel lateral derecho con la lista de sectores prioritarios e indicador de nivel de confianza. Un cursor animado hace clic en un sector rojo y se despliega una tarjeta con datos antes y después de la emergencia. Cierre con comparación split-screen entre ocupación habitual y última lectura disponible.</w:t>
      </w:r>
    </w:p>
    <w:p>
      <w:pPr>
        <w:spacing w:after="40" w:before="160" w:line="320"/>
        <w:jc w:val="left"/>
      </w:pPr>
      <w:r>
        <w:rPr>
          <w:rFonts w:ascii="Calibri" w:eastAsia="SimHei"/>
          <w:b/>
          <w:bCs/>
          <w:color w:val="E26A2C"/>
          <w:sz w:val="20"/>
          <w:szCs w:val="20"/>
        </w:rPr>
        <w:t xml:space="preserve">NARRACIÓN</w:t>
      </w:r>
    </w:p>
    <w:p>
      <w:pPr>
        <w:spacing w:after="60" w:before="0" w:line="360"/>
        <w:ind w:left="280"/>
        <w:jc w:val="both"/>
      </w:pPr>
      <w:r>
        <w:rPr>
          <w:rFonts w:ascii="Calibri" w:eastAsia="Microsoft YaHei"/>
          <w:color w:val="1F2937"/>
          <w:sz w:val="22"/>
          <w:szCs w:val="22"/>
        </w:rPr>
        <w:t xml:space="preserve">“Los datos llegan a una plataforma central donde un mapa de calor muestra la distribución aproximada de personas por sector. El sistema cruza ocupación con sensores ambientales — nivel de agua y lluvia — para señalar zonas prioritarias de evacuación, indicando siempre el nivel de confianza de cada medición.”</w:t>
      </w:r>
    </w:p>
    <w:p>
      <w:pPr>
        <w:spacing w:after="40" w:before="160" w:line="320"/>
        <w:jc w:val="left"/>
      </w:pPr>
      <w:r>
        <w:rPr>
          <w:rFonts w:ascii="Calibri" w:eastAsia="SimHei"/>
          <w:b/>
          <w:bCs/>
          <w:color w:val="E26A2C"/>
          <w:sz w:val="20"/>
          <w:szCs w:val="20"/>
        </w:rPr>
        <w:t xml:space="preserve">TEXTO EN PANTALLA</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Mapa de calor por sector</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Cruce con sensores ambientales</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Nivel de confianza: alto / medio / bajo</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Privacidad: datos agregados, sin ID personal</w:t>
      </w:r>
    </w:p>
    <w:p>
      <w:pPr>
        <w:spacing w:after="40" w:before="160" w:line="320"/>
        <w:jc w:val="left"/>
      </w:pPr>
      <w:r>
        <w:rPr>
          <w:rFonts w:ascii="Calibri" w:eastAsia="SimHei"/>
          <w:b/>
          <w:bCs/>
          <w:color w:val="E26A2C"/>
          <w:sz w:val="20"/>
          <w:szCs w:val="20"/>
        </w:rPr>
        <w:t xml:space="preserve">RECURSOS A PRODUCIR</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Mockup del dashboard en Figma exportado a video.</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Mapa de calor interactivo con Leaflet o Mapbox.</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Tarjeta de sector desplegable animada.</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Captura antes y después de la emergencia en split-screen.</w:t>
      </w:r>
    </w:p>
    <w:p>
      <w:pPr>
        <w:pBdr>
          <w:bottom w:val="single" w:color="E26A2C" w:sz="12" w:space="4"/>
        </w:pBdr>
        <w:spacing w:after="100" w:before="320" w:line="360"/>
        <w:jc w:val="left"/>
      </w:pPr>
      <w:r>
        <w:rPr>
          <w:rFonts w:ascii="Calibri" w:eastAsia="SimHei"/>
          <w:b/>
          <w:bCs/>
          <w:color w:val="E26A2C"/>
          <w:sz w:val="26"/>
          <w:szCs w:val="26"/>
        </w:rPr>
        <w:t xml:space="preserve">ESCENA 5 </w:t>
      </w:r>
      <w:r>
        <w:rPr>
          <w:rFonts w:ascii="Calibri" w:eastAsia="SimHei"/>
          <w:b/>
          <w:bCs/>
          <w:color w:val="0B2C4B"/>
          <w:sz w:val="24"/>
          <w:szCs w:val="24"/>
        </w:rPr>
        <w:t xml:space="preserve">· 1:13 – 1:30 · </w:t>
      </w:r>
      <w:r>
        <w:rPr>
          <w:rFonts w:ascii="Calibri" w:eastAsia="SimHei"/>
          <w:b/>
          <w:bCs/>
          <w:color w:val="0B2C4B"/>
          <w:sz w:val="24"/>
          <w:szCs w:val="24"/>
        </w:rPr>
        <w:t xml:space="preserve">PRESUPUESTO + IMPACTO + CIERRE</w:t>
      </w:r>
    </w:p>
    <w:p>
      <w:pPr>
        <w:spacing w:after="40" w:before="160" w:line="320"/>
        <w:jc w:val="left"/>
      </w:pPr>
      <w:r>
        <w:rPr>
          <w:rFonts w:ascii="Calibri" w:eastAsia="SimHei"/>
          <w:b/>
          <w:bCs/>
          <w:color w:val="E26A2C"/>
          <w:sz w:val="20"/>
          <w:szCs w:val="20"/>
        </w:rPr>
        <w:t xml:space="preserve">VISUAL</w:t>
      </w:r>
    </w:p>
    <w:p>
      <w:pPr>
        <w:spacing w:after="60" w:before="0" w:line="360"/>
        <w:ind w:left="280"/>
        <w:jc w:val="both"/>
      </w:pPr>
      <w:r>
        <w:rPr>
          <w:rFonts w:ascii="Calibri" w:eastAsia="Microsoft YaHei"/>
          <w:color w:val="1F2937"/>
          <w:sz w:val="22"/>
          <w:szCs w:val="22"/>
        </w:rPr>
        <w:t xml:space="preserve">Lista de presupuesto animada en la que cada componente aparece en secuencia, uno a uno, con un intervalo de 0.3 segundos entre cada línea. Corte a renders del dispositivo instalado en el Mercado Oriental, una terminal de buses y un albergue. Plano final cenital de Nicaragua con los nodos activos parpadeando en el mapa. Cierre con el logo Waterr centrado y el tagline sobre fondo azul SINAPRED.</w:t>
      </w:r>
    </w:p>
    <w:p>
      <w:pPr>
        <w:spacing w:after="40" w:before="160" w:line="320"/>
        <w:jc w:val="left"/>
      </w:pPr>
      <w:r>
        <w:rPr>
          <w:rFonts w:ascii="Calibri" w:eastAsia="SimHei"/>
          <w:b/>
          <w:bCs/>
          <w:color w:val="E26A2C"/>
          <w:sz w:val="20"/>
          <w:szCs w:val="20"/>
        </w:rPr>
        <w:t xml:space="preserve">NARRACIÓN</w:t>
      </w:r>
    </w:p>
    <w:p>
      <w:pPr>
        <w:spacing w:after="60" w:before="0" w:line="360"/>
        <w:ind w:left="280"/>
        <w:jc w:val="both"/>
      </w:pPr>
      <w:r>
        <w:rPr>
          <w:rFonts w:ascii="Calibri" w:eastAsia="Microsoft YaHei"/>
          <w:color w:val="1F2937"/>
          <w:sz w:val="22"/>
          <w:szCs w:val="22"/>
        </w:rPr>
        <w:t xml:space="preserve">“Con un costo unitario menor a 60 dólares, WATERR ofrece a SINAPRED decisión informada, respuesta rápida y recursos bien asignados. Porque cuando falla la infraestructura, la información es la primera forma de rescatar.”</w:t>
      </w:r>
    </w:p>
    <w:p>
      <w:pPr>
        <w:spacing w:after="40" w:before="160" w:line="320"/>
        <w:jc w:val="left"/>
      </w:pPr>
      <w:r>
        <w:rPr>
          <w:rFonts w:ascii="Calibri" w:eastAsia="SimHei"/>
          <w:b/>
          <w:bCs/>
          <w:color w:val="E26A2C"/>
          <w:sz w:val="20"/>
          <w:szCs w:val="20"/>
        </w:rPr>
        <w:t xml:space="preserve">TEXTO EN PANTALLA</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Costo por nodo: menor a 60 dólares</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Estación receptora: 25 a 40 dólares</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Decisión informada. Vidas salvadas.</w:t>
      </w:r>
    </w:p>
    <w:p>
      <w:pPr>
        <w:spacing w:after="40" w:before="160" w:line="320"/>
        <w:jc w:val="left"/>
      </w:pPr>
      <w:r>
        <w:rPr>
          <w:rFonts w:ascii="Calibri" w:eastAsia="SimHei"/>
          <w:b/>
          <w:bCs/>
          <w:color w:val="E26A2C"/>
          <w:sz w:val="20"/>
          <w:szCs w:val="20"/>
        </w:rPr>
        <w:t xml:space="preserve">RECURSOS A PRODUCIR</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Animación de tabla de presupuesto en After Effects.</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Renders del dispositivo en escenarios reales: mercado, terminal y albergue.</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Mapa de Nicaragua con nodos pulsantes.</w:t>
      </w:r>
    </w:p>
    <w:p>
      <w:pPr>
        <w:spacing w:after="40" w:before="0" w:line="320"/>
        <w:ind w:left="560" w:hanging="200"/>
        <w:jc w:val="left"/>
      </w:pPr>
      <w:r>
        <w:rPr>
          <w:rFonts w:ascii="Calibri" w:eastAsia="SimHei"/>
          <w:b/>
          <w:bCs/>
          <w:color w:val="E26A2C"/>
          <w:sz w:val="22"/>
          <w:szCs w:val="22"/>
        </w:rPr>
        <w:t xml:space="preserve">• </w:t>
      </w:r>
      <w:r>
        <w:rPr>
          <w:rFonts w:ascii="Calibri" w:eastAsia="Microsoft YaHei"/>
          <w:color w:val="1F2937"/>
          <w:sz w:val="22"/>
          <w:szCs w:val="22"/>
        </w:rPr>
        <w:t xml:space="preserve">Logo Waterr + tagline final con transparencia.</w:t>
      </w:r>
    </w:p>
    <w:p>
      <w:pPr>
        <w:pStyle w:val="Heading2"/>
        <w:spacing w:after="100" w:before="320" w:line="312"/>
        <w:jc w:val="left"/>
      </w:pPr>
      <w:r>
        <w:rPr>
          <w:rFonts w:ascii="Calibri" w:eastAsia="SimHei"/>
          <w:b/>
          <w:bCs/>
          <w:color w:val="0B2C4B"/>
          <w:sz w:val="30"/>
          <w:szCs w:val="30"/>
        </w:rPr>
        <w:t xml:space="preserve">2. Presupuesto Detallado del Prototipo</w:t>
      </w:r>
    </w:p>
    <w:p>
      <w:pPr>
        <w:spacing w:after="200" w:before="0" w:line="360"/>
        <w:jc w:val="both"/>
      </w:pPr>
      <w:r>
        <w:rPr>
          <w:rFonts w:ascii="Calibri" w:eastAsia="Microsoft YaHei"/>
          <w:b w:val="false"/>
          <w:bCs w:val="false"/>
          <w:i w:val="false"/>
          <w:iCs w:val="false"/>
          <w:color w:val="1F2937"/>
          <w:sz w:val="22"/>
          <w:szCs w:val="22"/>
        </w:rPr>
        <w:t xml:space="preserve">La lista siguiente desglosa los componentes físicos del nodo WATERR con cantidades, función y precios estimados en dólares. Los rangos reflejan proveedores accesibles en Latinoamérica (AliExpress, Amazon y distribuidores locales de electrónica). El total confirma el mensaje del video: un costo unitario menor a 60 dólares por nodo, más una estación receptora de entre 25 y 40 dólares que se contempla aparte.</w:t>
      </w:r>
    </w:p>
    <w:p>
      <w:pPr>
        <w:spacing w:after="40" w:before="0" w:line="360"/>
        <w:ind w:left="480" w:hanging="480"/>
        <w:jc w:val="both"/>
      </w:pPr>
      <w:r>
        <w:rPr>
          <w:rFonts w:ascii="Calibri" w:eastAsia="SimHei"/>
          <w:b/>
          <w:bCs/>
          <w:color w:val="E26A2C"/>
          <w:sz w:val="22"/>
          <w:szCs w:val="22"/>
        </w:rPr>
        <w:t xml:space="preserve">1. </w:t>
      </w:r>
      <w:r>
        <w:rPr>
          <w:rFonts w:ascii="Calibri" w:eastAsia="SimHei"/>
          <w:b/>
          <w:bCs/>
          <w:color w:val="0B2C4B"/>
          <w:sz w:val="22"/>
          <w:szCs w:val="22"/>
        </w:rPr>
        <w:t xml:space="preserve">ESP32 DevKit (Wi-Fi + Bluetooth integrados) — </w:t>
      </w:r>
      <w:r>
        <w:rPr>
          <w:rFonts w:ascii="Calibri" w:eastAsia="Microsoft YaHei"/>
          <w:color w:val="1F2937"/>
          <w:sz w:val="22"/>
          <w:szCs w:val="22"/>
        </w:rPr>
        <w:t xml:space="preserve">1 unidad — </w:t>
      </w:r>
      <w:r>
        <w:rPr>
          <w:rFonts w:ascii="Calibri" w:eastAsia="Microsoft YaHei"/>
          <w:color w:val="1F2937"/>
          <w:sz w:val="22"/>
          <w:szCs w:val="22"/>
        </w:rPr>
        <w:t xml:space="preserve">Microcontrolador principal; detecta señales inalámbricas y procesa la estimación de ocupación. </w:t>
      </w:r>
      <w:r>
        <w:rPr>
          <w:rFonts w:ascii="Calibri" w:eastAsia="Microsoft YaHei"/>
          <w:i/>
          <w:iCs/>
          <w:color w:val="6B7280"/>
          <w:sz w:val="22"/>
          <w:szCs w:val="22"/>
        </w:rPr>
        <w:t xml:space="preserve">Precio: </w:t>
      </w:r>
      <w:r>
        <w:rPr>
          <w:rFonts w:ascii="Calibri" w:eastAsia="SimHei"/>
          <w:b/>
          <w:bCs/>
          <w:color w:val="E26A2C"/>
          <w:sz w:val="22"/>
          <w:szCs w:val="22"/>
        </w:rPr>
        <w:t xml:space="preserve">$8 – $10</w:t>
      </w:r>
    </w:p>
    <w:p>
      <w:pPr>
        <w:spacing w:after="40" w:before="140" w:line="360"/>
        <w:ind w:left="480" w:hanging="480"/>
        <w:jc w:val="both"/>
      </w:pPr>
      <w:r>
        <w:rPr>
          <w:rFonts w:ascii="Calibri" w:eastAsia="SimHei"/>
          <w:b/>
          <w:bCs/>
          <w:color w:val="E26A2C"/>
          <w:sz w:val="22"/>
          <w:szCs w:val="22"/>
        </w:rPr>
        <w:t xml:space="preserve">2. </w:t>
      </w:r>
      <w:r>
        <w:rPr>
          <w:rFonts w:ascii="Calibri" w:eastAsia="SimHei"/>
          <w:b/>
          <w:bCs/>
          <w:color w:val="0B2C4B"/>
          <w:sz w:val="22"/>
          <w:szCs w:val="22"/>
        </w:rPr>
        <w:t xml:space="preserve">Módulo LoRa SX1278 (433 MHz) — </w:t>
      </w:r>
      <w:r>
        <w:rPr>
          <w:rFonts w:ascii="Calibri" w:eastAsia="Microsoft YaHei"/>
          <w:color w:val="1F2937"/>
          <w:sz w:val="22"/>
          <w:szCs w:val="22"/>
        </w:rPr>
        <w:t xml:space="preserve">1 unidad — </w:t>
      </w:r>
      <w:r>
        <w:rPr>
          <w:rFonts w:ascii="Calibri" w:eastAsia="Microsoft YaHei"/>
          <w:color w:val="1F2937"/>
          <w:sz w:val="22"/>
          <w:szCs w:val="22"/>
        </w:rPr>
        <w:t xml:space="preserve">Comunicación de bajo consumo entre el nodo y la estación receptora, sin depender de redes convencionales. </w:t>
      </w:r>
      <w:r>
        <w:rPr>
          <w:rFonts w:ascii="Calibri" w:eastAsia="Microsoft YaHei"/>
          <w:i/>
          <w:iCs/>
          <w:color w:val="6B7280"/>
          <w:sz w:val="22"/>
          <w:szCs w:val="22"/>
        </w:rPr>
        <w:t xml:space="preserve">Precio: </w:t>
      </w:r>
      <w:r>
        <w:rPr>
          <w:rFonts w:ascii="Calibri" w:eastAsia="SimHei"/>
          <w:b/>
          <w:bCs/>
          <w:color w:val="E26A2C"/>
          <w:sz w:val="22"/>
          <w:szCs w:val="22"/>
        </w:rPr>
        <w:t xml:space="preserve">$5 – $8</w:t>
      </w:r>
    </w:p>
    <w:p>
      <w:pPr>
        <w:spacing w:after="40" w:before="140" w:line="360"/>
        <w:ind w:left="480" w:hanging="480"/>
        <w:jc w:val="both"/>
      </w:pPr>
      <w:r>
        <w:rPr>
          <w:rFonts w:ascii="Calibri" w:eastAsia="SimHei"/>
          <w:b/>
          <w:bCs/>
          <w:color w:val="E26A2C"/>
          <w:sz w:val="22"/>
          <w:szCs w:val="22"/>
        </w:rPr>
        <w:t xml:space="preserve">3. </w:t>
      </w:r>
      <w:r>
        <w:rPr>
          <w:rFonts w:ascii="Calibri" w:eastAsia="SimHei"/>
          <w:b/>
          <w:bCs/>
          <w:color w:val="0B2C4B"/>
          <w:sz w:val="22"/>
          <w:szCs w:val="22"/>
        </w:rPr>
        <w:t xml:space="preserve">Batería de litio 18650 (3.000 mAh) — </w:t>
      </w:r>
      <w:r>
        <w:rPr>
          <w:rFonts w:ascii="Calibri" w:eastAsia="Microsoft YaHei"/>
          <w:color w:val="1F2937"/>
          <w:sz w:val="22"/>
          <w:szCs w:val="22"/>
        </w:rPr>
        <w:t xml:space="preserve">1 unidad — </w:t>
      </w:r>
      <w:r>
        <w:rPr>
          <w:rFonts w:ascii="Calibri" w:eastAsia="Microsoft YaHei"/>
          <w:color w:val="1F2937"/>
          <w:sz w:val="22"/>
          <w:szCs w:val="22"/>
        </w:rPr>
        <w:t xml:space="preserve">Respaldo de energía para mantener el registro durante cortes eléctricos prolongados. </w:t>
      </w:r>
      <w:r>
        <w:rPr>
          <w:rFonts w:ascii="Calibri" w:eastAsia="Microsoft YaHei"/>
          <w:i/>
          <w:iCs/>
          <w:color w:val="6B7280"/>
          <w:sz w:val="22"/>
          <w:szCs w:val="22"/>
        </w:rPr>
        <w:t xml:space="preserve">Precio: </w:t>
      </w:r>
      <w:r>
        <w:rPr>
          <w:rFonts w:ascii="Calibri" w:eastAsia="SimHei"/>
          <w:b/>
          <w:bCs/>
          <w:color w:val="E26A2C"/>
          <w:sz w:val="22"/>
          <w:szCs w:val="22"/>
        </w:rPr>
        <w:t xml:space="preserve">$5 – $7</w:t>
      </w:r>
    </w:p>
    <w:p>
      <w:pPr>
        <w:spacing w:after="40" w:before="140" w:line="360"/>
        <w:ind w:left="480" w:hanging="480"/>
        <w:jc w:val="both"/>
      </w:pPr>
      <w:r>
        <w:rPr>
          <w:rFonts w:ascii="Calibri" w:eastAsia="SimHei"/>
          <w:b/>
          <w:bCs/>
          <w:color w:val="E26A2C"/>
          <w:sz w:val="22"/>
          <w:szCs w:val="22"/>
        </w:rPr>
        <w:t xml:space="preserve">4. </w:t>
      </w:r>
      <w:r>
        <w:rPr>
          <w:rFonts w:ascii="Calibri" w:eastAsia="SimHei"/>
          <w:b/>
          <w:bCs/>
          <w:color w:val="0B2C4B"/>
          <w:sz w:val="22"/>
          <w:szCs w:val="22"/>
        </w:rPr>
        <w:t xml:space="preserve">Panel solar 5 W / 5 V — </w:t>
      </w:r>
      <w:r>
        <w:rPr>
          <w:rFonts w:ascii="Calibri" w:eastAsia="Microsoft YaHei"/>
          <w:color w:val="1F2937"/>
          <w:sz w:val="22"/>
          <w:szCs w:val="22"/>
        </w:rPr>
        <w:t xml:space="preserve">1 unidad — </w:t>
      </w:r>
      <w:r>
        <w:rPr>
          <w:rFonts w:ascii="Calibri" w:eastAsia="Microsoft YaHei"/>
          <w:color w:val="1F2937"/>
          <w:sz w:val="22"/>
          <w:szCs w:val="22"/>
        </w:rPr>
        <w:t xml:space="preserve">Autonomía sostenida del nodo en puntos elevados sin acceso a la red eléctrica. </w:t>
      </w:r>
      <w:r>
        <w:rPr>
          <w:rFonts w:ascii="Calibri" w:eastAsia="Microsoft YaHei"/>
          <w:i/>
          <w:iCs/>
          <w:color w:val="6B7280"/>
          <w:sz w:val="22"/>
          <w:szCs w:val="22"/>
        </w:rPr>
        <w:t xml:space="preserve">Precio: </w:t>
      </w:r>
      <w:r>
        <w:rPr>
          <w:rFonts w:ascii="Calibri" w:eastAsia="SimHei"/>
          <w:b/>
          <w:bCs/>
          <w:color w:val="E26A2C"/>
          <w:sz w:val="22"/>
          <w:szCs w:val="22"/>
        </w:rPr>
        <w:t xml:space="preserve">$6 – $9</w:t>
      </w:r>
    </w:p>
    <w:p>
      <w:pPr>
        <w:spacing w:after="40" w:before="140" w:line="360"/>
        <w:ind w:left="480" w:hanging="480"/>
        <w:jc w:val="both"/>
      </w:pPr>
      <w:r>
        <w:rPr>
          <w:rFonts w:ascii="Calibri" w:eastAsia="SimHei"/>
          <w:b/>
          <w:bCs/>
          <w:color w:val="E26A2C"/>
          <w:sz w:val="22"/>
          <w:szCs w:val="22"/>
        </w:rPr>
        <w:t xml:space="preserve">5. </w:t>
      </w:r>
      <w:r>
        <w:rPr>
          <w:rFonts w:ascii="Calibri" w:eastAsia="SimHei"/>
          <w:b/>
          <w:bCs/>
          <w:color w:val="0B2C4B"/>
          <w:sz w:val="22"/>
          <w:szCs w:val="22"/>
        </w:rPr>
        <w:t xml:space="preserve">Caja triangular en PLA+ (impresión 3D) — </w:t>
      </w:r>
      <w:r>
        <w:rPr>
          <w:rFonts w:ascii="Calibri" w:eastAsia="Microsoft YaHei"/>
          <w:color w:val="1F2937"/>
          <w:sz w:val="22"/>
          <w:szCs w:val="22"/>
        </w:rPr>
        <w:t xml:space="preserve">1 unidad — </w:t>
      </w:r>
      <w:r>
        <w:rPr>
          <w:rFonts w:ascii="Calibri" w:eastAsia="Microsoft YaHei"/>
          <w:color w:val="1F2937"/>
          <w:sz w:val="22"/>
          <w:szCs w:val="22"/>
        </w:rPr>
        <w:t xml:space="preserve">Estructura protectora del prototipo; diseño triangular para resistencia y orientación de antena. </w:t>
      </w:r>
      <w:r>
        <w:rPr>
          <w:rFonts w:ascii="Calibri" w:eastAsia="Microsoft YaHei"/>
          <w:i/>
          <w:iCs/>
          <w:color w:val="6B7280"/>
          <w:sz w:val="22"/>
          <w:szCs w:val="22"/>
        </w:rPr>
        <w:t xml:space="preserve">Precio: </w:t>
      </w:r>
      <w:r>
        <w:rPr>
          <w:rFonts w:ascii="Calibri" w:eastAsia="SimHei"/>
          <w:b/>
          <w:bCs/>
          <w:color w:val="E26A2C"/>
          <w:sz w:val="22"/>
          <w:szCs w:val="22"/>
        </w:rPr>
        <w:t xml:space="preserve">$3 – $5</w:t>
      </w:r>
    </w:p>
    <w:p>
      <w:pPr>
        <w:spacing w:after="40" w:before="140" w:line="360"/>
        <w:ind w:left="480" w:hanging="480"/>
        <w:jc w:val="both"/>
      </w:pPr>
      <w:r>
        <w:rPr>
          <w:rFonts w:ascii="Calibri" w:eastAsia="SimHei"/>
          <w:b/>
          <w:bCs/>
          <w:color w:val="E26A2C"/>
          <w:sz w:val="22"/>
          <w:szCs w:val="22"/>
        </w:rPr>
        <w:t xml:space="preserve">6. </w:t>
      </w:r>
      <w:r>
        <w:rPr>
          <w:rFonts w:ascii="Calibri" w:eastAsia="SimHei"/>
          <w:b/>
          <w:bCs/>
          <w:color w:val="0B2C4B"/>
          <w:sz w:val="22"/>
          <w:szCs w:val="22"/>
        </w:rPr>
        <w:t xml:space="preserve">Tapa protectora impresa en 3D — </w:t>
      </w:r>
      <w:r>
        <w:rPr>
          <w:rFonts w:ascii="Calibri" w:eastAsia="Microsoft YaHei"/>
          <w:color w:val="1F2937"/>
          <w:sz w:val="22"/>
          <w:szCs w:val="22"/>
        </w:rPr>
        <w:t xml:space="preserve">1 unidad — </w:t>
      </w:r>
      <w:r>
        <w:rPr>
          <w:rFonts w:ascii="Calibri" w:eastAsia="Microsoft YaHei"/>
          <w:color w:val="1F2937"/>
          <w:sz w:val="22"/>
          <w:szCs w:val="22"/>
        </w:rPr>
        <w:t xml:space="preserve">Cubre y protege los componentes internos de golpes, lluvia y manipulación accidental. </w:t>
      </w:r>
      <w:r>
        <w:rPr>
          <w:rFonts w:ascii="Calibri" w:eastAsia="Microsoft YaHei"/>
          <w:i/>
          <w:iCs/>
          <w:color w:val="6B7280"/>
          <w:sz w:val="22"/>
          <w:szCs w:val="22"/>
        </w:rPr>
        <w:t xml:space="preserve">Precio: </w:t>
      </w:r>
      <w:r>
        <w:rPr>
          <w:rFonts w:ascii="Calibri" w:eastAsia="SimHei"/>
          <w:b/>
          <w:bCs/>
          <w:color w:val="E26A2C"/>
          <w:sz w:val="22"/>
          <w:szCs w:val="22"/>
        </w:rPr>
        <w:t xml:space="preserve">$2 – $3</w:t>
      </w:r>
    </w:p>
    <w:p>
      <w:pPr>
        <w:spacing w:after="40" w:before="140" w:line="360"/>
        <w:ind w:left="480" w:hanging="480"/>
        <w:jc w:val="both"/>
      </w:pPr>
      <w:r>
        <w:rPr>
          <w:rFonts w:ascii="Calibri" w:eastAsia="SimHei"/>
          <w:b/>
          <w:bCs/>
          <w:color w:val="E26A2C"/>
          <w:sz w:val="22"/>
          <w:szCs w:val="22"/>
        </w:rPr>
        <w:t xml:space="preserve">7. </w:t>
      </w:r>
      <w:r>
        <w:rPr>
          <w:rFonts w:ascii="Calibri" w:eastAsia="SimHei"/>
          <w:b/>
          <w:bCs/>
          <w:color w:val="0B2C4B"/>
          <w:sz w:val="22"/>
          <w:szCs w:val="22"/>
        </w:rPr>
        <w:t xml:space="preserve">PCB protoboard o PCB personalizado — </w:t>
      </w:r>
      <w:r>
        <w:rPr>
          <w:rFonts w:ascii="Calibri" w:eastAsia="Microsoft YaHei"/>
          <w:color w:val="1F2937"/>
          <w:sz w:val="22"/>
          <w:szCs w:val="22"/>
        </w:rPr>
        <w:t xml:space="preserve">1 unidad — </w:t>
      </w:r>
      <w:r>
        <w:rPr>
          <w:rFonts w:ascii="Calibri" w:eastAsia="Microsoft YaHei"/>
          <w:color w:val="1F2937"/>
          <w:sz w:val="22"/>
          <w:szCs w:val="22"/>
        </w:rPr>
        <w:t xml:space="preserve">Soporte de conexión entre el ESP32, el LoRa, la batería y el panel solar. </w:t>
      </w:r>
      <w:r>
        <w:rPr>
          <w:rFonts w:ascii="Calibri" w:eastAsia="Microsoft YaHei"/>
          <w:i/>
          <w:iCs/>
          <w:color w:val="6B7280"/>
          <w:sz w:val="22"/>
          <w:szCs w:val="22"/>
        </w:rPr>
        <w:t xml:space="preserve">Precio: </w:t>
      </w:r>
      <w:r>
        <w:rPr>
          <w:rFonts w:ascii="Calibri" w:eastAsia="SimHei"/>
          <w:b/>
          <w:bCs/>
          <w:color w:val="E26A2C"/>
          <w:sz w:val="22"/>
          <w:szCs w:val="22"/>
        </w:rPr>
        <w:t xml:space="preserve">$2 – $4</w:t>
      </w:r>
    </w:p>
    <w:p>
      <w:pPr>
        <w:spacing w:after="40" w:before="140" w:line="360"/>
        <w:ind w:left="480" w:hanging="480"/>
        <w:jc w:val="both"/>
      </w:pPr>
      <w:r>
        <w:rPr>
          <w:rFonts w:ascii="Calibri" w:eastAsia="SimHei"/>
          <w:b/>
          <w:bCs/>
          <w:color w:val="E26A2C"/>
          <w:sz w:val="22"/>
          <w:szCs w:val="22"/>
        </w:rPr>
        <w:t xml:space="preserve">8. </w:t>
      </w:r>
      <w:r>
        <w:rPr>
          <w:rFonts w:ascii="Calibri" w:eastAsia="SimHei"/>
          <w:b/>
          <w:bCs/>
          <w:color w:val="0B2C4B"/>
          <w:sz w:val="22"/>
          <w:szCs w:val="22"/>
        </w:rPr>
        <w:t xml:space="preserve">Cables, conectores y soldadura — </w:t>
      </w:r>
      <w:r>
        <w:rPr>
          <w:rFonts w:ascii="Calibri" w:eastAsia="Microsoft YaHei"/>
          <w:color w:val="1F2937"/>
          <w:sz w:val="22"/>
          <w:szCs w:val="22"/>
        </w:rPr>
        <w:t xml:space="preserve">1 set — </w:t>
      </w:r>
      <w:r>
        <w:rPr>
          <w:rFonts w:ascii="Calibri" w:eastAsia="Microsoft YaHei"/>
          <w:color w:val="1F2937"/>
          <w:sz w:val="22"/>
          <w:szCs w:val="22"/>
        </w:rPr>
        <w:t xml:space="preserve">Conexiones eléctricas internas y encapsulado básico del nodo. </w:t>
      </w:r>
      <w:r>
        <w:rPr>
          <w:rFonts w:ascii="Calibri" w:eastAsia="Microsoft YaHei"/>
          <w:i/>
          <w:iCs/>
          <w:color w:val="6B7280"/>
          <w:sz w:val="22"/>
          <w:szCs w:val="22"/>
        </w:rPr>
        <w:t xml:space="preserve">Precio: </w:t>
      </w:r>
      <w:r>
        <w:rPr>
          <w:rFonts w:ascii="Calibri" w:eastAsia="SimHei"/>
          <w:b/>
          <w:bCs/>
          <w:color w:val="E26A2C"/>
          <w:sz w:val="22"/>
          <w:szCs w:val="22"/>
        </w:rPr>
        <w:t xml:space="preserve">$2 – $3</w:t>
      </w:r>
    </w:p>
    <w:p>
      <w:pPr>
        <w:spacing w:after="40" w:before="140" w:line="360"/>
        <w:ind w:left="480" w:hanging="480"/>
        <w:jc w:val="both"/>
      </w:pPr>
      <w:r>
        <w:rPr>
          <w:rFonts w:ascii="Calibri" w:eastAsia="SimHei"/>
          <w:b/>
          <w:bCs/>
          <w:color w:val="E26A2C"/>
          <w:sz w:val="22"/>
          <w:szCs w:val="22"/>
        </w:rPr>
        <w:t xml:space="preserve">9. </w:t>
      </w:r>
      <w:r>
        <w:rPr>
          <w:rFonts w:ascii="Calibri" w:eastAsia="SimHei"/>
          <w:b/>
          <w:bCs/>
          <w:color w:val="0B2C4B"/>
          <w:sz w:val="22"/>
          <w:szCs w:val="22"/>
        </w:rPr>
        <w:t xml:space="preserve">Sensor de nivel de agua (opcional) — </w:t>
      </w:r>
      <w:r>
        <w:rPr>
          <w:rFonts w:ascii="Calibri" w:eastAsia="Microsoft YaHei"/>
          <w:color w:val="1F2937"/>
          <w:sz w:val="22"/>
          <w:szCs w:val="22"/>
        </w:rPr>
        <w:t xml:space="preserve">1 unidad — </w:t>
      </w:r>
      <w:r>
        <w:rPr>
          <w:rFonts w:ascii="Calibri" w:eastAsia="Microsoft YaHei"/>
          <w:color w:val="1F2937"/>
          <w:sz w:val="22"/>
          <w:szCs w:val="22"/>
        </w:rPr>
        <w:t xml:space="preserve">Cruza la ocupación estimada con riesgo de inundación activa por sector. </w:t>
      </w:r>
      <w:r>
        <w:rPr>
          <w:rFonts w:ascii="Calibri" w:eastAsia="Microsoft YaHei"/>
          <w:i/>
          <w:iCs/>
          <w:color w:val="6B7280"/>
          <w:sz w:val="22"/>
          <w:szCs w:val="22"/>
        </w:rPr>
        <w:t xml:space="preserve">Precio: </w:t>
      </w:r>
      <w:r>
        <w:rPr>
          <w:rFonts w:ascii="Calibri" w:eastAsia="SimHei"/>
          <w:b/>
          <w:bCs/>
          <w:color w:val="E26A2C"/>
          <w:sz w:val="22"/>
          <w:szCs w:val="22"/>
        </w:rPr>
        <w:t xml:space="preserve">$3 – $5</w:t>
      </w:r>
    </w:p>
    <w:p>
      <w:pPr>
        <w:spacing w:after="40" w:before="140" w:line="360"/>
        <w:ind w:left="480" w:hanging="480"/>
        <w:jc w:val="both"/>
      </w:pPr>
      <w:r>
        <w:rPr>
          <w:rFonts w:ascii="Calibri" w:eastAsia="SimHei"/>
          <w:b/>
          <w:bCs/>
          <w:color w:val="E26A2C"/>
          <w:sz w:val="22"/>
          <w:szCs w:val="22"/>
        </w:rPr>
        <w:t xml:space="preserve">10. </w:t>
      </w:r>
      <w:r>
        <w:rPr>
          <w:rFonts w:ascii="Calibri" w:eastAsia="SimHei"/>
          <w:b/>
          <w:bCs/>
          <w:color w:val="0B2C4B"/>
          <w:sz w:val="22"/>
          <w:szCs w:val="22"/>
        </w:rPr>
        <w:t xml:space="preserve">Sensor de lluvia (opcional) — </w:t>
      </w:r>
      <w:r>
        <w:rPr>
          <w:rFonts w:ascii="Calibri" w:eastAsia="Microsoft YaHei"/>
          <w:color w:val="1F2937"/>
          <w:sz w:val="22"/>
          <w:szCs w:val="22"/>
        </w:rPr>
        <w:t xml:space="preserve">1 unidad — </w:t>
      </w:r>
      <w:r>
        <w:rPr>
          <w:rFonts w:ascii="Calibri" w:eastAsia="Microsoft YaHei"/>
          <w:color w:val="1F2937"/>
          <w:sz w:val="22"/>
          <w:szCs w:val="22"/>
        </w:rPr>
        <w:t xml:space="preserve">Complementa los datos ambientales para priorizar evacuaciones preventivas. </w:t>
      </w:r>
      <w:r>
        <w:rPr>
          <w:rFonts w:ascii="Calibri" w:eastAsia="Microsoft YaHei"/>
          <w:i/>
          <w:iCs/>
          <w:color w:val="6B7280"/>
          <w:sz w:val="22"/>
          <w:szCs w:val="22"/>
        </w:rPr>
        <w:t xml:space="preserve">Precio: </w:t>
      </w:r>
      <w:r>
        <w:rPr>
          <w:rFonts w:ascii="Calibri" w:eastAsia="SimHei"/>
          <w:b/>
          <w:bCs/>
          <w:color w:val="E26A2C"/>
          <w:sz w:val="22"/>
          <w:szCs w:val="22"/>
        </w:rPr>
        <w:t xml:space="preserve">$2 – $4</w:t>
      </w:r>
    </w:p>
    <w:p>
      <w:pPr>
        <w:spacing w:after="120" w:before="200" w:line="360"/>
        <w:ind w:left="480" w:hanging="480"/>
        <w:jc w:val="both"/>
      </w:pPr>
      <w:r>
        <w:rPr>
          <w:rFonts w:ascii="Calibri" w:eastAsia="SimHei"/>
          <w:b/>
          <w:bCs/>
          <w:color w:val="0B2C4B"/>
          <w:sz w:val="24"/>
          <w:szCs w:val="24"/>
        </w:rPr>
        <w:t xml:space="preserve">Total estimado por nodo (incluye sensores opcionales): </w:t>
      </w:r>
      <w:r>
        <w:rPr>
          <w:rFonts w:ascii="Calibri" w:eastAsia="SimHei"/>
          <w:b/>
          <w:bCs/>
          <w:color w:val="E26A2C"/>
          <w:sz w:val="26"/>
          <w:szCs w:val="26"/>
        </w:rPr>
        <w:t xml:space="preserve">$38 – $58 USD</w:t>
      </w:r>
    </w:p>
    <w:p>
      <w:pPr>
        <w:spacing w:after="200" w:before="0" w:line="320"/>
        <w:jc w:val="both"/>
      </w:pPr>
      <w:r>
        <w:rPr>
          <w:rFonts w:ascii="Calibri" w:eastAsia="Microsoft YaHei"/>
          <w:b w:val="false"/>
          <w:bCs w:val="false"/>
          <w:i/>
          <w:iCs/>
          <w:color w:val="6B7280"/>
          <w:sz w:val="20"/>
          <w:szCs w:val="20"/>
        </w:rPr>
        <w:t xml:space="preserve">La estación receptora (Raspberry Pi 4 o ESP32 con módulo LoRa) recopila los datos de todos los nodos y los sincroniza con la plataforma SINAPRED cuando recupera conexión a internet. Su costo se contempla aparte del nodo y puede atender una red de hasta 20 nodos, lo que reduce el costo unitario efectivo cuando se despliega a escala.</w:t>
      </w:r>
    </w:p>
    <w:p>
      <w:pPr>
        <w:pStyle w:val="Heading2"/>
        <w:spacing w:after="100" w:before="320" w:line="312"/>
        <w:jc w:val="left"/>
      </w:pPr>
      <w:r>
        <w:rPr>
          <w:rFonts w:ascii="Calibri" w:eastAsia="SimHei"/>
          <w:b/>
          <w:bCs/>
          <w:color w:val="0B2C4B"/>
          <w:sz w:val="30"/>
          <w:szCs w:val="30"/>
        </w:rPr>
        <w:t xml:space="preserve">3. Estadísticas de Respaldo y Fuentes Verificables</w:t>
      </w:r>
    </w:p>
    <w:p>
      <w:pPr>
        <w:spacing w:after="200" w:before="0" w:line="360"/>
        <w:jc w:val="both"/>
      </w:pPr>
      <w:r>
        <w:rPr>
          <w:rFonts w:ascii="Calibri" w:eastAsia="Microsoft YaHei"/>
          <w:b w:val="false"/>
          <w:bCs w:val="false"/>
          <w:i w:val="false"/>
          <w:iCs w:val="false"/>
          <w:color w:val="1F2937"/>
          <w:sz w:val="22"/>
          <w:szCs w:val="22"/>
        </w:rPr>
        <w:t xml:space="preserve">Cada cifra citada en la narración proviene de fuentes oficiales o académicas verificables. Se recomienda al equipo de producción mantener los enlaces y referencias documentales disponibles para el jurado evaluador, en caso de solicitar la sustentación estadística del video.</w:t>
      </w:r>
    </w:p>
    <w:p>
      <w:pPr>
        <w:spacing w:after="40" w:before="0" w:line="360"/>
        <w:ind w:left="480" w:hanging="480"/>
        <w:jc w:val="both"/>
      </w:pPr>
      <w:r>
        <w:rPr>
          <w:rFonts w:ascii="Calibri" w:eastAsia="SimHei"/>
          <w:b/>
          <w:bCs/>
          <w:color w:val="E26A2C"/>
          <w:sz w:val="22"/>
          <w:szCs w:val="22"/>
        </w:rPr>
        <w:t xml:space="preserve">1. </w:t>
      </w:r>
      <w:r>
        <w:rPr>
          <w:rFonts w:ascii="Calibri" w:eastAsia="SimHei"/>
          <w:b/>
          <w:bCs/>
          <w:color w:val="0B2C4B"/>
          <w:sz w:val="22"/>
          <w:szCs w:val="22"/>
        </w:rPr>
        <w:t xml:space="preserve">45,000+ muertos — </w:t>
      </w:r>
      <w:r>
        <w:rPr>
          <w:rFonts w:ascii="Calibri" w:eastAsia="Microsoft YaHei"/>
          <w:color w:val="1F2937"/>
          <w:sz w:val="22"/>
          <w:szCs w:val="22"/>
        </w:rPr>
        <w:t xml:space="preserve">por desastres naturales en Latinoamérica y el Caribe en la última década del siglo XX.</w:t>
      </w:r>
    </w:p>
    <w:p>
      <w:pPr>
        <w:spacing w:after="40" w:before="0" w:line="320"/>
        <w:ind w:left="720"/>
        <w:jc w:val="left"/>
      </w:pPr>
      <w:r>
        <w:rPr>
          <w:rFonts w:ascii="Calibri" w:eastAsia="Microsoft YaHei"/>
          <w:i/>
          <w:iCs/>
          <w:color w:val="6B7280"/>
          <w:sz w:val="20"/>
          <w:szCs w:val="20"/>
        </w:rPr>
        <w:t xml:space="preserve">Fuente: </w:t>
      </w:r>
      <w:r>
        <w:rPr>
          <w:rFonts w:ascii="Calibri" w:eastAsia="Microsoft YaHei"/>
          <w:i/>
          <w:iCs/>
          <w:color w:val="6B7280"/>
          <w:sz w:val="20"/>
          <w:szCs w:val="20"/>
        </w:rPr>
        <w:t xml:space="preserve">Banco Interamericano de Desarrollo — Facing the Challenge of Natural Disasters in Latin America and the Caribbean (2000).</w:t>
      </w:r>
    </w:p>
    <w:p>
      <w:pPr>
        <w:spacing w:after="40" w:before="160" w:line="360"/>
        <w:ind w:left="480" w:hanging="480"/>
        <w:jc w:val="both"/>
      </w:pPr>
      <w:r>
        <w:rPr>
          <w:rFonts w:ascii="Calibri" w:eastAsia="SimHei"/>
          <w:b/>
          <w:bCs/>
          <w:color w:val="E26A2C"/>
          <w:sz w:val="22"/>
          <w:szCs w:val="22"/>
        </w:rPr>
        <w:t xml:space="preserve">2. </w:t>
      </w:r>
      <w:r>
        <w:rPr>
          <w:rFonts w:ascii="Calibri" w:eastAsia="SimHei"/>
          <w:b/>
          <w:bCs/>
          <w:color w:val="0B2C4B"/>
          <w:sz w:val="22"/>
          <w:szCs w:val="22"/>
        </w:rPr>
        <w:t xml:space="preserve">190 millones de afectados — </w:t>
      </w:r>
      <w:r>
        <w:rPr>
          <w:rFonts w:ascii="Calibri" w:eastAsia="Microsoft YaHei"/>
          <w:color w:val="1F2937"/>
          <w:sz w:val="22"/>
          <w:szCs w:val="22"/>
        </w:rPr>
        <w:t xml:space="preserve">por desastres en Latinoamérica y el Caribe desde el año 2000; tres de cada diez personas en la región han sido impactadas.</w:t>
      </w:r>
    </w:p>
    <w:p>
      <w:pPr>
        <w:spacing w:after="40" w:before="0" w:line="320"/>
        <w:ind w:left="720"/>
        <w:jc w:val="left"/>
      </w:pPr>
      <w:r>
        <w:rPr>
          <w:rFonts w:ascii="Calibri" w:eastAsia="Microsoft YaHei"/>
          <w:i/>
          <w:iCs/>
          <w:color w:val="6B7280"/>
          <w:sz w:val="20"/>
          <w:szCs w:val="20"/>
        </w:rPr>
        <w:t xml:space="preserve">Fuente: </w:t>
      </w:r>
      <w:r>
        <w:rPr>
          <w:rFonts w:ascii="Calibri" w:eastAsia="Microsoft YaHei"/>
          <w:i/>
          <w:iCs/>
          <w:color w:val="6B7280"/>
          <w:sz w:val="20"/>
          <w:szCs w:val="20"/>
        </w:rPr>
        <w:t xml:space="preserve">UNDRR — Overview of Disasters in Latin America and the Caribbean (2023).</w:t>
      </w:r>
    </w:p>
    <w:p>
      <w:pPr>
        <w:spacing w:after="40" w:before="160" w:line="360"/>
        <w:ind w:left="480" w:hanging="480"/>
        <w:jc w:val="both"/>
      </w:pPr>
      <w:r>
        <w:rPr>
          <w:rFonts w:ascii="Calibri" w:eastAsia="SimHei"/>
          <w:b/>
          <w:bCs/>
          <w:color w:val="E26A2C"/>
          <w:sz w:val="22"/>
          <w:szCs w:val="22"/>
        </w:rPr>
        <w:t xml:space="preserve">3. </w:t>
      </w:r>
      <w:r>
        <w:rPr>
          <w:rFonts w:ascii="Calibri" w:eastAsia="SimHei"/>
          <w:b/>
          <w:bCs/>
          <w:color w:val="0B2C4B"/>
          <w:sz w:val="22"/>
          <w:szCs w:val="22"/>
        </w:rPr>
        <w:t xml:space="preserve">3,800+ muertos en Nicaragua — </w:t>
      </w:r>
      <w:r>
        <w:rPr>
          <w:rFonts w:ascii="Calibri" w:eastAsia="Microsoft YaHei"/>
          <w:color w:val="1F2937"/>
          <w:sz w:val="22"/>
          <w:szCs w:val="22"/>
        </w:rPr>
        <w:t xml:space="preserve">por el huracán Mitch en 1998 (aproximadamente 11,000 en toda Centroamérica y 11,000 desaparecidos).</w:t>
      </w:r>
    </w:p>
    <w:p>
      <w:pPr>
        <w:spacing w:after="40" w:before="0" w:line="320"/>
        <w:ind w:left="720"/>
        <w:jc w:val="left"/>
      </w:pPr>
      <w:r>
        <w:rPr>
          <w:rFonts w:ascii="Calibri" w:eastAsia="Microsoft YaHei"/>
          <w:i/>
          <w:iCs/>
          <w:color w:val="6B7280"/>
          <w:sz w:val="20"/>
          <w:szCs w:val="20"/>
        </w:rPr>
        <w:t xml:space="preserve">Fuente: </w:t>
      </w:r>
      <w:r>
        <w:rPr>
          <w:rFonts w:ascii="Calibri" w:eastAsia="Microsoft YaHei"/>
          <w:i/>
          <w:iCs/>
          <w:color w:val="6B7280"/>
          <w:sz w:val="20"/>
          <w:szCs w:val="20"/>
        </w:rPr>
        <w:t xml:space="preserve">NOAA / NHC y ReliefWeb — Hurricane Mitch disaster summary (1998).</w:t>
      </w:r>
    </w:p>
    <w:p>
      <w:pPr>
        <w:spacing w:after="40" w:before="160" w:line="360"/>
        <w:ind w:left="480" w:hanging="480"/>
        <w:jc w:val="both"/>
      </w:pPr>
      <w:r>
        <w:rPr>
          <w:rFonts w:ascii="Calibri" w:eastAsia="SimHei"/>
          <w:b/>
          <w:bCs/>
          <w:color w:val="E26A2C"/>
          <w:sz w:val="22"/>
          <w:szCs w:val="22"/>
        </w:rPr>
        <w:t xml:space="preserve">4. </w:t>
      </w:r>
      <w:r>
        <w:rPr>
          <w:rFonts w:ascii="Calibri" w:eastAsia="SimHei"/>
          <w:b/>
          <w:bCs/>
          <w:color w:val="0B2C4B"/>
          <w:sz w:val="22"/>
          <w:szCs w:val="22"/>
        </w:rPr>
        <w:t xml:space="preserve">28 muertos en Nicaragua — </w:t>
      </w:r>
      <w:r>
        <w:rPr>
          <w:rFonts w:ascii="Calibri" w:eastAsia="Microsoft YaHei"/>
          <w:color w:val="1F2937"/>
          <w:sz w:val="22"/>
          <w:szCs w:val="22"/>
        </w:rPr>
        <w:t xml:space="preserve">por el huracán Iota en 2020 (67 muertos en total en la región); Eta e Iota afectaron a 2.5 millones de personas en Nicaragua.</w:t>
      </w:r>
    </w:p>
    <w:p>
      <w:pPr>
        <w:spacing w:after="40" w:before="0" w:line="320"/>
        <w:ind w:left="720"/>
        <w:jc w:val="left"/>
      </w:pPr>
      <w:r>
        <w:rPr>
          <w:rFonts w:ascii="Calibri" w:eastAsia="Microsoft YaHei"/>
          <w:i/>
          <w:iCs/>
          <w:color w:val="6B7280"/>
          <w:sz w:val="20"/>
          <w:szCs w:val="20"/>
        </w:rPr>
        <w:t xml:space="preserve">Fuente: </w:t>
      </w:r>
      <w:r>
        <w:rPr>
          <w:rFonts w:ascii="Calibri" w:eastAsia="Microsoft YaHei"/>
          <w:i/>
          <w:iCs/>
          <w:color w:val="6B7280"/>
          <w:sz w:val="20"/>
          <w:szCs w:val="20"/>
        </w:rPr>
        <w:t xml:space="preserve">Shultz et al. — The impact of 2020 hurricanes Eta and Iota on Nicaragua (ScienceDirect, 2021) / ShelterBox / IFRC.</w:t>
      </w:r>
    </w:p>
    <w:p>
      <w:pPr>
        <w:spacing w:after="40" w:before="160" w:line="360"/>
        <w:ind w:left="480" w:hanging="480"/>
        <w:jc w:val="both"/>
      </w:pPr>
      <w:r>
        <w:rPr>
          <w:rFonts w:ascii="Calibri" w:eastAsia="SimHei"/>
          <w:b/>
          <w:bCs/>
          <w:color w:val="E26A2C"/>
          <w:sz w:val="22"/>
          <w:szCs w:val="22"/>
        </w:rPr>
        <w:t xml:space="preserve">5. </w:t>
      </w:r>
      <w:r>
        <w:rPr>
          <w:rFonts w:ascii="Calibri" w:eastAsia="SimHei"/>
          <w:b/>
          <w:bCs/>
          <w:color w:val="0B2C4B"/>
          <w:sz w:val="22"/>
          <w:szCs w:val="22"/>
        </w:rPr>
        <w:t xml:space="preserve">12 a 48 horas — </w:t>
      </w:r>
      <w:r>
        <w:rPr>
          <w:rFonts w:ascii="Calibri" w:eastAsia="Microsoft YaHei"/>
          <w:color w:val="1F2937"/>
          <w:sz w:val="22"/>
          <w:szCs w:val="22"/>
        </w:rPr>
        <w:t xml:space="preserve">tiempo típico de despliegue y obtención de información confiable tras un desastre, según equipos internacionales UNDAC.</w:t>
      </w:r>
    </w:p>
    <w:p>
      <w:pPr>
        <w:spacing w:after="40" w:before="0" w:line="320"/>
        <w:ind w:left="720"/>
        <w:jc w:val="left"/>
      </w:pPr>
      <w:r>
        <w:rPr>
          <w:rFonts w:ascii="Calibri" w:eastAsia="Microsoft YaHei"/>
          <w:i/>
          <w:iCs/>
          <w:color w:val="6B7280"/>
          <w:sz w:val="20"/>
          <w:szCs w:val="20"/>
        </w:rPr>
        <w:t xml:space="preserve">Fuente: </w:t>
      </w:r>
      <w:r>
        <w:rPr>
          <w:rFonts w:ascii="Calibri" w:eastAsia="Microsoft YaHei"/>
          <w:i/>
          <w:iCs/>
          <w:color w:val="6B7280"/>
          <w:sz w:val="20"/>
          <w:szCs w:val="20"/>
        </w:rPr>
        <w:t xml:space="preserve">OCHA / UNDAC — Crisis and Emergency Response (2023).</w:t>
      </w:r>
    </w:p>
    <w:p>
      <w:pPr>
        <w:spacing w:after="40" w:before="160" w:line="360"/>
        <w:ind w:left="480" w:hanging="480"/>
        <w:jc w:val="both"/>
      </w:pPr>
      <w:r>
        <w:rPr>
          <w:rFonts w:ascii="Calibri" w:eastAsia="SimHei"/>
          <w:b/>
          <w:bCs/>
          <w:color w:val="E26A2C"/>
          <w:sz w:val="22"/>
          <w:szCs w:val="22"/>
        </w:rPr>
        <w:t xml:space="preserve">6. </w:t>
      </w:r>
      <w:r>
        <w:rPr>
          <w:rFonts w:ascii="Calibri" w:eastAsia="SimHei"/>
          <w:b/>
          <w:bCs/>
          <w:color w:val="0B2C4B"/>
          <w:sz w:val="22"/>
          <w:szCs w:val="22"/>
        </w:rPr>
        <w:t xml:space="preserve">~80% suscripciones móviles — </w:t>
      </w:r>
      <w:r>
        <w:rPr>
          <w:rFonts w:ascii="Calibri" w:eastAsia="Microsoft YaHei"/>
          <w:color w:val="1F2937"/>
          <w:sz w:val="22"/>
          <w:szCs w:val="22"/>
        </w:rPr>
        <w:t xml:space="preserve">por habitante en Nicaragua (penetración celular, base para detectar teléfonos vía Wi-Fi/Bluetooth).</w:t>
      </w:r>
    </w:p>
    <w:p>
      <w:pPr>
        <w:spacing w:after="40" w:before="0" w:line="320"/>
        <w:ind w:left="720"/>
        <w:jc w:val="left"/>
      </w:pPr>
      <w:r>
        <w:rPr>
          <w:rFonts w:ascii="Calibri" w:eastAsia="Microsoft YaHei"/>
          <w:i/>
          <w:iCs/>
          <w:color w:val="6B7280"/>
          <w:sz w:val="20"/>
          <w:szCs w:val="20"/>
        </w:rPr>
        <w:t xml:space="preserve">Fuente: </w:t>
      </w:r>
      <w:r>
        <w:rPr>
          <w:rFonts w:ascii="Calibri" w:eastAsia="Microsoft YaHei"/>
          <w:i/>
          <w:iCs/>
          <w:color w:val="6B7280"/>
          <w:sz w:val="20"/>
          <w:szCs w:val="20"/>
        </w:rPr>
        <w:t xml:space="preserve">Banco Mundial — Mobile cellular subscriptions per 100 people (2023).</w:t>
      </w:r>
    </w:p>
    <w:p>
      <w:pPr>
        <w:pStyle w:val="Heading2"/>
        <w:spacing w:after="100" w:before="320" w:line="312"/>
        <w:jc w:val="left"/>
      </w:pPr>
      <w:r>
        <w:rPr>
          <w:rFonts w:ascii="Calibri" w:eastAsia="SimHei"/>
          <w:b/>
          <w:bCs/>
          <w:color w:val="0B2C4B"/>
          <w:sz w:val="30"/>
          <w:szCs w:val="30"/>
        </w:rPr>
        <w:t xml:space="preserve">4. Lista de Recursos Visuales a Producir</w:t>
      </w:r>
    </w:p>
    <w:p>
      <w:pPr>
        <w:spacing w:after="200" w:before="0" w:line="360"/>
        <w:jc w:val="both"/>
      </w:pPr>
      <w:r>
        <w:rPr>
          <w:rFonts w:ascii="Calibri" w:eastAsia="Microsoft YaHei"/>
          <w:b w:val="false"/>
          <w:bCs w:val="false"/>
          <w:i w:val="false"/>
          <w:iCs w:val="false"/>
          <w:color w:val="1F2937"/>
          <w:sz w:val="22"/>
          <w:szCs w:val="22"/>
        </w:rPr>
        <w:t xml:space="preserve">Checklist de materiales gráficos que el equipo debe producir para cubrir las cinco escenas del guion. Cada recurso está vinculado a una o varias escenas y debe exportarse en resolución mínima 1920×1080 con transparencia cuando aplique (PNG o secuencia de cuadros).</w:t>
      </w:r>
    </w:p>
    <w:p>
      <w:pPr>
        <w:spacing w:after="40" w:before="0" w:line="360"/>
        <w:ind w:left="480" w:hanging="480"/>
        <w:jc w:val="both"/>
      </w:pPr>
      <w:r>
        <w:rPr>
          <w:rFonts w:ascii="Calibri" w:eastAsia="SimHei"/>
          <w:b/>
          <w:bCs/>
          <w:color w:val="E26A2C"/>
          <w:sz w:val="22"/>
          <w:szCs w:val="22"/>
        </w:rPr>
        <w:t xml:space="preserve">1. </w:t>
      </w:r>
      <w:r>
        <w:rPr>
          <w:rFonts w:ascii="Calibri" w:eastAsia="Microsoft YaHei"/>
          <w:color w:val="1F2937"/>
          <w:sz w:val="22"/>
          <w:szCs w:val="22"/>
        </w:rPr>
        <w:t xml:space="preserve">Fotografía y video de archivo con licencia CC0 o Creative Commons: huracán Mitch, huracán Iota, inundaciones, deslizamientos, albergues abarrotados, Mercado Oriental y terminal de buses. Fuentes recomendadas: Pexels, Unsplash, Wikimedia Commons y ReliefWeb.</w:t>
      </w:r>
    </w:p>
    <w:p>
      <w:pPr>
        <w:spacing w:after="40" w:before="140" w:line="360"/>
        <w:ind w:left="480" w:hanging="480"/>
        <w:jc w:val="both"/>
      </w:pPr>
      <w:r>
        <w:rPr>
          <w:rFonts w:ascii="Calibri" w:eastAsia="SimHei"/>
          <w:b/>
          <w:bCs/>
          <w:color w:val="E26A2C"/>
          <w:sz w:val="22"/>
          <w:szCs w:val="22"/>
        </w:rPr>
        <w:t xml:space="preserve">2. </w:t>
      </w:r>
      <w:r>
        <w:rPr>
          <w:rFonts w:ascii="Calibri" w:eastAsia="Microsoft YaHei"/>
          <w:color w:val="1F2937"/>
          <w:sz w:val="22"/>
          <w:szCs w:val="22"/>
        </w:rPr>
        <w:t xml:space="preserve">Render 3D del prototipo triangular con tapa protectora abierta mostrando el ESP32, módulo LoRa, batería 18650, panel solar y PCB. Software sugerido: Blender con motor Cycles, exportando a PNG con transparencia o secuencia de cuadros para video.</w:t>
      </w:r>
    </w:p>
    <w:p>
      <w:pPr>
        <w:spacing w:after="40" w:before="140" w:line="360"/>
        <w:ind w:left="480" w:hanging="480"/>
        <w:jc w:val="both"/>
      </w:pPr>
      <w:r>
        <w:rPr>
          <w:rFonts w:ascii="Calibri" w:eastAsia="SimHei"/>
          <w:b/>
          <w:bCs/>
          <w:color w:val="E26A2C"/>
          <w:sz w:val="22"/>
          <w:szCs w:val="22"/>
        </w:rPr>
        <w:t xml:space="preserve">3. </w:t>
      </w:r>
      <w:r>
        <w:rPr>
          <w:rFonts w:ascii="Calibri" w:eastAsia="Microsoft YaHei"/>
          <w:color w:val="1F2937"/>
          <w:sz w:val="22"/>
          <w:szCs w:val="22"/>
        </w:rPr>
        <w:t xml:space="preserve">Despiece explotado (exploded view) del nodo con etiquetas flotantes para cada componente: ESP32, LoRa SX1278, batería, panel solar y sensores opcionales. Mismo software y configuración de render que el anterior para mantener consistencia visual.</w:t>
      </w:r>
    </w:p>
    <w:p>
      <w:pPr>
        <w:spacing w:after="40" w:before="140" w:line="360"/>
        <w:ind w:left="480" w:hanging="480"/>
        <w:jc w:val="both"/>
      </w:pPr>
      <w:r>
        <w:rPr>
          <w:rFonts w:ascii="Calibri" w:eastAsia="SimHei"/>
          <w:b/>
          <w:bCs/>
          <w:color w:val="E26A2C"/>
          <w:sz w:val="22"/>
          <w:szCs w:val="22"/>
        </w:rPr>
        <w:t xml:space="preserve">4. </w:t>
      </w:r>
      <w:r>
        <w:rPr>
          <w:rFonts w:ascii="Calibri" w:eastAsia="Microsoft YaHei"/>
          <w:color w:val="1F2937"/>
          <w:sz w:val="22"/>
          <w:szCs w:val="22"/>
        </w:rPr>
        <w:t xml:space="preserve">Animación motion graphics del flujo de datos: teléfonos → dispositivo → LoRa → estación receptora → plataforma SINAPRED. Software sugerido: After Effects o DaVinci Resolve con plantilla de conectores animados.</w:t>
      </w:r>
    </w:p>
    <w:p>
      <w:pPr>
        <w:spacing w:after="40" w:before="140" w:line="360"/>
        <w:ind w:left="480" w:hanging="480"/>
        <w:jc w:val="both"/>
      </w:pPr>
      <w:r>
        <w:rPr>
          <w:rFonts w:ascii="Calibri" w:eastAsia="SimHei"/>
          <w:b/>
          <w:bCs/>
          <w:color w:val="E26A2C"/>
          <w:sz w:val="22"/>
          <w:szCs w:val="22"/>
        </w:rPr>
        <w:t xml:space="preserve">5. </w:t>
      </w:r>
      <w:r>
        <w:rPr>
          <w:rFonts w:ascii="Calibri" w:eastAsia="Microsoft YaHei"/>
          <w:color w:val="1F2937"/>
          <w:sz w:val="22"/>
          <w:szCs w:val="22"/>
        </w:rPr>
        <w:t xml:space="preserve">Mockup del dashboard de SINAPRED con mapa de calor por sector, panel lateral de prioridades, indicador de nivel de confianza (alto, medio o bajo) y tarjeta desplegable por sector. Software sugerido: Figma, exportado a video o Lottie.</w:t>
      </w:r>
    </w:p>
    <w:p>
      <w:pPr>
        <w:spacing w:after="40" w:before="140" w:line="360"/>
        <w:ind w:left="480" w:hanging="480"/>
        <w:jc w:val="both"/>
      </w:pPr>
      <w:r>
        <w:rPr>
          <w:rFonts w:ascii="Calibri" w:eastAsia="SimHei"/>
          <w:b/>
          <w:bCs/>
          <w:color w:val="E26A2C"/>
          <w:sz w:val="22"/>
          <w:szCs w:val="22"/>
        </w:rPr>
        <w:t xml:space="preserve">6. </w:t>
      </w:r>
      <w:r>
        <w:rPr>
          <w:rFonts w:ascii="Calibri" w:eastAsia="Microsoft YaHei"/>
          <w:color w:val="1F2937"/>
          <w:sz w:val="22"/>
          <w:szCs w:val="22"/>
        </w:rPr>
        <w:t xml:space="preserve">Animación de la tabla de presupuesto: cada fila aparece en secuencia (una a una, 0.3 segundos entre fila) con su componente y precio. La fila de total destaca en color naranja de acento. Software sugerido: After Effects o edición nativa en el editor de video.</w:t>
      </w:r>
    </w:p>
    <w:p>
      <w:pPr>
        <w:spacing w:after="40" w:before="140" w:line="360"/>
        <w:ind w:left="480" w:hanging="480"/>
        <w:jc w:val="both"/>
      </w:pPr>
      <w:r>
        <w:rPr>
          <w:rFonts w:ascii="Calibri" w:eastAsia="SimHei"/>
          <w:b/>
          <w:bCs/>
          <w:color w:val="E26A2C"/>
          <w:sz w:val="22"/>
          <w:szCs w:val="22"/>
        </w:rPr>
        <w:t xml:space="preserve">7. </w:t>
      </w:r>
      <w:r>
        <w:rPr>
          <w:rFonts w:ascii="Calibri" w:eastAsia="Microsoft YaHei"/>
          <w:color w:val="1F2937"/>
          <w:sz w:val="22"/>
          <w:szCs w:val="22"/>
        </w:rPr>
        <w:t xml:space="preserve">Renders del dispositivo instalado en escenarios reales: Mercado Oriental de Managua, terminal de buses, albergue y zona inundable. Pueden componerse en Blender sobre fotografías reales mediante camera projection o generarse con asistencia de IA.</w:t>
      </w:r>
    </w:p>
    <w:p>
      <w:pPr>
        <w:spacing w:after="40" w:before="140" w:line="360"/>
        <w:ind w:left="480" w:hanging="480"/>
        <w:jc w:val="both"/>
      </w:pPr>
      <w:r>
        <w:rPr>
          <w:rFonts w:ascii="Calibri" w:eastAsia="SimHei"/>
          <w:b/>
          <w:bCs/>
          <w:color w:val="E26A2C"/>
          <w:sz w:val="22"/>
          <w:szCs w:val="22"/>
        </w:rPr>
        <w:t xml:space="preserve">8. </w:t>
      </w:r>
      <w:r>
        <w:rPr>
          <w:rFonts w:ascii="Calibri" w:eastAsia="Microsoft YaHei"/>
          <w:color w:val="1F2937"/>
          <w:sz w:val="22"/>
          <w:szCs w:val="22"/>
        </w:rPr>
        <w:t xml:space="preserve">Gráfico comparativo de barras: tiempo de respuesta SINAPRED actual (12 a 48 horas) frente a tiempo con Waterr (lectura por sector en minutos). Software sugerido: matplotlib con tipografía condensed mayúsculas para datos.</w:t>
      </w:r>
    </w:p>
    <w:p>
      <w:pPr>
        <w:spacing w:after="40" w:before="140" w:line="360"/>
        <w:ind w:left="480" w:hanging="480"/>
        <w:jc w:val="both"/>
      </w:pPr>
      <w:r>
        <w:rPr>
          <w:rFonts w:ascii="Calibri" w:eastAsia="SimHei"/>
          <w:b/>
          <w:bCs/>
          <w:color w:val="E26A2C"/>
          <w:sz w:val="22"/>
          <w:szCs w:val="22"/>
        </w:rPr>
        <w:t xml:space="preserve">9. </w:t>
      </w:r>
      <w:r>
        <w:rPr>
          <w:rFonts w:ascii="Calibri" w:eastAsia="Microsoft YaHei"/>
          <w:color w:val="1F2937"/>
          <w:sz w:val="22"/>
          <w:szCs w:val="22"/>
        </w:rPr>
        <w:t xml:space="preserve">Logo animado Waterr para apertura y cierre. Versión final en PNG con transparencia y secuencia de cuadros para animación.</w:t>
      </w:r>
    </w:p>
    <w:p>
      <w:pPr>
        <w:spacing w:after="40" w:before="140" w:line="360"/>
        <w:ind w:left="480" w:hanging="480"/>
        <w:jc w:val="both"/>
      </w:pPr>
      <w:r>
        <w:rPr>
          <w:rFonts w:ascii="Calibri" w:eastAsia="SimHei"/>
          <w:b/>
          <w:bCs/>
          <w:color w:val="E26A2C"/>
          <w:sz w:val="22"/>
          <w:szCs w:val="22"/>
        </w:rPr>
        <w:t xml:space="preserve">10. </w:t>
      </w:r>
      <w:r>
        <w:rPr>
          <w:rFonts w:ascii="Calibri" w:eastAsia="Microsoft YaHei"/>
          <w:color w:val="1F2937"/>
          <w:sz w:val="22"/>
          <w:szCs w:val="22"/>
        </w:rPr>
        <w:t xml:space="preserve">Música de fondo: cinemática instrumental, uplifting, sin vocales. Fuentes recomendadas: Artlist, Epidemic Sound o YouTube Audio Library. Volumen normalizado a -16 LUFS para que la locución se mantenga audible.</w:t>
      </w:r>
    </w:p>
    <w:p>
      <w:pPr>
        <w:pStyle w:val="Heading2"/>
        <w:spacing w:after="100" w:before="320" w:line="312"/>
        <w:jc w:val="left"/>
      </w:pPr>
      <w:r>
        <w:rPr>
          <w:rFonts w:ascii="Calibri" w:eastAsia="SimHei"/>
          <w:b/>
          <w:bCs/>
          <w:color w:val="0B2C4B"/>
          <w:sz w:val="30"/>
          <w:szCs w:val="30"/>
        </w:rPr>
        <w:t xml:space="preserve">5. Notas de Producción</w:t>
      </w:r>
    </w:p>
    <w:p>
      <w:pPr>
        <w:spacing w:after="200" w:before="0" w:line="360"/>
        <w:jc w:val="both"/>
      </w:pPr>
      <w:r>
        <w:rPr>
          <w:rFonts w:ascii="Calibri" w:eastAsia="Microsoft YaHei"/>
          <w:b w:val="false"/>
          <w:bCs w:val="false"/>
          <w:i w:val="false"/>
          <w:iCs w:val="false"/>
          <w:color w:val="1F2937"/>
          <w:sz w:val="22"/>
          <w:szCs w:val="22"/>
        </w:rPr>
        <w:t xml:space="preserve">Recomendaciones operativas para el equipo responsable del rodaje, la edición, la locución y la entrega final del video. Estas notas buscan asegurar consistencia visual, accesibilidad para el jurado y versiones adaptables para difusión posterior en redes.</w:t>
      </w:r>
    </w:p>
    <w:p>
      <w:pPr>
        <w:spacing w:after="80" w:before="0" w:line="320"/>
        <w:jc w:val="left"/>
      </w:pPr>
      <w:r>
        <w:rPr>
          <w:rFonts w:ascii="Calibri" w:eastAsia="Microsoft YaHei"/>
          <w:b/>
          <w:bCs/>
          <w:i w:val="false"/>
          <w:iCs w:val="false"/>
          <w:color w:val="0B2C4B"/>
          <w:sz w:val="22"/>
          <w:szCs w:val="22"/>
        </w:rPr>
        <w:t xml:space="preserve">Ritmo de edición y transiciones</w:t>
      </w:r>
    </w:p>
    <w:p>
      <w:pPr>
        <w:spacing w:after="200" w:before="0" w:line="360"/>
        <w:jc w:val="both"/>
      </w:pPr>
      <w:r>
        <w:rPr>
          <w:rFonts w:ascii="Calibri" w:eastAsia="Microsoft YaHei"/>
          <w:b w:val="false"/>
          <w:bCs w:val="false"/>
          <w:i w:val="false"/>
          <w:iCs w:val="false"/>
          <w:color w:val="1F2937"/>
          <w:sz w:val="22"/>
          <w:szCs w:val="22"/>
        </w:rPr>
        <w:t xml:space="preserve">La Apertura (escena 1) usa cortes rápidos cada 1.5 segundos para transmitir urgencia y dimensionar la escala del problema. En la sección técnica (escena 3) las transiciones se vuelven más suaves, con cross-dissolve, para que la audiencia pueda apreciar el despiece y la animación del flujo de datos. El cierre (escena 5) regresa a cortes secos para enfatizar el llamado a la acción y el impacto final.</w:t>
      </w:r>
    </w:p>
    <w:p>
      <w:pPr>
        <w:spacing w:after="80" w:before="0" w:line="320"/>
        <w:jc w:val="left"/>
      </w:pPr>
      <w:r>
        <w:rPr>
          <w:rFonts w:ascii="Calibri" w:eastAsia="Microsoft YaHei"/>
          <w:b/>
          <w:bCs/>
          <w:i w:val="false"/>
          <w:iCs w:val="false"/>
          <w:color w:val="0B2C4B"/>
          <w:sz w:val="22"/>
          <w:szCs w:val="22"/>
        </w:rPr>
        <w:t xml:space="preserve">Paleta cromática sugerida</w:t>
      </w:r>
    </w:p>
    <w:p>
      <w:pPr>
        <w:spacing w:after="200" w:before="0" w:line="360"/>
        <w:jc w:val="both"/>
      </w:pPr>
      <w:r>
        <w:rPr>
          <w:rFonts w:ascii="Calibri" w:eastAsia="Microsoft YaHei"/>
          <w:b w:val="false"/>
          <w:bCs w:val="false"/>
          <w:i w:val="false"/>
          <w:iCs w:val="false"/>
          <w:color w:val="1F2937"/>
          <w:sz w:val="22"/>
          <w:szCs w:val="22"/>
        </w:rPr>
        <w:t xml:space="preserve">Azul profundo institucional (código #0B2C4B) para títulos y referencias a SINAPRED; naranja alerta (código #E26A2C) para datos críticos, cifras y zonas de alto riesgo; gris carbón (código #1F2937) para cuerpo de texto y narración en pantalla; blanco y gris muy claro (código #F4F6F9) para fondos. Esta combinación equilibra seriedad institucional con la energía visual necesaria para mantener la atención durante 90 segundos.</w:t>
      </w:r>
    </w:p>
    <w:p>
      <w:pPr>
        <w:spacing w:after="80" w:before="0" w:line="320"/>
        <w:jc w:val="left"/>
      </w:pPr>
      <w:r>
        <w:rPr>
          <w:rFonts w:ascii="Calibri" w:eastAsia="Microsoft YaHei"/>
          <w:b/>
          <w:bCs/>
          <w:i w:val="false"/>
          <w:iCs w:val="false"/>
          <w:color w:val="0B2C4B"/>
          <w:sz w:val="22"/>
          <w:szCs w:val="22"/>
        </w:rPr>
        <w:t xml:space="preserve">Tipografía en pantalla</w:t>
      </w:r>
    </w:p>
    <w:p>
      <w:pPr>
        <w:spacing w:after="200" w:before="0" w:line="360"/>
        <w:jc w:val="both"/>
      </w:pPr>
      <w:r>
        <w:rPr>
          <w:rFonts w:ascii="Calibri" w:eastAsia="Microsoft YaHei"/>
          <w:b w:val="false"/>
          <w:bCs w:val="false"/>
          <w:i w:val="false"/>
          <w:iCs w:val="false"/>
          <w:color w:val="1F2937"/>
          <w:sz w:val="22"/>
          <w:szCs w:val="22"/>
        </w:rPr>
        <w:t xml:space="preserve">Para datos y cifras usar sans-serif condensed en mayúsculas (Bebas Neue, Oswald o Impact) con tamaño mínimo de 60 píxeles en resolución 1080p. Para narración sobreimpresa y subtítulos usar sans-serif limpia (Inter, Roboto o Calibri) a 30–36 píxeles con contorno semitransparente negro para legibilidad sobre cualquier fondo.</w:t>
      </w:r>
    </w:p>
    <w:p>
      <w:pPr>
        <w:spacing w:after="80" w:before="0" w:line="320"/>
        <w:jc w:val="left"/>
      </w:pPr>
      <w:r>
        <w:rPr>
          <w:rFonts w:ascii="Calibri" w:eastAsia="Microsoft YaHei"/>
          <w:b/>
          <w:bCs/>
          <w:i w:val="false"/>
          <w:iCs w:val="false"/>
          <w:color w:val="0B2C4B"/>
          <w:sz w:val="22"/>
          <w:szCs w:val="22"/>
        </w:rPr>
        <w:t xml:space="preserve">Accesibilidad y versiones de salida</w:t>
      </w:r>
    </w:p>
    <w:p>
      <w:pPr>
        <w:spacing w:after="200" w:before="0" w:line="360"/>
        <w:jc w:val="both"/>
      </w:pPr>
      <w:r>
        <w:rPr>
          <w:rFonts w:ascii="Calibri" w:eastAsia="Microsoft YaHei"/>
          <w:b w:val="false"/>
          <w:bCs w:val="false"/>
          <w:i w:val="false"/>
          <w:iCs w:val="false"/>
          <w:color w:val="1F2937"/>
          <w:sz w:val="22"/>
          <w:szCs w:val="22"/>
        </w:rPr>
        <w:t xml:space="preserve">Incluir subtítulos en español quemados en el video y un archivo .srt separado para la presentación al jurado. Generar dos versiones: formato 16:9 (1920×1080) para proyección institucional y formato 9:16 (1080×1920) para redes sociales y difusión móvil. Exportar en MP4 H.264 con bitrate de 12 Mbps y audio AAC a 256 kbps. Conservar el proyecto editable para iteraciones solicitadas por el jurado.</w:t>
      </w:r>
    </w:p>
    <w:p>
      <w:pPr>
        <w:spacing w:after="80" w:before="0" w:line="320"/>
        <w:jc w:val="left"/>
      </w:pPr>
      <w:r>
        <w:rPr>
          <w:rFonts w:ascii="Calibri" w:eastAsia="Microsoft YaHei"/>
          <w:b/>
          <w:bCs/>
          <w:i w:val="false"/>
          <w:iCs w:val="false"/>
          <w:color w:val="0B2C4B"/>
          <w:sz w:val="22"/>
          <w:szCs w:val="22"/>
        </w:rPr>
        <w:t xml:space="preserve">Locución y dirección de voz</w:t>
      </w:r>
    </w:p>
    <w:p>
      <w:pPr>
        <w:spacing w:after="200" w:before="0" w:line="360"/>
        <w:jc w:val="both"/>
      </w:pPr>
      <w:r>
        <w:rPr>
          <w:rFonts w:ascii="Calibri" w:eastAsia="Microsoft YaHei"/>
          <w:b w:val="false"/>
          <w:bCs w:val="false"/>
          <w:i w:val="false"/>
          <w:iCs w:val="false"/>
          <w:color w:val="1F2937"/>
          <w:sz w:val="22"/>
          <w:szCs w:val="22"/>
        </w:rPr>
        <w:t xml:space="preserve">Voz femenina o masculina con timbre cálido y autoritario, en estilo TEDx. Grabación con micrófono cardioide en espacio tratado acústicamente, con normalización a -16 LUFS. Marcar pausas breves antes de cada cifra estadística para que el jurado la procese visualmente. Enfatizar la palabra WATERR en su primera mención (escena 3) y en el cierre (escena 5) con un cambio sutil de tono hacia lo esperanzador.</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Calibri" w:eastAsia="Microsoft YaHei"/>
        <w:color w:val="6B7280"/>
        <w:sz w:val="16"/>
        <w:szCs w:val="16"/>
      </w:rPr>
      <w:t xml:space="preserve">Página </w:t>
    </w:r>
    <w:r>
      <w:rPr>
        <w:rFonts w:ascii="Calibri" w:eastAsia="Microsoft YaHei"/>
        <w:color w:val="6B7280"/>
        <w:sz w:val="16"/>
        <w:szCs w:val="16"/>
      </w:rPr>
      <w:fldChar w:fldCharType="begin"/>
    </w:r>
    <w:r>
      <w:rPr>
        <w:rFonts w:ascii="Calibri" w:eastAsia="Microsoft YaHei"/>
        <w:color w:val="6B7280"/>
        <w:sz w:val="16"/>
        <w:szCs w:val="16"/>
      </w:rPr>
      <w:instrText xml:space="preserve">PAGE</w:instrText>
    </w:r>
    <w:r>
      <w:rPr>
        <w:rFonts w:ascii="Calibri" w:eastAsia="Microsoft YaHei"/>
        <w:color w:val="6B7280"/>
        <w:sz w:val="16"/>
        <w:szCs w:val="16"/>
      </w:rPr>
      <w:fldChar w:fldCharType="separate"/>
    </w:r>
    <w:r>
      <w:rPr>
        <w:rFonts w:ascii="Calibri" w:eastAsia="Microsoft YaHei"/>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right"/>
    </w:pPr>
    <w:r>
      <w:rPr>
        <w:rFonts w:ascii="Calibri" w:eastAsia="Microsoft YaHei"/>
        <w:i/>
        <w:iCs/>
        <w:color w:val="6B7280"/>
        <w:sz w:val="16"/>
        <w:szCs w:val="16"/>
      </w:rPr>
      <w:t xml:space="preserve">WATERR · Guion de Video Promocional · 90 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F2937"/>
        <w:sz w:val="22"/>
        <w:szCs w:val="22"/>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Calibri" w:eastAsia="SimHei"/>
      <w:b/>
      <w:bCs/>
      <w:color w:val="0B2C4B"/>
      <w:sz w:val="36"/>
      <w:szCs w:val="36"/>
    </w:rPr>
  </w:style>
  <w:style w:type="paragraph" w:styleId="Heading2">
    <w:name w:val="Heading 2"/>
    <w:basedOn w:val="Normal"/>
    <w:next w:val="Normal"/>
    <w:qFormat/>
    <w:pPr>
      <w:spacing w:after="140" w:before="320" w:line="312"/>
    </w:pPr>
    <w:rPr>
      <w:rFonts w:ascii="Calibri" w:eastAsia="SimHei"/>
      <w:b/>
      <w:bCs/>
      <w:color w:val="0B2C4B"/>
      <w:sz w:val="30"/>
      <w:szCs w:val="30"/>
    </w:rPr>
  </w:style>
  <w:style w:type="paragraph" w:styleId="Heading3">
    <w:name w:val="Heading 3"/>
    <w:basedOn w:val="Normal"/>
    <w:next w:val="Normal"/>
    <w:qFormat/>
    <w:pPr>
      <w:spacing w:after="120" w:before="240" w:line="312"/>
    </w:pPr>
    <w:rPr>
      <w:rFonts w:ascii="Calibri" w:eastAsia="SimHei"/>
      <w:b/>
      <w:bCs/>
      <w:color w:val="0B2C4B"/>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2026-10-17T00:06:35.625Z</dcterms:created>
  <dcterms:modified xsi:type="dcterms:W3CDTF">2026-10-17T00:06:35.625Z</dcterms:modified>
</cp:coreProperties>
</file>

<file path=docProps/custom.xml><?xml version="1.0" encoding="utf-8"?>
<Properties xmlns="http://schemas.openxmlformats.org/officeDocument/2006/custom-properties" xmlns:vt="http://schemas.openxmlformats.org/officeDocument/2006/docPropsVTypes"/>
</file>