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-23187</wp:posOffset>
            </wp:positionH>
            <wp:positionV relativeFrom="page">
              <wp:posOffset>14288</wp:posOffset>
            </wp:positionV>
            <wp:extent cx="7600950" cy="10668000"/>
            <wp:effectExtent b="0" l="0" r="0" t="0"/>
            <wp:wrapSquare wrapText="bothSides" distB="0" distT="0" distL="114300" distR="11430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066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right="-37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2366963</wp:posOffset>
            </wp:positionH>
            <wp:positionV relativeFrom="margin">
              <wp:posOffset>-619241</wp:posOffset>
            </wp:positionV>
            <wp:extent cx="1266825" cy="1212421"/>
            <wp:effectExtent b="0" l="0" r="0" t="0"/>
            <wp:wrapNone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20477" l="17269" r="17269" t="16867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124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posOffset>3962400</wp:posOffset>
            </wp:positionH>
            <wp:positionV relativeFrom="margin">
              <wp:posOffset>-495416</wp:posOffset>
            </wp:positionV>
            <wp:extent cx="1696474" cy="962025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6474" cy="962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-428859</wp:posOffset>
            </wp:positionV>
            <wp:extent cx="2036651" cy="589376"/>
            <wp:effectExtent b="0" l="0" r="0" t="0"/>
            <wp:wrapNone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651" cy="5893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Montserrat Black" w:cs="Montserrat Black" w:eastAsia="Montserrat Black" w:hAnsi="Montserrat Black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 Black" w:cs="Montserrat Black" w:eastAsia="Montserrat Black" w:hAnsi="Montserrat Black"/>
          <w:b w:val="1"/>
          <w:bCs w:val="1"/>
          <w:sz w:val="48"/>
          <w:szCs w:val="48"/>
          <w:rtl w:val="0"/>
        </w:rPr>
        <w:t xml:space="preserve">RALLY NACIONAL DE INNOVACIÓN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Montserrat Black" w:cs="Montserrat Black" w:eastAsia="Montserrat Black" w:hAnsi="Montserrat Black"/>
          <w:b w:val="1"/>
          <w:bCs w:val="1"/>
          <w:sz w:val="48"/>
          <w:szCs w:val="48"/>
        </w:rPr>
      </w:pPr>
      <w:r w:rsidDel="00000000" w:rsidR="00000000" w:rsidRPr="00000000">
        <w:rPr>
          <w:rFonts w:ascii="Montserrat Black" w:cs="Montserrat Black" w:eastAsia="Montserrat Black" w:hAnsi="Montserrat Black"/>
          <w:b w:val="1"/>
          <w:bCs w:val="1"/>
          <w:sz w:val="48"/>
          <w:szCs w:val="48"/>
          <w:rtl w:val="0"/>
        </w:rPr>
        <w:t xml:space="preserve">PROYECTO OLLNARY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DESAFÍO: GESTIÓN DEL TALENTO LOCAL EN CIUDADES CREATIVAS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Montserrat Black" w:cs="Montserrat Black" w:eastAsia="Montserrat Black" w:hAnsi="Montserrat Black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7621</wp:posOffset>
                </wp:positionV>
                <wp:extent cx="1914525" cy="285750"/>
                <wp:effectExtent b="0" l="0" r="0" t="0"/>
                <wp:wrapSquare wrapText="bothSides" distB="45720" distT="45720" distL="114300" distR="11430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393500" y="3641888"/>
                          <a:ext cx="1905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7621</wp:posOffset>
                </wp:positionV>
                <wp:extent cx="1914525" cy="285750"/>
                <wp:effectExtent b="0" l="0" r="0" t="0"/>
                <wp:wrapSquare wrapText="bothSides" distB="45720" distT="45720" distL="114300" distR="114300"/>
                <wp:docPr id="1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240" w:lineRule="auto"/>
        <w:rPr>
          <w:rFonts w:ascii="Montserrat Black" w:cs="Montserrat Black" w:eastAsia="Montserrat Black" w:hAnsi="Montserrat Black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 Black" w:cs="Montserrat Black" w:eastAsia="Montserrat Black" w:hAnsi="Montserrat Black"/>
          <w:b w:val="1"/>
          <w:bCs w:val="1"/>
          <w:rtl w:val="0"/>
        </w:rPr>
        <w:t xml:space="preserve">Elaborado por: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4543425</wp:posOffset>
                </wp:positionH>
                <wp:positionV relativeFrom="paragraph">
                  <wp:posOffset>293253</wp:posOffset>
                </wp:positionV>
                <wp:extent cx="1914525" cy="2293639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393500" y="2656050"/>
                          <a:ext cx="1905000" cy="224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Categoria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Innovación Social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N° Equipo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Equipo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Nombre de equipo: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Operación Titán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4543425</wp:posOffset>
                </wp:positionH>
                <wp:positionV relativeFrom="paragraph">
                  <wp:posOffset>293253</wp:posOffset>
                </wp:positionV>
                <wp:extent cx="1914525" cy="2293639"/>
                <wp:effectExtent b="0" l="0" r="0" t="0"/>
                <wp:wrapSquare wrapText="bothSides" distB="45720" distT="45720" distL="114300" distR="114300"/>
                <wp:docPr id="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22936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317500</wp:posOffset>
                </wp:positionV>
                <wp:extent cx="1457325" cy="935756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603376" y="3210400"/>
                          <a:ext cx="17907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Br. María del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ilar Bermúdez Bermúdez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Teléfono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8115 0042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Coordinadora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 Ing industrial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317500</wp:posOffset>
                </wp:positionV>
                <wp:extent cx="1457325" cy="935756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935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266465</wp:posOffset>
                </wp:positionV>
                <wp:extent cx="1539240" cy="978059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81151" y="3210400"/>
                          <a:ext cx="18129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Br.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Lance Andrew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Sobalvarro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Padilla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Teléfono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8440 1725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Investigador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Ing Industrial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2895600</wp:posOffset>
                </wp:positionH>
                <wp:positionV relativeFrom="paragraph">
                  <wp:posOffset>266465</wp:posOffset>
                </wp:positionV>
                <wp:extent cx="1539240" cy="978059"/>
                <wp:effectExtent b="0" l="0" r="0" t="0"/>
                <wp:wrapNone/>
                <wp:docPr id="1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240" cy="9780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28692</wp:posOffset>
                </wp:positionV>
                <wp:extent cx="1543050" cy="9334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581152" y="3210400"/>
                          <a:ext cx="19038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Br.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Amy Reneé López Sándigo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Telefono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7794 9492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Investigadora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: Arquitectura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1352550</wp:posOffset>
                </wp:positionH>
                <wp:positionV relativeFrom="paragraph">
                  <wp:posOffset>28692</wp:posOffset>
                </wp:positionV>
                <wp:extent cx="1543050" cy="933450"/>
                <wp:effectExtent b="0" l="0" r="0" t="0"/>
                <wp:wrapNone/>
                <wp:docPr id="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30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2700" cy="113919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4356100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199908</wp:posOffset>
                </wp:positionV>
                <wp:extent cx="1539240" cy="1152069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581143" y="3210405"/>
                          <a:ext cx="1529715" cy="1139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Br. Walter Noel Solorzano Gaitán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Telefono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58151472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 Investigador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Ing industrial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199908</wp:posOffset>
                </wp:positionV>
                <wp:extent cx="1539240" cy="1152069"/>
                <wp:effectExtent b="0" l="0" r="0" t="0"/>
                <wp:wrapNone/>
                <wp:docPr id="1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240" cy="11520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210405"/>
                          <a:ext cx="0" cy="113919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292100</wp:posOffset>
                </wp:positionV>
                <wp:extent cx="12700" cy="1139190"/>
                <wp:effectExtent b="0" l="0" r="0" t="0"/>
                <wp:wrapNone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139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1414463</wp:posOffset>
                </wp:positionH>
                <wp:positionV relativeFrom="paragraph">
                  <wp:posOffset>9642</wp:posOffset>
                </wp:positionV>
                <wp:extent cx="1539240" cy="88351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581150" y="3210400"/>
                          <a:ext cx="2101500" cy="113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Br.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Ángel Lenin Vivas Mena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Telefono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:  7687 3682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Rol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:  Diseñador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Carrera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: Ing computacion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1414463</wp:posOffset>
                </wp:positionH>
                <wp:positionV relativeFrom="paragraph">
                  <wp:posOffset>9642</wp:posOffset>
                </wp:positionV>
                <wp:extent cx="1539240" cy="883510"/>
                <wp:effectExtent b="0" l="0" r="0" t="0"/>
                <wp:wrapNone/>
                <wp:docPr id="1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240" cy="883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355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355"/>
        </w:tabs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355"/>
        </w:tabs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219075</wp:posOffset>
                </wp:positionV>
                <wp:extent cx="4581525" cy="2129173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060000" y="2841849"/>
                          <a:ext cx="4572000" cy="187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Tutor: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Arq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Francis Alejandra Cruz Pérez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Recinto</w:t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: Pedro Arauz Palacio (RUPAP)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Managua, Nicaragua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19.99999046325684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-104774</wp:posOffset>
                </wp:positionH>
                <wp:positionV relativeFrom="paragraph">
                  <wp:posOffset>219075</wp:posOffset>
                </wp:positionV>
                <wp:extent cx="4581525" cy="2129173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81525" cy="21291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5355"/>
        </w:tabs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Planteamiento del problema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Nicaragua, las alcaldías y comisiones locales carecen de una herramienta integral para identificar, visibilizar y conectar de forma eficiente a los artesanos y protagonistas con los mercados y espacios de promoción. Esta carencia dificulta la gestión del talento local, limita el comercio de productos culturales y debilita la economía creativa, especialmente en las Ciudades Creativas, donde preservar la identidad cultural es una prioridad.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Según Murillo Dávila, en lugares como San Juan de Oriente —donde el 80% de los negocios dependen de la artesanía— los emprendedores enfrentan grandes obstáculos para promocionar sus productos. A pesar de que el 64.6% tiene acceso a telefonía móvil y la cobertura nacional de internet alcanza el 90%, el Banco Central de Nicaragua reportó en 2017 que ninguno de los establecimientos contaba con correo electrónico o sitio web. Muchos apenas mantienen cuentas en redes sociales, lo que reduce significativamente su alcance y capacidad de comercialización.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problema se repite en comunidades como Monimbó, donde artesanos han solicitado apoyo para promoción y espacios de exhibición. López señala que, aunque a nivel nacional la economía creativa genera miles de empleos y cuenta con programas institucionales de apoyo, la falta de un sistema integrado desde las alcaldías impide aprovechar plenamente este potencial.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Además, la sostenibilidad del patrimonio cultural está en riesgo. López Irías advierte que un 20% de los artesanos en Monimbó no está transmitiendo su conocimiento ancestral, lo que evidencia una posible pérdida cultural si no se implementan mecanismos efectivos de gestión local.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pesar de iniciativas como la Red de Ciudades Creativas, la ausencia de una herramienta de gestión local limita el desarrollo sostenible de la economía creativa y la protección activa del patrimonio cultural nicaragüense.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Propuesta de Valor – Plataforma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Ollnari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Ollnari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una aplicación móvil y plataforma web diseñada para transformar la forma en que se gestiona, promueve y comercializa el talento artesanal en las Ciudades Creativas de Nicaragua. Nuestra solución responde a una necesidad urgente: la falta de herramientas tecnológicas que permitan visibilizar, conectar y fortalecer a los pequeños negocios y emprendimientos culturales del país.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plataforma facilita una conexión directa, transparente y sin intermediarios entre artesanos nicaragüenses y consumidores nacionale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 e internacionales.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Ollnari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solo impulsa el comercio justo mediante la venta de productos auténticos, sino que también actúa como una herramienta de preservación cultural, incorporando descripciones detalladas, trazabilidad 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un sello digital de autenticidad: “Origen Garantizado”.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Además, integra turismo cultural virtual y talleres interactivos donde los mismos protagonistas pueden compartir sus conocimientos, técnicas y experiencias, generando una conexión emocional entre el cliente y la historia detrás de cada producto.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propuesta busca dinamizar la economía local, empoderar a los artesanos como protagonistas del desarrollo creativo y reforzar el orgullo e identidad cultural. Al centralizar información, f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acilitar procesos logísticos y of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recer un escaparate digital para el talento local, Ollnari convierte a las Ciudades Creativas en verdaderos motores de transformación social y económica.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Ollnari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más que una plataforma de comercio: es una comunidad digital que valora lo hecho a mano, lo auténtico, lo nuestro.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Contribución Innovadora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"Ollnari" es una aplicación innovadora que combina geolocalización, comercio digital y preservación cultural para visibilizar a los artesanos nicaragüenses, A diferencia de plataformas tradicionales, ofrece un mapa interactivo que permite explorar ciudades creativas y acceder a productos culturales con su historia y trazabilidad, fortaleciendo el turismo cultural y el consumo consciente. Incluye talleres digitales para preservar y reproducir el conocimiento ancestral, contribuyendo a la transmisión intergeneracional de la artesanía.</w:t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diferencia de marketplaces genéricos al enfocarse exclusivamente en la economía creativa nicaragüense. Esto se alinea con el Plan Nacional de Lucha contra la Pobreza y Desarrollo Humano 2022-2026 en: digitalización empresarial, fomento del emprendimiento cultural y rescate del patrimonio. También responde a los ODS, destacando: trabajo decente (ODS 8), digitalización inclusiva (ODS 9), protección del patrimonio cultural (ODS 11) y consumo sostenible (ODS 12). Así, Ollnari no es solo una plataforma comercial, sino una herramienta de desarrollo local, inclusión digital y salvaguarda cultural.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Presupuesto</w:t>
      </w:r>
    </w:p>
    <w:tbl>
      <w:tblPr>
        <w:tblStyle w:val="Table1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945"/>
        <w:gridCol w:w="1035"/>
        <w:gridCol w:w="1770"/>
        <w:gridCol w:w="1560"/>
        <w:tblGridChange w:id="0">
          <w:tblGrid>
            <w:gridCol w:w="3615"/>
            <w:gridCol w:w="945"/>
            <w:gridCol w:w="1035"/>
            <w:gridCol w:w="1770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5" w:val="single"/>
              <w:left w:color="ffffff" w:space="0" w:sz="5" w:val="single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Unidad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Precio unitario C$</w:t>
            </w:r>
          </w:p>
        </w:tc>
        <w:tc>
          <w:tcPr>
            <w:tcBorders>
              <w:top w:color="ffffff" w:space="0" w:sz="5" w:val="single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Precio total C$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Creación de la página web/Aplicación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C$ 75,000.00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C$ 75,000.00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Marketing inicial (Divulgación)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C$ 30,000.00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C$ 30,000.00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 de dominio (anual)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C$ 1,000.00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Hosting/Servidores (Anual)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C$ 5,000.00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Pago de personal administrativo (Editores, Servicio al cliente, IT,)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C$ 40,000.00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C$ 40,000.00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Alquiler de módulo de oficinas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C$ 18,400.00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C$ 18,400.00+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 en la nube (Google cloud)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C$ 3,700.00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C$ 3,700.00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Compra de equipo de grabación (Cámaras, Micrófonos, Luces, Fondos)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C$ 34,000.00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f2f1e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C$ 34,000.00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000000" w:space="0" w:sz="5" w:val="single"/>
              <w:right w:color="ffffff" w:space="0" w:sz="5" w:val="single"/>
            </w:tcBorders>
            <w:shd w:fill="c2bc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Licencia anual para programas de edición (Adobe)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C$ 8,832.00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ffffff" w:space="0" w:sz="5" w:val="single"/>
            </w:tcBorders>
            <w:shd w:fill="e6e4cc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C$ 8,832.00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ffffff" w:space="0" w:sz="5" w:val="single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78.00000000000006" w:lineRule="auto"/>
              <w:ind w:left="144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fffff" w:space="0" w:sz="5" w:val="single"/>
              <w:right w:color="ffffff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C$ 219,532.00</w:t>
            </w:r>
          </w:p>
        </w:tc>
      </w:tr>
    </w:tbl>
    <w:p w:rsidR="00000000" w:rsidDel="00000000" w:rsidP="00000000" w:rsidRDefault="00000000" w:rsidRPr="00000000" w14:paraId="00000067">
      <w:pPr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863200" cy="6642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Plan de implementación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ejecución se divide en tres fases a lo largo de 12 meses: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1 – Diseño y validación (Meses 1-3):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desarrollará el diseño de la plataforma, validado con artesanos y usuarios. Se definirán los módulos de productos, cursos y membresías. Se establecerán alianzas estratégicas con socios logísticos, el Ministerio de Turismo y otras instituciones culturales.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2 – Desarrollo y capacitación (Meses 4-8):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desarrollará la plataforma web y móvil, con funciones de carrito de compras, acceso a cursos, membresías y gestión de pedidos. Se capacitará a artesanos en uso de la plataforma, comercio electrónico y mejora de habilidades técnicas.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Fase 3 – Lanzamiento y evaluación (Meses 9-12):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hará el lanzamiento oficial y una campaña de promoción nacional a través de redes sociales y medios oficiales. Se implementará un sistema de atención al cliente, seguimiento y ajustes.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 de indicadores (Meses 10-12):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establecerán indicadores clave como: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 de ventas mensuales por artesano.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Número de usuarios con membresía activa.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Participación en cursos (artesanos inscritos y completados).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Tiempos promedio de entrega y satisfacción del cliente.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Estos indicadores serán evaluados trimestralmente para ajustar estrategias y garantizar el cumplimiento de objetivos.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Evaluación de impacto</w:t>
      </w:r>
    </w:p>
    <w:p w:rsidR="00000000" w:rsidDel="00000000" w:rsidP="00000000" w:rsidRDefault="00000000" w:rsidRPr="00000000" w14:paraId="0000007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 social: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Según el Banco Central de Nicaragua (2024), en 2023 ingresaron al país 1,102,300 turistas. Esta plataforma busca conectar a esos visitantes con productos culturales y artísticos locales, permitiéndoles llevarse un recuerdo auténtico del país. Así se fortalece la identidad cultural y se promueve el orgullo por las tradiciones nicaragüenses. Además, se contribuye a reducir la migración de talentos locales al generar oportunidades sostenibles en sus comunidades.</w:t>
      </w:r>
    </w:p>
    <w:p w:rsidR="00000000" w:rsidDel="00000000" w:rsidP="00000000" w:rsidRDefault="00000000" w:rsidRPr="00000000" w14:paraId="00000079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 económico: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plataforma servirá como vitrina para emprendedores de las ciudades creativas, facilitando el acceso a nuevos mercados. Esto impulsará la generación de ingresos, fomentará la creación de empleos directos e indirectos, y permitirá mejorar técnicas productivas a través del incentivo económico. A mediano y largo plazo, se espera un efecto multiplicador en las economías locales, fortaleciendo el ecosistema emprendedor.</w:t>
      </w:r>
    </w:p>
    <w:p w:rsidR="00000000" w:rsidDel="00000000" w:rsidP="00000000" w:rsidRDefault="00000000" w:rsidRPr="00000000" w14:paraId="0000007A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Impacto ambiental: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Aunque la plataforma tiene un enfoque cultural y económico, se promueve el consumo responsable y la valoración de productos hechos a mano, mayoritariamente con materiales sostenibles. Asimismo, al centralizar la promoción digital, se reduce el uso de materiales impresos y se estimula la logística local, ayudando a minimizar la huella ambiental del proceso comercial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Murillo Dávila, B. D., Cerda González, M. F., &amp; Castillo Arias, M. A.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Desarrollo e Implementación de un Plan de Marketing para Potenciar la Promoción de Productos Artesanales de PYMES a través del Blog BUSINESS-505 en San Juan de Oriente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[Review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Desarrollo e Implementación de un Plan de Marketing para Potenciar la Promoción de Productos Artesanales de PYMES a través del Blog BUSINESS-505 en San Juan de Oriente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López , W. (2021).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Economía Creativa y su contribución al cumplimiento de los Objetivos de Desarrollo Sostenible (ODS) en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[Review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Economía Creativa y su contribución al cumplimiento de los Objetivos de Desarrollo Sostenible (ODS) en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López Irías, N. S. (n.d.).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Gestión cultural para la actividad artesanal de la comunidad indígena de Monimbó, Masaya,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[Review of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Gestión cultural para la actividad artesanal de la comunidad indígena de Monimbó, Masaya, Nicaragua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right="-4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Banco Central de Nicaragua (BCN). (2023).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Informe sobre los ingresos por turismo en 2023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Banco Central de Nicaragua.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https://www.bcn.gob.ni/divulgacion-prensa/bcn-publica-informe-sobre-los-ingresos-por-turismo-en-2023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720" w:right="-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 Black">
    <w:embedBold w:fontKey="{00000000-0000-0000-0000-000000000000}" r:id="rId1" w:subsetted="0"/>
    <w:embedBoldItalic w:fontKey="{00000000-0000-0000-0000-000000000000}" r:id="rId2" w:subsetted="0"/>
  </w:font>
  <w:font w:name="Montserra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8.png"/><Relationship Id="rId12" Type="http://schemas.openxmlformats.org/officeDocument/2006/relationships/hyperlink" Target="https://www.bcn.gob.ni/divulgacion-prensa/bcn-publica-informe-sobre-los-ingresos-por-turismo-en-2023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Black-bold.ttf"/><Relationship Id="rId2" Type="http://schemas.openxmlformats.org/officeDocument/2006/relationships/font" Target="fonts/MontserratBlack-boldItalic.ttf"/><Relationship Id="rId3" Type="http://schemas.openxmlformats.org/officeDocument/2006/relationships/font" Target="fonts/Montserrat-regular.ttf"/><Relationship Id="rId4" Type="http://schemas.openxmlformats.org/officeDocument/2006/relationships/font" Target="fonts/Montserrat-bold.ttf"/><Relationship Id="rId5" Type="http://schemas.openxmlformats.org/officeDocument/2006/relationships/font" Target="fonts/Montserrat-italic.ttf"/><Relationship Id="rId6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