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PAUTADO -- PROYECTO EJEMPLO</w:t>
      </w:r>
    </w:p>
    <w:p>
      <w:r>
        <w:rPr>
          <w:b/>
        </w:rPr>
        <w:t>Equipo: EQUIPO EJEMPLO</w:t>
        <w:br/>
      </w:r>
      <w:r>
        <w:t>Universidad / Sede: Universidad de Ejemplo</w:t>
        <w:br/>
      </w:r>
      <w:r>
        <w:t>Ciudad Piloto: Managua | Categoria: tecnologica</w:t>
        <w:br/>
      </w:r>
      <w:r>
        <w:t>Desafio #00: Desafío de ejemplo</w:t>
        <w:br/>
      </w:r>
      <w:r>
        <w:t>Rally: NACIONAL</w:t>
        <w:br/>
      </w:r>
    </w:p>
    <w:p>
      <w:r>
        <w:t>─────────────────────────────────────────────</w:t>
      </w:r>
    </w:p>
    <w:p>
      <w:pPr>
        <w:pStyle w:val="Heading1"/>
      </w:pPr>
      <w:r>
        <w:t>PROBLEMA (Limite: 1250 caracteres con espacios)</w:t>
      </w:r>
    </w:p>
    <w:p>
      <w:r>
        <w:t>{SEC_PROBLEMA}</w:t>
        <w:br/>
        <w:t>Segun registros oficiales, la problematica afecta de manera directa a la poblacion local. La ausencia de soluciones accesibles y descentralizadas agrava la vulnerabilidad territorial, requiriendo intervencion inmediata.</w:t>
        <w:br/>
        <w:t>{SEC_END}</w:t>
      </w:r>
    </w:p>
    <w:p>
      <w:pPr>
        <w:pStyle w:val="Heading1"/>
      </w:pPr>
      <w:r>
        <w:t>SOLUCION (Limite: 1250 caracteres con espacios)</w:t>
      </w:r>
    </w:p>
    <w:p>
      <w:r>
        <w:t>{SEC_SOLUCION}</w:t>
        <w:br/>
        <w:t>Sistema que resuelve el problema X usando tecnología Y para beneficiar a Z. El diseno optimiza el rendimiento mediante una arquitectura modular y componentes estandarizados.</w:t>
        <w:br/>
        <w:t>{SEC_END}</w:t>
      </w:r>
    </w:p>
    <w:p>
      <w:pPr>
        <w:pStyle w:val="Heading1"/>
      </w:pPr>
      <w:r>
        <w:t>PREFACTIBILIDAD (Limite: 1000 caracteres con espacios)</w:t>
      </w:r>
    </w:p>
    <w:p>
      <w:r>
        <w:t>{SEC_PREFACTIBILIDAD}</w:t>
        <w:br/>
        <w:t>Costo estimado de implementacion inicial: $4,850 USD. La estructura de insumos se basa en suministros de escala con retorno proyectado en 14 meses y sin subsidio permanente.</w:t>
        <w:br/>
        <w:t>{SEC_END}</w:t>
      </w:r>
    </w:p>
    <w:p>
      <w:pPr>
        <w:pStyle w:val="Heading1"/>
      </w:pPr>
      <w:r>
        <w:t>INNOVACION (Limite: 1000 caracteres con espacios)</w:t>
      </w:r>
    </w:p>
    <w:p>
      <w:r>
        <w:t>{SEC_INNOVACION}</w:t>
        <w:br/>
        <w:t>A diferencia de las alternativas convencionales, nuestra propuesta integra tecnologia accesible y adaptacion local de materiales, reduciendo tiempos de despliegue.</w:t>
        <w:br/>
        <w:t>{SEC_END}</w:t>
      </w:r>
    </w:p>
    <w:p>
      <w:pPr>
        <w:pStyle w:val="Heading1"/>
      </w:pPr>
      <w:r>
        <w:t>IMPACTO (Limite: 1500 caracteres con espacios)</w:t>
      </w:r>
    </w:p>
    <w:p>
      <w:r>
        <w:t>{SEC_IMPACTO}</w:t>
        <w:br/>
        <w:t>Alineado directamente con ODS11 y la estrategia de resiliencia comunitaria. Se proyecta beneficiar directamente a mas de 2,500 habitantes en la fase piloto.</w:t>
        <w:br/>
        <w:t>{SEC_END}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