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AF3EC" w:sz="2"/>
          <w:bottom w:val="single" w:color="EAF3EC" w:sz="2"/>
          <w:left w:val="single" w:color="EAF3EC" w:sz="2"/>
          <w:right w:val="single" w:color="EAF3EC" w:sz="2"/>
        </w:pBdr>
        <w:shd w:fill="EAF3EC" w:val="clear"/>
        <w:spacing w:after="200" w:before="120"/>
      </w:pPr>
      <w:r>
        <w:rPr>
          <w:rFonts w:ascii="Segoe UI" w:cs="Segoe UI" w:eastAsia="Segoe UI" w:hAnsi="Segoe UI"/>
          <w:b/>
          <w:bCs/>
          <w:sz w:val="19"/>
          <w:szCs w:val="19"/>
        </w:rPr>
        <w:t xml:space="preserve">Listo para web. </w:t>
      </w:r>
      <w:r>
        <w:rPr>
          <w:rFonts w:ascii="Segoe UI" w:cs="Segoe UI" w:eastAsia="Segoe UI" w:hAnsi="Segoe UI"/>
          <w:sz w:val="19"/>
          <w:szCs w:val="19"/>
        </w:rPr>
        <w:t xml:space="preserve">Negrillas aplicadas y las tres imagenes incrustadas abajo, cada una en su posicion. La cuarta (screenshot del dashboard) no se genero: ver la nota al final.</w:t>
      </w:r>
    </w:p>
    <w:p>
      <w:pPr>
        <w:pBdr>
          <w:top w:val="single" w:color="F9EBEB" w:sz="2"/>
          <w:bottom w:val="single" w:color="F9EBEB" w:sz="2"/>
          <w:left w:val="single" w:color="F9EBEB" w:sz="2"/>
          <w:right w:val="single" w:color="F9EBEB" w:sz="2"/>
        </w:pBdr>
        <w:shd w:fill="F9EBEB" w:val="clear"/>
        <w:spacing w:after="200" w:before="120"/>
      </w:pPr>
      <w:r>
        <w:rPr>
          <w:rFonts w:ascii="Segoe UI" w:cs="Segoe UI" w:eastAsia="Segoe UI" w:hAnsi="Segoe UI"/>
          <w:b/>
          <w:bCs/>
          <w:sz w:val="19"/>
          <w:szCs w:val="19"/>
        </w:rPr>
        <w:t xml:space="preserve">Bloqueo antes de subir: </w:t>
      </w:r>
      <w:r>
        <w:rPr>
          <w:rFonts w:ascii="Segoe UI" w:cs="Segoe UI" w:eastAsia="Segoe UI" w:hAnsi="Segoe UI"/>
          <w:sz w:val="19"/>
          <w:szCs w:val="19"/>
        </w:rPr>
        <w:t xml:space="preserve">el enlace al case study de Goldwynn devuelve 410 Gone, la pagina fue borrada del sitio. Se elimino del texto. El CTA a /get-started/ sigue en 301 a la homepage.</w:t>
      </w:r>
    </w:p>
    <w:p>
      <w:pPr>
        <w:pStyle w:val="Heading1"/>
        <w:spacing w:after="160" w:before="240"/>
      </w:pPr>
      <w:r>
        <w:rPr>
          <w:rFonts w:ascii="Segoe UI" w:cs="Segoe UI" w:eastAsia="Segoe UI" w:hAnsi="Segoe UI"/>
          <w:b/>
          <w:bCs/>
          <w:color w:val="172640"/>
          <w:sz w:val="40"/>
          <w:szCs w:val="40"/>
        </w:rPr>
        <w:t xml:space="preserve">SEO Meta</w:t>
      </w:r>
    </w:p>
    <w:p>
      <w:pPr>
        <w:spacing w:after="60"/>
      </w:pPr>
      <w:r>
        <w:rPr>
          <w:rFonts w:ascii="Segoe UI" w:cs="Segoe UI" w:eastAsia="Segoe UI" w:hAnsi="Segoe UI"/>
          <w:b/>
          <w:bCs/>
          <w:sz w:val="21"/>
          <w:szCs w:val="21"/>
        </w:rPr>
        <w:t xml:space="preserve">Meta Title: </w:t>
      </w:r>
      <w:r>
        <w:rPr>
          <w:rFonts w:ascii="Segoe UI" w:cs="Segoe UI" w:eastAsia="Segoe UI" w:hAnsi="Segoe UI"/>
          <w:sz w:val="21"/>
          <w:szCs w:val="21"/>
        </w:rPr>
        <w:t xml:space="preserve">Centralized Leasing: The Complete Guide (2026) [45 chars]</w:t>
      </w:r>
    </w:p>
    <w:p>
      <w:pPr>
        <w:spacing w:after="60"/>
      </w:pPr>
      <w:r>
        <w:rPr>
          <w:rFonts w:ascii="Segoe UI" w:cs="Segoe UI" w:eastAsia="Segoe UI" w:hAnsi="Segoe UI"/>
          <w:b/>
          <w:bCs/>
          <w:sz w:val="21"/>
          <w:szCs w:val="21"/>
        </w:rPr>
        <w:t xml:space="preserve">Meta Description: </w:t>
      </w:r>
      <w:r>
        <w:rPr>
          <w:rFonts w:ascii="Segoe UI" w:cs="Segoe UI" w:eastAsia="Segoe UI" w:hAnsi="Segoe UI"/>
          <w:sz w:val="21"/>
          <w:szCs w:val="21"/>
        </w:rPr>
        <w:t xml:space="preserve">What is centralized leasing, who benefits most, and how to implement it without losing the personal touch. Data-backed guide for multifamily operators. [153 chars]</w:t>
      </w:r>
    </w:p>
    <w:p>
      <w:pPr>
        <w:spacing w:after="140"/>
      </w:pPr>
      <w:r>
        <w:rPr>
          <w:rFonts w:ascii="Segoe UI" w:cs="Segoe UI" w:eastAsia="Segoe UI" w:hAnsi="Segoe UI"/>
          <w:b/>
          <w:bCs/>
          <w:sz w:val="21"/>
          <w:szCs w:val="21"/>
        </w:rPr>
        <w:t xml:space="preserve">Slug: </w:t>
      </w:r>
      <w:r>
        <w:rPr>
          <w:rFonts w:ascii="Segoe UI" w:cs="Segoe UI" w:eastAsia="Segoe UI" w:hAnsi="Segoe UI"/>
          <w:sz w:val="21"/>
          <w:szCs w:val="21"/>
        </w:rPr>
        <w:t xml:space="preserve">/resources/centralized-leasing/    </w:t>
      </w:r>
      <w:r>
        <w:rPr>
          <w:rFonts w:ascii="Segoe UI" w:cs="Segoe UI" w:eastAsia="Segoe UI" w:hAnsi="Segoe UI"/>
          <w:b/>
          <w:bCs/>
          <w:sz w:val="21"/>
          <w:szCs w:val="21"/>
        </w:rPr>
        <w:t xml:space="preserve">Author: </w:t>
      </w:r>
      <w:r>
        <w:rPr>
          <w:rFonts w:ascii="Segoe UI" w:cs="Segoe UI" w:eastAsia="Segoe UI" w:hAnsi="Segoe UI"/>
          <w:sz w:val="21"/>
          <w:szCs w:val="21"/>
        </w:rPr>
        <w:t xml:space="preserve">Carlos Leal</w:t>
      </w:r>
    </w:p>
    <w:p>
      <w:pPr>
        <w:pStyle w:val="Heading1"/>
        <w:spacing w:after="160" w:before="240"/>
      </w:pPr>
      <w:r>
        <w:rPr>
          <w:rFonts w:ascii="Segoe UI" w:cs="Segoe UI" w:eastAsia="Segoe UI" w:hAnsi="Segoe UI"/>
          <w:b/>
          <w:bCs/>
          <w:color w:val="172640"/>
          <w:sz w:val="40"/>
          <w:szCs w:val="40"/>
        </w:rPr>
        <w:t xml:space="preserve">Centralized Leasing: What It Is, Who It Works For, and How to Get It Right</w:t>
      </w:r>
    </w:p>
    <w:p>
      <w:pPr>
        <w:spacing w:after="140"/>
      </w:pPr>
      <w:r>
        <w:rPr>
          <w:rFonts w:ascii="Segoe UI" w:cs="Segoe UI" w:eastAsia="Segoe UI" w:hAnsi="Segoe UI"/>
          <w:sz w:val="21"/>
          <w:szCs w:val="21"/>
        </w:rPr>
        <w:t xml:space="preserve">Centralized leasing is a model where </w:t>
      </w:r>
      <w:r>
        <w:rPr>
          <w:rFonts w:ascii="Segoe UI" w:cs="Segoe UI" w:eastAsia="Segoe UI" w:hAnsi="Segoe UI"/>
          <w:b/>
          <w:bCs/>
          <w:sz w:val="21"/>
          <w:szCs w:val="21"/>
        </w:rPr>
        <w:t xml:space="preserve">one team handles leasing for multiple properties from a single hub</w:t>
      </w:r>
      <w:r>
        <w:rPr>
          <w:rFonts w:ascii="Segoe UI" w:cs="Segoe UI" w:eastAsia="Segoe UI" w:hAnsi="Segoe UI"/>
          <w:sz w:val="21"/>
          <w:szCs w:val="21"/>
        </w:rPr>
        <w:t xml:space="preserve">, replacing the traditional setup of on-site agents at each building. For multifamily operators managing portfolios across several locations, it cuts redundant roles, speeds up response times, and creates a consistent renter experience across every property.</w:t>
      </w:r>
    </w:p>
    <w:p>
      <w:pPr>
        <w:spacing w:after="140"/>
      </w:pPr>
      <w:r>
        <w:rPr>
          <w:rFonts w:ascii="Segoe UI" w:cs="Segoe UI" w:eastAsia="Segoe UI" w:hAnsi="Segoe UI"/>
          <w:sz w:val="21"/>
          <w:szCs w:val="21"/>
        </w:rPr>
        <w:t xml:space="preserve">The term “central leasing” is often used interchangeably with “centralized leasing.” Both describe the same operational shift: moving leasing activity away from individual properties and into a shared team that serves the entire portfolio.</w:t>
      </w:r>
    </w:p>
    <w:p>
      <w:pPr>
        <w:pStyle w:val="Heading2"/>
        <w:spacing w:after="120" w:before="300"/>
      </w:pPr>
      <w:r>
        <w:rPr>
          <w:rFonts w:ascii="Segoe UI" w:cs="Segoe UI" w:eastAsia="Segoe UI" w:hAnsi="Segoe UI"/>
          <w:b/>
          <w:bCs/>
          <w:color w:val="172640"/>
          <w:sz w:val="30"/>
          <w:szCs w:val="30"/>
        </w:rPr>
        <w:t xml:space="preserve">Why operators are centralising now</w:t>
      </w:r>
    </w:p>
    <w:p>
      <w:pPr>
        <w:spacing w:after="140"/>
      </w:pPr>
      <w:r>
        <w:rPr>
          <w:rFonts w:ascii="Segoe UI" w:cs="Segoe UI" w:eastAsia="Segoe UI" w:hAnsi="Segoe UI"/>
          <w:sz w:val="21"/>
          <w:szCs w:val="21"/>
        </w:rPr>
        <w:t xml:space="preserve">The economics of on-site leasing are getting harder to justify. According to the 2025 NMHC 50 Report, the 50 largest apartment managers in the U.S. now oversee </w:t>
      </w:r>
      <w:r>
        <w:rPr>
          <w:rFonts w:ascii="Segoe UI" w:cs="Segoe UI" w:eastAsia="Segoe UI" w:hAnsi="Segoe UI"/>
          <w:b/>
          <w:bCs/>
          <w:sz w:val="21"/>
          <w:szCs w:val="21"/>
        </w:rPr>
        <w:t xml:space="preserve">24% of the nation’s apartment stock</w:t>
      </w:r>
      <w:r>
        <w:rPr>
          <w:rFonts w:ascii="Segoe UI" w:cs="Segoe UI" w:eastAsia="Segoe UI" w:hAnsi="Segoe UI"/>
          <w:sz w:val="21"/>
          <w:szCs w:val="21"/>
        </w:rPr>
        <w:t xml:space="preserve">, with Greystar alone managing over 946,000 units. At that scale, the pressure to reduce per-unit operating costs pushes operators toward shared-services models. Centralisation is one of the highest-impact moves available because leasing is both labour-intensive and repetitive across properties.</w:t>
      </w:r>
    </w:p>
    <w:p>
      <w:pPr>
        <w:spacing w:after="140"/>
      </w:pPr>
      <w:r>
        <w:rPr>
          <w:rFonts w:ascii="Segoe UI" w:cs="Segoe UI" w:eastAsia="Segoe UI" w:hAnsi="Segoe UI"/>
          <w:sz w:val="21"/>
          <w:szCs w:val="21"/>
        </w:rPr>
        <w:t xml:space="preserve">At the NAA Apartmentalize 2024 session “Democratizing Centralization for Large and Small Firms”, panellists from Bozzuto, Veritas Investments, and Canopy Analytics concluded that centralisation is </w:t>
      </w:r>
      <w:r>
        <w:rPr>
          <w:rFonts w:ascii="Segoe UI" w:cs="Segoe UI" w:eastAsia="Segoe UI" w:hAnsi="Segoe UI"/>
          <w:b/>
          <w:bCs/>
          <w:sz w:val="21"/>
          <w:szCs w:val="21"/>
        </w:rPr>
        <w:t xml:space="preserve">not only possible for any firm regardless of size, but vital to its success</w:t>
      </w:r>
      <w:r>
        <w:rPr>
          <w:rFonts w:ascii="Segoe UI" w:cs="Segoe UI" w:eastAsia="Segoe UI" w:hAnsi="Segoe UI"/>
          <w:sz w:val="21"/>
          <w:szCs w:val="21"/>
        </w:rPr>
        <w:t xml:space="preserve">. Sunny Junjea, CEO of Canopy Analytics, noted that operators who centralise can “cross-reference properties to find [prospects] the right home” rather than losing leads to competitors when a single community does not fit.</w:t>
      </w:r>
    </w:p>
    <w:p>
      <w:pPr>
        <w:spacing w:after="60" w:before="200"/>
        <w:jc w:val="center"/>
      </w:pPr>
      <w:r>
        <w:drawing>
          <wp:inline distT="0" distB="0" distL="0" distR="0">
            <wp:extent cx="59436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124200"/>
                    </a:xfrm>
                    <a:prstGeom prst="rect">
                      <a:avLst/>
                    </a:prstGeom>
                  </pic:spPr>
                </pic:pic>
              </a:graphicData>
            </a:graphic>
          </wp:inline>
        </w:drawing>
      </w:r>
    </w:p>
    <w:p>
      <w:pPr>
        <w:spacing w:after="240"/>
        <w:jc w:val="center"/>
      </w:pPr>
      <w:r>
        <w:rPr>
          <w:rFonts w:ascii="Segoe UI" w:cs="Segoe UI" w:eastAsia="Segoe UI" w:hAnsi="Segoe UI"/>
          <w:i/>
          <w:iCs/>
          <w:color w:val="5E6B7A"/>
          <w:sz w:val="17"/>
          <w:szCs w:val="17"/>
        </w:rPr>
        <w:t xml:space="preserve">Alt text: Infographic showing that the top 50 U.S. apartment managers oversee 24 percent of all apartments, illustrating the scale driving centralised leasing adoption</w:t>
      </w:r>
    </w:p>
    <w:p>
      <w:pPr>
        <w:pStyle w:val="Heading2"/>
        <w:spacing w:after="120" w:before="300"/>
      </w:pPr>
      <w:r>
        <w:rPr>
          <w:rFonts w:ascii="Segoe UI" w:cs="Segoe UI" w:eastAsia="Segoe UI" w:hAnsi="Segoe UI"/>
          <w:b/>
          <w:bCs/>
          <w:color w:val="172640"/>
          <w:sz w:val="30"/>
          <w:szCs w:val="30"/>
        </w:rPr>
        <w:t xml:space="preserve">What centralised leasing actually looks like</w:t>
      </w:r>
    </w:p>
    <w:p>
      <w:pPr>
        <w:spacing w:after="140"/>
      </w:pPr>
      <w:r>
        <w:rPr>
          <w:rFonts w:ascii="Segoe UI" w:cs="Segoe UI" w:eastAsia="Segoe UI" w:hAnsi="Segoe UI"/>
          <w:sz w:val="21"/>
          <w:szCs w:val="21"/>
        </w:rPr>
        <w:t xml:space="preserve">In a centralised model, prospective renters interact with a leasing hub rather than an on-site agent. The hub handles:</w:t>
      </w:r>
    </w:p>
    <w:p>
      <w:pPr>
        <w:pStyle w:val="ListParagraph"/>
        <w:numPr>
          <w:ilvl w:val="0"/>
          <w:numId w:val="2"/>
        </w:numPr>
        <w:spacing w:after="90"/>
      </w:pPr>
      <w:r>
        <w:rPr>
          <w:rFonts w:ascii="Segoe UI" w:cs="Segoe UI" w:eastAsia="Segoe UI" w:hAnsi="Segoe UI"/>
          <w:b/>
          <w:bCs/>
          <w:sz w:val="21"/>
          <w:szCs w:val="21"/>
        </w:rPr>
        <w:t xml:space="preserve">Inquiry response</w:t>
      </w:r>
      <w:r>
        <w:rPr>
          <w:rFonts w:ascii="Segoe UI" w:cs="Segoe UI" w:eastAsia="Segoe UI" w:hAnsi="Segoe UI"/>
          <w:sz w:val="21"/>
          <w:szCs w:val="21"/>
        </w:rPr>
        <w:t xml:space="preserve"> — phone, chat, and email inquiries answered from one team, often with AI-assisted tools that maintain a 100% response rate</w:t>
      </w:r>
    </w:p>
    <w:p>
      <w:pPr>
        <w:pStyle w:val="ListParagraph"/>
        <w:numPr>
          <w:ilvl w:val="0"/>
          <w:numId w:val="2"/>
        </w:numPr>
        <w:spacing w:after="90"/>
      </w:pPr>
      <w:r>
        <w:rPr>
          <w:rFonts w:ascii="Segoe UI" w:cs="Segoe UI" w:eastAsia="Segoe UI" w:hAnsi="Segoe UI"/>
          <w:b/>
          <w:bCs/>
          <w:sz w:val="21"/>
          <w:szCs w:val="21"/>
        </w:rPr>
        <w:t xml:space="preserve">Tour scheduling</w:t>
      </w:r>
      <w:r>
        <w:rPr>
          <w:rFonts w:ascii="Segoe UI" w:cs="Segoe UI" w:eastAsia="Segoe UI" w:hAnsi="Segoe UI"/>
          <w:sz w:val="21"/>
          <w:szCs w:val="21"/>
        </w:rPr>
        <w:t xml:space="preserve"> — self-guided or virtual tours coordinated centrally, with automated confirmations and reminders to reduce no-shows</w:t>
      </w:r>
    </w:p>
    <w:p>
      <w:pPr>
        <w:pStyle w:val="ListParagraph"/>
        <w:numPr>
          <w:ilvl w:val="0"/>
          <w:numId w:val="2"/>
        </w:numPr>
        <w:spacing w:after="90"/>
      </w:pPr>
      <w:r>
        <w:rPr>
          <w:rFonts w:ascii="Segoe UI" w:cs="Segoe UI" w:eastAsia="Segoe UI" w:hAnsi="Segoe UI"/>
          <w:b/>
          <w:bCs/>
          <w:sz w:val="21"/>
          <w:szCs w:val="21"/>
        </w:rPr>
        <w:t xml:space="preserve">Application processing</w:t>
      </w:r>
      <w:r>
        <w:rPr>
          <w:rFonts w:ascii="Segoe UI" w:cs="Segoe UI" w:eastAsia="Segoe UI" w:hAnsi="Segoe UI"/>
          <w:sz w:val="21"/>
          <w:szCs w:val="21"/>
        </w:rPr>
        <w:t xml:space="preserve"> — tenant screening run through a single pipeline with consistent criteria across all properties</w:t>
      </w:r>
    </w:p>
    <w:p>
      <w:pPr>
        <w:pStyle w:val="ListParagraph"/>
        <w:numPr>
          <w:ilvl w:val="0"/>
          <w:numId w:val="2"/>
        </w:numPr>
        <w:spacing w:after="90"/>
      </w:pPr>
      <w:r>
        <w:rPr>
          <w:rFonts w:ascii="Segoe UI" w:cs="Segoe UI" w:eastAsia="Segoe UI" w:hAnsi="Segoe UI"/>
          <w:b/>
          <w:bCs/>
          <w:sz w:val="21"/>
          <w:szCs w:val="21"/>
        </w:rPr>
        <w:t xml:space="preserve">Lease execution</w:t>
      </w:r>
      <w:r>
        <w:rPr>
          <w:rFonts w:ascii="Segoe UI" w:cs="Segoe UI" w:eastAsia="Segoe UI" w:hAnsi="Segoe UI"/>
          <w:sz w:val="21"/>
          <w:szCs w:val="21"/>
        </w:rPr>
        <w:t xml:space="preserve"> — digital lease generation and eSignature from one platform</w:t>
      </w:r>
    </w:p>
    <w:p>
      <w:pPr>
        <w:spacing w:after="140"/>
      </w:pPr>
      <w:r>
        <w:rPr>
          <w:rFonts w:ascii="Segoe UI" w:cs="Segoe UI" w:eastAsia="Segoe UI" w:hAnsi="Segoe UI"/>
          <w:sz w:val="21"/>
          <w:szCs w:val="21"/>
        </w:rPr>
        <w:t xml:space="preserve">The on-site team’s role shifts from leasing to </w:t>
      </w:r>
      <w:r>
        <w:rPr>
          <w:rFonts w:ascii="Segoe UI" w:cs="Segoe UI" w:eastAsia="Segoe UI" w:hAnsi="Segoe UI"/>
          <w:b/>
          <w:bCs/>
          <w:sz w:val="21"/>
          <w:szCs w:val="21"/>
        </w:rPr>
        <w:t xml:space="preserve">resident experience</w:t>
      </w:r>
      <w:r>
        <w:rPr>
          <w:rFonts w:ascii="Segoe UI" w:cs="Segoe UI" w:eastAsia="Segoe UI" w:hAnsi="Segoe UI"/>
          <w:sz w:val="21"/>
          <w:szCs w:val="21"/>
        </w:rPr>
        <w:t xml:space="preserve">: handling move-ins, maintenance coordination, and renewals. As Lucretia Kumah, SVP at Bozzuto, described at the NAA session, this lets staff focus on “improving the living experience and retaining residents” rather than chasing new leads.</w:t>
      </w:r>
    </w:p>
    <w:p>
      <w:pPr>
        <w:pStyle w:val="Heading2"/>
        <w:spacing w:after="120" w:before="300"/>
      </w:pPr>
      <w:r>
        <w:rPr>
          <w:rFonts w:ascii="Segoe UI" w:cs="Segoe UI" w:eastAsia="Segoe UI" w:hAnsi="Segoe UI"/>
          <w:b/>
          <w:bCs/>
          <w:color w:val="172640"/>
          <w:sz w:val="30"/>
          <w:szCs w:val="30"/>
        </w:rPr>
        <w:t xml:space="preserve">Who centralised leasing is for</w:t>
      </w:r>
    </w:p>
    <w:p>
      <w:pPr>
        <w:spacing w:after="140"/>
      </w:pPr>
      <w:r>
        <w:rPr>
          <w:rFonts w:ascii="Segoe UI" w:cs="Segoe UI" w:eastAsia="Segoe UI" w:hAnsi="Segoe UI"/>
          <w:sz w:val="21"/>
          <w:szCs w:val="21"/>
        </w:rPr>
        <w:t xml:space="preserve">Centralised leasing works best for operators with scale and geographic spread. Based on the patterns discussed at NAA’s Apartmentalize 2024 centralisation session and Grace Hill’s analysis of multifamily centralisation, portfolios that benefit most share three characteristics:</w:t>
      </w:r>
    </w:p>
    <w:p>
      <w:pPr>
        <w:pStyle w:val="ListParagraph"/>
        <w:numPr>
          <w:ilvl w:val="0"/>
          <w:numId w:val="2"/>
        </w:numPr>
        <w:spacing w:after="90"/>
      </w:pPr>
      <w:r>
        <w:rPr>
          <w:rFonts w:ascii="Segoe UI" w:cs="Segoe UI" w:eastAsia="Segoe UI" w:hAnsi="Segoe UI"/>
          <w:b/>
          <w:bCs/>
          <w:sz w:val="21"/>
          <w:szCs w:val="21"/>
        </w:rPr>
        <w:t xml:space="preserve">Multiple communities under one owner or manager</w:t>
      </w:r>
      <w:r>
        <w:rPr>
          <w:rFonts w:ascii="Segoe UI" w:cs="Segoe UI" w:eastAsia="Segoe UI" w:hAnsi="Segoe UI"/>
          <w:sz w:val="21"/>
          <w:szCs w:val="21"/>
        </w:rPr>
        <w:t xml:space="preserve"> — centralisation creates value when there are at least 3 to 5 properties to consolidate, because the shared team needs enough lead volume to justify dedicated staffing</w:t>
      </w:r>
    </w:p>
    <w:p>
      <w:pPr>
        <w:pStyle w:val="ListParagraph"/>
        <w:numPr>
          <w:ilvl w:val="0"/>
          <w:numId w:val="2"/>
        </w:numPr>
        <w:spacing w:after="90"/>
      </w:pPr>
      <w:r>
        <w:rPr>
          <w:rFonts w:ascii="Segoe UI" w:cs="Segoe UI" w:eastAsia="Segoe UI" w:hAnsi="Segoe UI"/>
          <w:b/>
          <w:bCs/>
          <w:sz w:val="21"/>
          <w:szCs w:val="21"/>
        </w:rPr>
        <w:t xml:space="preserve">High lead volume relative to on-site capacity</w:t>
      </w:r>
      <w:r>
        <w:rPr>
          <w:rFonts w:ascii="Segoe UI" w:cs="Segoe UI" w:eastAsia="Segoe UI" w:hAnsi="Segoe UI"/>
          <w:sz w:val="21"/>
          <w:szCs w:val="21"/>
        </w:rPr>
        <w:t xml:space="preserve"> — if on-site agents are missing calls or taking more than 24 hours to respond, a central team absorbs the overflow</w:t>
      </w:r>
    </w:p>
    <w:p>
      <w:pPr>
        <w:pStyle w:val="ListParagraph"/>
        <w:numPr>
          <w:ilvl w:val="0"/>
          <w:numId w:val="2"/>
        </w:numPr>
        <w:spacing w:after="90"/>
      </w:pPr>
      <w:r>
        <w:rPr>
          <w:rFonts w:ascii="Segoe UI" w:cs="Segoe UI" w:eastAsia="Segoe UI" w:hAnsi="Segoe UI"/>
          <w:b/>
          <w:bCs/>
          <w:sz w:val="21"/>
          <w:szCs w:val="21"/>
        </w:rPr>
        <w:t xml:space="preserve">Inconsistent leasing experience across properties</w:t>
      </w:r>
      <w:r>
        <w:rPr>
          <w:rFonts w:ascii="Segoe UI" w:cs="Segoe UI" w:eastAsia="Segoe UI" w:hAnsi="Segoe UI"/>
          <w:sz w:val="21"/>
          <w:szCs w:val="21"/>
        </w:rPr>
        <w:t xml:space="preserve"> — if each site runs its own process, centralisation standardises everything from screening criteria to lease terms</w:t>
      </w:r>
    </w:p>
    <w:p>
      <w:pPr>
        <w:spacing w:after="140"/>
      </w:pPr>
      <w:r>
        <w:rPr>
          <w:rFonts w:ascii="Segoe UI" w:cs="Segoe UI" w:eastAsia="Segoe UI" w:hAnsi="Segoe UI"/>
          <w:sz w:val="21"/>
          <w:szCs w:val="21"/>
        </w:rPr>
        <w:t xml:space="preserve">Operators with a single property or very small portfolios (</w:t>
      </w:r>
      <w:r>
        <w:rPr>
          <w:rFonts w:ascii="Segoe UI" w:cs="Segoe UI" w:eastAsia="Segoe UI" w:hAnsi="Segoe UI"/>
          <w:b/>
          <w:bCs/>
          <w:sz w:val="21"/>
          <w:szCs w:val="21"/>
        </w:rPr>
        <w:t xml:space="preserve">under 50 units</w:t>
      </w:r>
      <w:r>
        <w:rPr>
          <w:rFonts w:ascii="Segoe UI" w:cs="Segoe UI" w:eastAsia="Segoe UI" w:hAnsi="Segoe UI"/>
          <w:sz w:val="21"/>
          <w:szCs w:val="21"/>
        </w:rPr>
        <w:t xml:space="preserve">) typically find that the overhead of building a centralised team outweighs the efficiency gains.</w:t>
      </w:r>
    </w:p>
    <w:p>
      <w:pPr>
        <w:pStyle w:val="Heading2"/>
        <w:spacing w:after="120" w:before="300"/>
      </w:pPr>
      <w:r>
        <w:rPr>
          <w:rFonts w:ascii="Segoe UI" w:cs="Segoe UI" w:eastAsia="Segoe UI" w:hAnsi="Segoe UI"/>
          <w:b/>
          <w:bCs/>
          <w:color w:val="172640"/>
          <w:sz w:val="30"/>
          <w:szCs w:val="30"/>
        </w:rPr>
        <w:t xml:space="preserve">How to implement centralised leasing without losing the personal touch</w:t>
      </w:r>
    </w:p>
    <w:p>
      <w:pPr>
        <w:spacing w:after="140"/>
      </w:pPr>
      <w:r>
        <w:rPr>
          <w:rFonts w:ascii="Segoe UI" w:cs="Segoe UI" w:eastAsia="Segoe UI" w:hAnsi="Segoe UI"/>
          <w:sz w:val="21"/>
          <w:szCs w:val="21"/>
        </w:rPr>
        <w:t xml:space="preserve">The most common objection operators raise is that renters want a local, personal experience. The NAA session panellists reported the opposite: </w:t>
      </w:r>
      <w:r>
        <w:rPr>
          <w:rFonts w:ascii="Segoe UI" w:cs="Segoe UI" w:eastAsia="Segoe UI" w:hAnsi="Segoe UI"/>
          <w:b/>
          <w:bCs/>
          <w:sz w:val="21"/>
          <w:szCs w:val="21"/>
        </w:rPr>
        <w:t xml:space="preserve">renters want fast, consistent answers, regardless of who provides them</w:t>
      </w:r>
      <w:r>
        <w:rPr>
          <w:rFonts w:ascii="Segoe UI" w:cs="Segoe UI" w:eastAsia="Segoe UI" w:hAnsi="Segoe UI"/>
          <w:sz w:val="21"/>
          <w:szCs w:val="21"/>
        </w:rPr>
        <w:t xml:space="preserve">. Veritas Investments found that when they showed prospects eight properties, the prospect rarely selected the initial one they inquired about, proving that a centralised team with cross-portfolio knowledge actually serves prospects better than a single-site agent.</w:t>
      </w:r>
    </w:p>
    <w:p>
      <w:pPr>
        <w:pStyle w:val="Heading3"/>
        <w:spacing w:after="100" w:before="200"/>
      </w:pPr>
      <w:r>
        <w:rPr>
          <w:rFonts w:ascii="Segoe UI" w:cs="Segoe UI" w:eastAsia="Segoe UI" w:hAnsi="Segoe UI"/>
          <w:b/>
          <w:bCs/>
          <w:color w:val="172640"/>
          <w:sz w:val="24"/>
          <w:szCs w:val="24"/>
        </w:rPr>
        <w:t xml:space="preserve">Step 1: Audit your current leasing workflow</w:t>
      </w:r>
    </w:p>
    <w:p>
      <w:pPr>
        <w:spacing w:after="140"/>
      </w:pPr>
      <w:r>
        <w:rPr>
          <w:rFonts w:ascii="Segoe UI" w:cs="Segoe UI" w:eastAsia="Segoe UI" w:hAnsi="Segoe UI"/>
          <w:sz w:val="21"/>
          <w:szCs w:val="21"/>
        </w:rPr>
        <w:t xml:space="preserve">Map every touchpoint from first inquiry to signed lease at each property. Identify </w:t>
      </w:r>
      <w:r>
        <w:rPr>
          <w:rFonts w:ascii="Segoe UI" w:cs="Segoe UI" w:eastAsia="Segoe UI" w:hAnsi="Segoe UI"/>
          <w:b/>
          <w:bCs/>
          <w:sz w:val="21"/>
          <w:szCs w:val="21"/>
        </w:rPr>
        <w:t xml:space="preserve">where leads drop off</w:t>
      </w:r>
      <w:r>
        <w:rPr>
          <w:rFonts w:ascii="Segoe UI" w:cs="Segoe UI" w:eastAsia="Segoe UI" w:hAnsi="Segoe UI"/>
          <w:sz w:val="21"/>
          <w:szCs w:val="21"/>
        </w:rPr>
        <w:t xml:space="preserve">, where response times lag, and where the process varies between sites.</w:t>
      </w:r>
    </w:p>
    <w:p>
      <w:pPr>
        <w:pStyle w:val="Heading3"/>
        <w:spacing w:after="100" w:before="200"/>
      </w:pPr>
      <w:r>
        <w:rPr>
          <w:rFonts w:ascii="Segoe UI" w:cs="Segoe UI" w:eastAsia="Segoe UI" w:hAnsi="Segoe UI"/>
          <w:b/>
          <w:bCs/>
          <w:color w:val="172640"/>
          <w:sz w:val="24"/>
          <w:szCs w:val="24"/>
        </w:rPr>
        <w:t xml:space="preserve">Step 2: Define what stays on-site vs. what centralises</w:t>
      </w:r>
    </w:p>
    <w:p>
      <w:pPr>
        <w:spacing w:after="140"/>
      </w:pPr>
      <w:r>
        <w:rPr>
          <w:rFonts w:ascii="Segoe UI" w:cs="Segoe UI" w:eastAsia="Segoe UI" w:hAnsi="Segoe UI"/>
          <w:b/>
          <w:bCs/>
          <w:sz w:val="21"/>
          <w:szCs w:val="21"/>
        </w:rPr>
        <w:t xml:space="preserve">Leasing activity centralises</w:t>
      </w:r>
      <w:r>
        <w:rPr>
          <w:rFonts w:ascii="Segoe UI" w:cs="Segoe UI" w:eastAsia="Segoe UI" w:hAnsi="Segoe UI"/>
          <w:sz w:val="21"/>
          <w:szCs w:val="21"/>
        </w:rPr>
        <w:t xml:space="preserve"> (inquiry response, tour scheduling, applications, screening). </w:t>
      </w:r>
      <w:r>
        <w:rPr>
          <w:rFonts w:ascii="Segoe UI" w:cs="Segoe UI" w:eastAsia="Segoe UI" w:hAnsi="Segoe UI"/>
          <w:b/>
          <w:bCs/>
          <w:sz w:val="21"/>
          <w:szCs w:val="21"/>
        </w:rPr>
        <w:t xml:space="preserve">Resident-facing activity stays on-site</w:t>
      </w:r>
      <w:r>
        <w:rPr>
          <w:rFonts w:ascii="Segoe UI" w:cs="Segoe UI" w:eastAsia="Segoe UI" w:hAnsi="Segoe UI"/>
          <w:sz w:val="21"/>
          <w:szCs w:val="21"/>
        </w:rPr>
        <w:t xml:space="preserve"> (move-in, maintenance, renewals). The line is clearer than most operators expect.</w:t>
      </w:r>
    </w:p>
    <w:p>
      <w:pPr>
        <w:pStyle w:val="Heading3"/>
        <w:spacing w:after="100" w:before="200"/>
      </w:pPr>
      <w:r>
        <w:rPr>
          <w:rFonts w:ascii="Segoe UI" w:cs="Segoe UI" w:eastAsia="Segoe UI" w:hAnsi="Segoe UI"/>
          <w:b/>
          <w:bCs/>
          <w:color w:val="172640"/>
          <w:sz w:val="24"/>
          <w:szCs w:val="24"/>
        </w:rPr>
        <w:t xml:space="preserve">Step 3: Choose your technology stack</w:t>
      </w:r>
    </w:p>
    <w:p>
      <w:pPr>
        <w:spacing w:after="140"/>
      </w:pPr>
      <w:r>
        <w:rPr>
          <w:rFonts w:ascii="Segoe UI" w:cs="Segoe UI" w:eastAsia="Segoe UI" w:hAnsi="Segoe UI"/>
          <w:sz w:val="21"/>
          <w:szCs w:val="21"/>
        </w:rPr>
        <w:t xml:space="preserve">A centralised model requires a platform that unifies listings, leads, communications, and applications in one place. The most effective setups include:</w:t>
      </w:r>
    </w:p>
    <w:p>
      <w:pPr>
        <w:pStyle w:val="ListParagraph"/>
        <w:numPr>
          <w:ilvl w:val="0"/>
          <w:numId w:val="2"/>
        </w:numPr>
        <w:spacing w:after="90"/>
      </w:pPr>
      <w:r>
        <w:rPr>
          <w:rFonts w:ascii="Segoe UI" w:cs="Segoe UI" w:eastAsia="Segoe UI" w:hAnsi="Segoe UI"/>
          <w:sz w:val="21"/>
          <w:szCs w:val="21"/>
        </w:rPr>
        <w:t xml:space="preserve">Listing syndication to marketplaces, so all properties publish from one dashboard</w:t>
      </w:r>
    </w:p>
    <w:p>
      <w:pPr>
        <w:pStyle w:val="ListParagraph"/>
        <w:numPr>
          <w:ilvl w:val="0"/>
          <w:numId w:val="2"/>
        </w:numPr>
        <w:spacing w:after="90"/>
      </w:pPr>
      <w:r>
        <w:rPr>
          <w:rFonts w:ascii="Segoe UI" w:cs="Segoe UI" w:eastAsia="Segoe UI" w:hAnsi="Segoe UI"/>
          <w:sz w:val="21"/>
          <w:szCs w:val="21"/>
        </w:rPr>
        <w:t xml:space="preserve">AI-powered inquiry response, to maintain 100% response rate across the portfolio</w:t>
      </w:r>
    </w:p>
    <w:p>
      <w:pPr>
        <w:pStyle w:val="ListParagraph"/>
        <w:numPr>
          <w:ilvl w:val="0"/>
          <w:numId w:val="2"/>
        </w:numPr>
        <w:spacing w:after="90"/>
      </w:pPr>
      <w:r>
        <w:rPr>
          <w:rFonts w:ascii="Segoe UI" w:cs="Segoe UI" w:eastAsia="Segoe UI" w:hAnsi="Segoe UI"/>
          <w:sz w:val="21"/>
          <w:szCs w:val="21"/>
        </w:rPr>
        <w:t xml:space="preserve">Automated tour scheduling with confirmation and reminder workflows</w:t>
      </w:r>
    </w:p>
    <w:p>
      <w:pPr>
        <w:pStyle w:val="ListParagraph"/>
        <w:numPr>
          <w:ilvl w:val="0"/>
          <w:numId w:val="2"/>
        </w:numPr>
        <w:spacing w:after="90"/>
      </w:pPr>
      <w:r>
        <w:rPr>
          <w:rFonts w:ascii="Segoe UI" w:cs="Segoe UI" w:eastAsia="Segoe UI" w:hAnsi="Segoe UI"/>
          <w:sz w:val="21"/>
          <w:szCs w:val="21"/>
        </w:rPr>
        <w:t xml:space="preserve">Integrated tenant screening with consistent criteria across all properties</w:t>
      </w:r>
    </w:p>
    <w:p>
      <w:pPr>
        <w:pStyle w:val="ListParagraph"/>
        <w:numPr>
          <w:ilvl w:val="0"/>
          <w:numId w:val="2"/>
        </w:numPr>
        <w:spacing w:after="90"/>
      </w:pPr>
      <w:r>
        <w:rPr>
          <w:rFonts w:ascii="Segoe UI" w:cs="Segoe UI" w:eastAsia="Segoe UI" w:hAnsi="Segoe UI"/>
          <w:sz w:val="21"/>
          <w:szCs w:val="21"/>
        </w:rPr>
        <w:t xml:space="preserve">Digital lease generation and eSignature</w:t>
      </w:r>
    </w:p>
    <w:p>
      <w:pPr>
        <w:pStyle w:val="Heading3"/>
        <w:spacing w:after="100" w:before="200"/>
      </w:pPr>
      <w:r>
        <w:rPr>
          <w:rFonts w:ascii="Segoe UI" w:cs="Segoe UI" w:eastAsia="Segoe UI" w:hAnsi="Segoe UI"/>
          <w:b/>
          <w:bCs/>
          <w:color w:val="172640"/>
          <w:sz w:val="24"/>
          <w:szCs w:val="24"/>
        </w:rPr>
        <w:t xml:space="preserve">Step 4: Staff the hub and train on portfolio-wide SOP</w:t>
      </w:r>
    </w:p>
    <w:p>
      <w:pPr>
        <w:spacing w:after="140"/>
      </w:pPr>
      <w:r>
        <w:rPr>
          <w:rFonts w:ascii="Segoe UI" w:cs="Segoe UI" w:eastAsia="Segoe UI" w:hAnsi="Segoe UI"/>
          <w:sz w:val="21"/>
          <w:szCs w:val="21"/>
        </w:rPr>
        <w:t xml:space="preserve">The central team needs to know every property’s unique selling points, pricing, and policies. Create a </w:t>
      </w:r>
      <w:r>
        <w:rPr>
          <w:rFonts w:ascii="Segoe UI" w:cs="Segoe UI" w:eastAsia="Segoe UI" w:hAnsi="Segoe UI"/>
          <w:b/>
          <w:bCs/>
          <w:sz w:val="21"/>
          <w:szCs w:val="21"/>
        </w:rPr>
        <w:t xml:space="preserve">property playbook</w:t>
      </w:r>
      <w:r>
        <w:rPr>
          <w:rFonts w:ascii="Segoe UI" w:cs="Segoe UI" w:eastAsia="Segoe UI" w:hAnsi="Segoe UI"/>
          <w:sz w:val="21"/>
          <w:szCs w:val="21"/>
        </w:rPr>
        <w:t xml:space="preserve"> for each community so agents can speak knowledgeably about any unit in the portfolio.</w:t>
      </w:r>
    </w:p>
    <w:p>
      <w:pPr>
        <w:pStyle w:val="Heading3"/>
        <w:spacing w:after="100" w:before="200"/>
      </w:pPr>
      <w:r>
        <w:rPr>
          <w:rFonts w:ascii="Segoe UI" w:cs="Segoe UI" w:eastAsia="Segoe UI" w:hAnsi="Segoe UI"/>
          <w:b/>
          <w:bCs/>
          <w:color w:val="172640"/>
          <w:sz w:val="24"/>
          <w:szCs w:val="24"/>
        </w:rPr>
        <w:t xml:space="preserve">Step 5: Measure and iterate</w:t>
      </w:r>
    </w:p>
    <w:p>
      <w:pPr>
        <w:spacing w:after="140"/>
      </w:pPr>
      <w:r>
        <w:rPr>
          <w:rFonts w:ascii="Segoe UI" w:cs="Segoe UI" w:eastAsia="Segoe UI" w:hAnsi="Segoe UI"/>
          <w:sz w:val="21"/>
          <w:szCs w:val="21"/>
        </w:rPr>
        <w:t xml:space="preserve">Track the metrics that matter (see the measurement section below) and adjust staffing, scripts, and technology </w:t>
      </w:r>
      <w:r>
        <w:rPr>
          <w:rFonts w:ascii="Segoe UI" w:cs="Segoe UI" w:eastAsia="Segoe UI" w:hAnsi="Segoe UI"/>
          <w:b/>
          <w:bCs/>
          <w:sz w:val="21"/>
          <w:szCs w:val="21"/>
        </w:rPr>
        <w:t xml:space="preserve">quarterly</w:t>
      </w:r>
      <w:r>
        <w:rPr>
          <w:rFonts w:ascii="Segoe UI" w:cs="Segoe UI" w:eastAsia="Segoe UI" w:hAnsi="Segoe UI"/>
          <w:sz w:val="21"/>
          <w:szCs w:val="21"/>
        </w:rPr>
        <w:t xml:space="preserve">.</w:t>
      </w:r>
    </w:p>
    <w:p>
      <w:pPr>
        <w:spacing w:after="60" w:before="20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62400"/>
                    </a:xfrm>
                    <a:prstGeom prst="rect">
                      <a:avLst/>
                    </a:prstGeom>
                  </pic:spPr>
                </pic:pic>
              </a:graphicData>
            </a:graphic>
          </wp:inline>
        </w:drawing>
      </w:r>
    </w:p>
    <w:p>
      <w:pPr>
        <w:spacing w:after="240"/>
        <w:jc w:val="center"/>
      </w:pPr>
      <w:r>
        <w:rPr>
          <w:rFonts w:ascii="Segoe UI" w:cs="Segoe UI" w:eastAsia="Segoe UI" w:hAnsi="Segoe UI"/>
          <w:i/>
          <w:iCs/>
          <w:color w:val="5E6B7A"/>
          <w:sz w:val="17"/>
          <w:szCs w:val="17"/>
        </w:rPr>
        <w:t xml:space="preserve">Alt text: Five-step process flowchart for implementing centralised leasing: audit, define scope, choose technology, staff and train, measure and iterate</w:t>
      </w:r>
    </w:p>
    <w:p>
      <w:pPr>
        <w:pStyle w:val="Heading2"/>
        <w:spacing w:after="120" w:before="300"/>
      </w:pPr>
      <w:r>
        <w:rPr>
          <w:rFonts w:ascii="Segoe UI" w:cs="Segoe UI" w:eastAsia="Segoe UI" w:hAnsi="Segoe UI"/>
          <w:b/>
          <w:bCs/>
          <w:color w:val="172640"/>
          <w:sz w:val="30"/>
          <w:szCs w:val="30"/>
        </w:rPr>
        <w:t xml:space="preserve">Measuring centralised leasing performance</w:t>
      </w:r>
    </w:p>
    <w:p>
      <w:pPr>
        <w:spacing w:after="140"/>
      </w:pPr>
      <w:r>
        <w:rPr>
          <w:rFonts w:ascii="Segoe UI" w:cs="Segoe UI" w:eastAsia="Segoe UI" w:hAnsi="Segoe UI"/>
          <w:sz w:val="21"/>
          <w:szCs w:val="21"/>
        </w:rPr>
        <w:t xml:space="preserve">The metrics below reflect standard leasing KPIs tracked by multifamily operators. This framework draws from benchmarks published in the NMHC research library and operational data discussed at NAA Apartmentalize 2024, where panellists reported that centralised operations drove </w:t>
      </w:r>
      <w:r>
        <w:rPr>
          <w:rFonts w:ascii="Segoe UI" w:cs="Segoe UI" w:eastAsia="Segoe UI" w:hAnsi="Segoe UI"/>
          <w:b/>
          <w:bCs/>
          <w:sz w:val="21"/>
          <w:szCs w:val="21"/>
        </w:rPr>
        <w:t xml:space="preserve">delinquencies down by as much as 11%</w:t>
      </w:r>
      <w:r>
        <w:rPr>
          <w:rFonts w:ascii="Segoe UI" w:cs="Segoe UI" w:eastAsia="Segoe UI" w:hAnsi="Segoe UI"/>
          <w:sz w:val="21"/>
          <w:szCs w:val="21"/>
        </w:rPr>
        <w:t xml:space="preserve"> and pushed </w:t>
      </w:r>
      <w:r>
        <w:rPr>
          <w:rFonts w:ascii="Segoe UI" w:cs="Segoe UI" w:eastAsia="Segoe UI" w:hAnsi="Segoe UI"/>
          <w:b/>
          <w:bCs/>
          <w:sz w:val="21"/>
          <w:szCs w:val="21"/>
        </w:rPr>
        <w:t xml:space="preserve">retention rates to around 62%</w:t>
      </w:r>
      <w:r>
        <w:rPr>
          <w:rFonts w:ascii="Segoe UI" w:cs="Segoe UI" w:eastAsia="Segoe UI" w:hAnsi="Segoe UI"/>
          <w:sz w:val="21"/>
          <w:szCs w:val="21"/>
        </w:rPr>
        <w:t xml:space="preserve">, well above the industry average.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72640" w:val="clear"/>
          </w:tcPr>
          <w:p>
            <w:r>
              <w:rPr>
                <w:rFonts w:ascii="Segoe UI" w:cs="Segoe UI" w:eastAsia="Segoe UI" w:hAnsi="Segoe UI"/>
                <w:b/>
                <w:bCs/>
                <w:color w:val="FFFFFF"/>
                <w:sz w:val="18"/>
                <w:szCs w:val="18"/>
              </w:rPr>
              <w:t xml:space="preserve">Metric</w:t>
            </w:r>
          </w:p>
        </w:tc>
        <w:tc>
          <w:tcPr>
            <w:tcW w:type="dxa" w:w="3120"/>
            <w:shd w:fill="172640" w:val="clear"/>
          </w:tcPr>
          <w:p>
            <w:r>
              <w:rPr>
                <w:rFonts w:ascii="Segoe UI" w:cs="Segoe UI" w:eastAsia="Segoe UI" w:hAnsi="Segoe UI"/>
                <w:b/>
                <w:bCs/>
                <w:color w:val="FFFFFF"/>
                <w:sz w:val="18"/>
                <w:szCs w:val="18"/>
              </w:rPr>
              <w:t xml:space="preserve">What it measures</w:t>
            </w:r>
          </w:p>
        </w:tc>
        <w:tc>
          <w:tcPr>
            <w:tcW w:type="dxa" w:w="3120"/>
            <w:shd w:fill="172640" w:val="clear"/>
          </w:tcPr>
          <w:p>
            <w:r>
              <w:rPr>
                <w:rFonts w:ascii="Segoe UI" w:cs="Segoe UI" w:eastAsia="Segoe UI" w:hAnsi="Segoe UI"/>
                <w:b/>
                <w:bCs/>
                <w:color w:val="FFFFFF"/>
                <w:sz w:val="18"/>
                <w:szCs w:val="18"/>
              </w:rPr>
              <w:t xml:space="preserve">Why it matters for centralised teams</w:t>
            </w:r>
          </w:p>
        </w:tc>
      </w:tr>
      <w:tr>
        <w:tc>
          <w:tcPr>
            <w:tcW w:type="dxa" w:w="3120"/>
          </w:tcPr>
          <w:p>
            <w:r>
              <w:rPr>
                <w:rFonts w:ascii="Segoe UI" w:cs="Segoe UI" w:eastAsia="Segoe UI" w:hAnsi="Segoe UI"/>
                <w:b/>
                <w:bCs/>
                <w:sz w:val="18"/>
                <w:szCs w:val="18"/>
              </w:rPr>
              <w:t xml:space="preserve">Lead-to-tour rate</w:t>
            </w:r>
          </w:p>
        </w:tc>
        <w:tc>
          <w:tcPr>
            <w:tcW w:type="dxa" w:w="3120"/>
          </w:tcPr>
          <w:p>
            <w:r>
              <w:rPr>
                <w:rFonts w:ascii="Segoe UI" w:cs="Segoe UI" w:eastAsia="Segoe UI" w:hAnsi="Segoe UI"/>
                <w:sz w:val="18"/>
                <w:szCs w:val="18"/>
              </w:rPr>
              <w:t xml:space="preserve">% of inquiries that convert to scheduled tours</w:t>
            </w:r>
          </w:p>
        </w:tc>
        <w:tc>
          <w:tcPr>
            <w:tcW w:type="dxa" w:w="3120"/>
          </w:tcPr>
          <w:p>
            <w:r>
              <w:rPr>
                <w:rFonts w:ascii="Segoe UI" w:cs="Segoe UI" w:eastAsia="Segoe UI" w:hAnsi="Segoe UI"/>
                <w:sz w:val="18"/>
                <w:szCs w:val="18"/>
              </w:rPr>
              <w:t xml:space="preserve">Centralised teams should outperform on-site agents here because they respond faster and can cross-sell across properties</w:t>
            </w:r>
          </w:p>
        </w:tc>
      </w:tr>
      <w:tr>
        <w:tc>
          <w:tcPr>
            <w:tcW w:type="dxa" w:w="3120"/>
          </w:tcPr>
          <w:p>
            <w:r>
              <w:rPr>
                <w:rFonts w:ascii="Segoe UI" w:cs="Segoe UI" w:eastAsia="Segoe UI" w:hAnsi="Segoe UI"/>
                <w:b/>
                <w:bCs/>
                <w:sz w:val="18"/>
                <w:szCs w:val="18"/>
              </w:rPr>
              <w:t xml:space="preserve">Tour-to-application rate</w:t>
            </w:r>
          </w:p>
        </w:tc>
        <w:tc>
          <w:tcPr>
            <w:tcW w:type="dxa" w:w="3120"/>
          </w:tcPr>
          <w:p>
            <w:r>
              <w:rPr>
                <w:rFonts w:ascii="Segoe UI" w:cs="Segoe UI" w:eastAsia="Segoe UI" w:hAnsi="Segoe UI"/>
                <w:sz w:val="18"/>
                <w:szCs w:val="18"/>
              </w:rPr>
              <w:t xml:space="preserve">% of tours that result in a submitted application</w:t>
            </w:r>
          </w:p>
        </w:tc>
        <w:tc>
          <w:tcPr>
            <w:tcW w:type="dxa" w:w="3120"/>
          </w:tcPr>
          <w:p>
            <w:r>
              <w:rPr>
                <w:rFonts w:ascii="Segoe UI" w:cs="Segoe UI" w:eastAsia="Segoe UI" w:hAnsi="Segoe UI"/>
                <w:sz w:val="18"/>
                <w:szCs w:val="18"/>
              </w:rPr>
              <w:t xml:space="preserve">Self-guided and virtual tours coordinated centrally can increase this by reducing scheduling friction</w:t>
            </w:r>
          </w:p>
        </w:tc>
      </w:tr>
      <w:tr>
        <w:tc>
          <w:tcPr>
            <w:tcW w:type="dxa" w:w="3120"/>
          </w:tcPr>
          <w:p>
            <w:r>
              <w:rPr>
                <w:rFonts w:ascii="Segoe UI" w:cs="Segoe UI" w:eastAsia="Segoe UI" w:hAnsi="Segoe UI"/>
                <w:b/>
                <w:bCs/>
                <w:sz w:val="18"/>
                <w:szCs w:val="18"/>
              </w:rPr>
              <w:t xml:space="preserve">Application-to-lease rate</w:t>
            </w:r>
          </w:p>
        </w:tc>
        <w:tc>
          <w:tcPr>
            <w:tcW w:type="dxa" w:w="3120"/>
          </w:tcPr>
          <w:p>
            <w:r>
              <w:rPr>
                <w:rFonts w:ascii="Segoe UI" w:cs="Segoe UI" w:eastAsia="Segoe UI" w:hAnsi="Segoe UI"/>
                <w:sz w:val="18"/>
                <w:szCs w:val="18"/>
              </w:rPr>
              <w:t xml:space="preserve">% of applications that convert to signed leases</w:t>
            </w:r>
          </w:p>
        </w:tc>
        <w:tc>
          <w:tcPr>
            <w:tcW w:type="dxa" w:w="3120"/>
          </w:tcPr>
          <w:p>
            <w:r>
              <w:rPr>
                <w:rFonts w:ascii="Segoe UI" w:cs="Segoe UI" w:eastAsia="Segoe UI" w:hAnsi="Segoe UI"/>
                <w:sz w:val="18"/>
                <w:szCs w:val="18"/>
              </w:rPr>
              <w:t xml:space="preserve">Consistent screening criteria across properties reduces drop-off from inconsistent standards</w:t>
            </w:r>
          </w:p>
        </w:tc>
      </w:tr>
      <w:tr>
        <w:tc>
          <w:tcPr>
            <w:tcW w:type="dxa" w:w="3120"/>
          </w:tcPr>
          <w:p>
            <w:r>
              <w:rPr>
                <w:rFonts w:ascii="Segoe UI" w:cs="Segoe UI" w:eastAsia="Segoe UI" w:hAnsi="Segoe UI"/>
                <w:b/>
                <w:bCs/>
                <w:sz w:val="18"/>
                <w:szCs w:val="18"/>
              </w:rPr>
              <w:t xml:space="preserve">Average response time</w:t>
            </w:r>
          </w:p>
        </w:tc>
        <w:tc>
          <w:tcPr>
            <w:tcW w:type="dxa" w:w="3120"/>
          </w:tcPr>
          <w:p>
            <w:r>
              <w:rPr>
                <w:rFonts w:ascii="Segoe UI" w:cs="Segoe UI" w:eastAsia="Segoe UI" w:hAnsi="Segoe UI"/>
                <w:sz w:val="18"/>
                <w:szCs w:val="18"/>
              </w:rPr>
              <w:t xml:space="preserve">Minutes from first inquiry to first response</w:t>
            </w:r>
          </w:p>
        </w:tc>
        <w:tc>
          <w:tcPr>
            <w:tcW w:type="dxa" w:w="3120"/>
          </w:tcPr>
          <w:p>
            <w:r>
              <w:rPr>
                <w:rFonts w:ascii="Segoe UI" w:cs="Segoe UI" w:eastAsia="Segoe UI" w:hAnsi="Segoe UI"/>
                <w:sz w:val="18"/>
                <w:szCs w:val="18"/>
              </w:rPr>
              <w:t xml:space="preserve">The single most important metric. AI-assisted teams can hit under 1 minute; manual teams should target under 5 minutes</w:t>
            </w:r>
          </w:p>
        </w:tc>
      </w:tr>
      <w:tr>
        <w:tc>
          <w:tcPr>
            <w:tcW w:type="dxa" w:w="3120"/>
          </w:tcPr>
          <w:p>
            <w:r>
              <w:rPr>
                <w:rFonts w:ascii="Segoe UI" w:cs="Segoe UI" w:eastAsia="Segoe UI" w:hAnsi="Segoe UI"/>
                <w:b/>
                <w:bCs/>
                <w:sz w:val="18"/>
                <w:szCs w:val="18"/>
              </w:rPr>
              <w:t xml:space="preserve">Cost per lease</w:t>
            </w:r>
          </w:p>
        </w:tc>
        <w:tc>
          <w:tcPr>
            <w:tcW w:type="dxa" w:w="3120"/>
          </w:tcPr>
          <w:p>
            <w:r>
              <w:rPr>
                <w:rFonts w:ascii="Segoe UI" w:cs="Segoe UI" w:eastAsia="Segoe UI" w:hAnsi="Segoe UI"/>
                <w:sz w:val="18"/>
                <w:szCs w:val="18"/>
              </w:rPr>
              <w:t xml:space="preserve">Total leasing cost divided by leases signed</w:t>
            </w:r>
          </w:p>
        </w:tc>
        <w:tc>
          <w:tcPr>
            <w:tcW w:type="dxa" w:w="3120"/>
          </w:tcPr>
          <w:p>
            <w:r>
              <w:rPr>
                <w:rFonts w:ascii="Segoe UI" w:cs="Segoe UI" w:eastAsia="Segoe UI" w:hAnsi="Segoe UI"/>
                <w:sz w:val="18"/>
                <w:szCs w:val="18"/>
              </w:rPr>
              <w:t xml:space="preserve">Centralisation should reduce this by eliminating redundant roles across properties</w:t>
            </w:r>
          </w:p>
        </w:tc>
      </w:tr>
      <w:tr>
        <w:tc>
          <w:tcPr>
            <w:tcW w:type="dxa" w:w="3120"/>
          </w:tcPr>
          <w:p>
            <w:r>
              <w:rPr>
                <w:rFonts w:ascii="Segoe UI" w:cs="Segoe UI" w:eastAsia="Segoe UI" w:hAnsi="Segoe UI"/>
                <w:b/>
                <w:bCs/>
                <w:sz w:val="18"/>
                <w:szCs w:val="18"/>
              </w:rPr>
              <w:t xml:space="preserve">Lease-up velocity</w:t>
            </w:r>
          </w:p>
        </w:tc>
        <w:tc>
          <w:tcPr>
            <w:tcW w:type="dxa" w:w="3120"/>
          </w:tcPr>
          <w:p>
            <w:r>
              <w:rPr>
                <w:rFonts w:ascii="Segoe UI" w:cs="Segoe UI" w:eastAsia="Segoe UI" w:hAnsi="Segoe UI"/>
                <w:sz w:val="18"/>
                <w:szCs w:val="18"/>
              </w:rPr>
              <w:t xml:space="preserve">Days from listing to signed lease per unit</w:t>
            </w:r>
          </w:p>
        </w:tc>
        <w:tc>
          <w:tcPr>
            <w:tcW w:type="dxa" w:w="3120"/>
          </w:tcPr>
          <w:p>
            <w:r>
              <w:rPr>
                <w:rFonts w:ascii="Segoe UI" w:cs="Segoe UI" w:eastAsia="Segoe UI" w:hAnsi="Segoe UI"/>
                <w:sz w:val="18"/>
                <w:szCs w:val="18"/>
              </w:rPr>
              <w:t xml:space="preserve">Track trend over time; centralised teams with syndication typically show faster lease-up</w:t>
            </w:r>
          </w:p>
        </w:tc>
      </w:tr>
      <w:tr>
        <w:tc>
          <w:tcPr>
            <w:tcW w:type="dxa" w:w="3120"/>
          </w:tcPr>
          <w:p>
            <w:r>
              <w:rPr>
                <w:rFonts w:ascii="Segoe UI" w:cs="Segoe UI" w:eastAsia="Segoe UI" w:hAnsi="Segoe UI"/>
                <w:b/>
                <w:bCs/>
                <w:sz w:val="18"/>
                <w:szCs w:val="18"/>
              </w:rPr>
              <w:t xml:space="preserve">Retention rate</w:t>
            </w:r>
          </w:p>
        </w:tc>
        <w:tc>
          <w:tcPr>
            <w:tcW w:type="dxa" w:w="3120"/>
          </w:tcPr>
          <w:p>
            <w:r>
              <w:rPr>
                <w:rFonts w:ascii="Segoe UI" w:cs="Segoe UI" w:eastAsia="Segoe UI" w:hAnsi="Segoe UI"/>
                <w:sz w:val="18"/>
                <w:szCs w:val="18"/>
              </w:rPr>
              <w:t xml:space="preserve">% of residents who renew their lease</w:t>
            </w:r>
          </w:p>
        </w:tc>
        <w:tc>
          <w:tcPr>
            <w:tcW w:type="dxa" w:w="3120"/>
          </w:tcPr>
          <w:p>
            <w:r>
              <w:rPr>
                <w:rFonts w:ascii="Segoe UI" w:cs="Segoe UI" w:eastAsia="Segoe UI" w:hAnsi="Segoe UI"/>
                <w:sz w:val="18"/>
                <w:szCs w:val="18"/>
              </w:rPr>
              <w:t xml:space="preserve">NAA data shows centralised operations reaching 62% retention, above the industry average</w:t>
            </w:r>
          </w:p>
        </w:tc>
      </w:tr>
    </w:tbl>
    <w:p>
      <w:pPr>
        <w:spacing w:after="200"/>
      </w:pPr>
      <w:r>
        <w:rPr>
          <w:rFonts w:ascii="Segoe UI" w:cs="Segoe UI" w:eastAsia="Segoe UI" w:hAnsi="Segoe UI"/>
          <w:sz w:val="21"/>
          <w:szCs w:val="21"/>
        </w:rPr>
        <w:t xml:space="preserve"/>
      </w:r>
    </w:p>
    <w:p>
      <w:pPr>
        <w:pStyle w:val="Heading2"/>
        <w:spacing w:after="120" w:before="300"/>
      </w:pPr>
      <w:r>
        <w:rPr>
          <w:rFonts w:ascii="Segoe UI" w:cs="Segoe UI" w:eastAsia="Segoe UI" w:hAnsi="Segoe UI"/>
          <w:b/>
          <w:bCs/>
          <w:color w:val="172640"/>
          <w:sz w:val="30"/>
          <w:szCs w:val="30"/>
        </w:rPr>
        <w:t xml:space="preserve">Centralised leasing in practice</w:t>
      </w:r>
    </w:p>
    <w:p>
      <w:pPr>
        <w:pStyle w:val="Heading3"/>
        <w:spacing w:after="100" w:before="200"/>
      </w:pPr>
      <w:r>
        <w:rPr>
          <w:rFonts w:ascii="Segoe UI" w:cs="Segoe UI" w:eastAsia="Segoe UI" w:hAnsi="Segoe UI"/>
          <w:b/>
          <w:bCs/>
          <w:color w:val="172640"/>
          <w:sz w:val="24"/>
          <w:szCs w:val="24"/>
        </w:rPr>
        <w:t xml:space="preserve">Tricap Residential Group (industry case)</w:t>
      </w:r>
    </w:p>
    <w:p>
      <w:pPr>
        <w:spacing w:after="140"/>
      </w:pPr>
      <w:r>
        <w:rPr>
          <w:rFonts w:ascii="Segoe UI" w:cs="Segoe UI" w:eastAsia="Segoe UI" w:hAnsi="Segoe UI"/>
          <w:sz w:val="21"/>
          <w:szCs w:val="21"/>
        </w:rPr>
        <w:t xml:space="preserve">Tricap Residential Group, a Canadian multifamily operator, centralised their leasing operations across their portfolio using virtual tours and a shared leasing team. Suzanne Hopson, EVP at Tricap, reported that centralisation allowed the company to “keep teams aligned and informed” while reducing the operational overhead of staffing leasing agents at every property. The key: </w:t>
      </w:r>
      <w:r>
        <w:rPr>
          <w:rFonts w:ascii="Segoe UI" w:cs="Segoe UI" w:eastAsia="Segoe UI" w:hAnsi="Segoe UI"/>
          <w:b/>
          <w:bCs/>
          <w:sz w:val="21"/>
          <w:szCs w:val="21"/>
        </w:rPr>
        <w:t xml:space="preserve">Tricap paired centralisation with technology</w:t>
      </w:r>
      <w:r>
        <w:rPr>
          <w:rFonts w:ascii="Segoe UI" w:cs="Segoe UI" w:eastAsia="Segoe UI" w:hAnsi="Segoe UI"/>
          <w:sz w:val="21"/>
          <w:szCs w:val="21"/>
        </w:rPr>
        <w:t xml:space="preserve"> rather than simply removing on-site staff.</w:t>
      </w:r>
    </w:p>
    <w:p>
      <w:pPr>
        <w:pStyle w:val="Heading3"/>
        <w:spacing w:after="100" w:before="200"/>
      </w:pPr>
      <w:r>
        <w:rPr>
          <w:rFonts w:ascii="Segoe UI" w:cs="Segoe UI" w:eastAsia="Segoe UI" w:hAnsi="Segoe UI"/>
          <w:b/>
          <w:bCs/>
          <w:color w:val="172640"/>
          <w:sz w:val="24"/>
          <w:szCs w:val="24"/>
        </w:rPr>
        <w:t xml:space="preserve">Aquilini Investment Group (Leasey.AI client)</w:t>
      </w:r>
    </w:p>
    <w:p>
      <w:pPr>
        <w:spacing w:after="140"/>
      </w:pPr>
      <w:r>
        <w:rPr>
          <w:rFonts w:ascii="Segoe UI" w:cs="Segoe UI" w:eastAsia="Segoe UI" w:hAnsi="Segoe UI"/>
          <w:sz w:val="21"/>
          <w:szCs w:val="21"/>
        </w:rPr>
        <w:t xml:space="preserve">Aquilini Investment Group, one of Western Canada’s largest private investment groups, adopted Leasey.AI to centralise their leasing workflow. Robyn Lockhart from Aquilini reported:</w:t>
      </w:r>
    </w:p>
    <w:p>
      <w:pPr>
        <w:pBdr>
          <w:left w:val="single" w:color="00B4D8" w:sz="12" w:space="12"/>
        </w:pBdr>
        <w:spacing w:after="60"/>
        <w:ind w:left="400"/>
      </w:pPr>
      <w:r>
        <w:rPr>
          <w:rFonts w:ascii="Segoe UI" w:cs="Segoe UI" w:eastAsia="Segoe UI" w:hAnsi="Segoe UI"/>
          <w:i/>
          <w:iCs/>
          <w:sz w:val="21"/>
          <w:szCs w:val="21"/>
        </w:rPr>
        <w:t xml:space="preserve">“Leasey has made a big difference for our leasing process. Scheduling showings used to be a major challenge, especially with no-shows, but we’re now seeing far more people actually attend our tours. In just a few months, we’ve already signed several leases through Leasey, and the platform has kept our team consistently busy. Overall, we’ve seen huge improvements on our leasing flow.”</w:t>
      </w:r>
    </w:p>
    <w:p>
      <w:pPr>
        <w:spacing w:after="180"/>
        <w:ind w:left="400"/>
      </w:pPr>
      <w:r>
        <w:rPr>
          <w:rFonts w:ascii="Segoe UI" w:cs="Segoe UI" w:eastAsia="Segoe UI" w:hAnsi="Segoe UI"/>
          <w:b/>
          <w:bCs/>
          <w:color w:val="172640"/>
          <w:sz w:val="19"/>
          <w:szCs w:val="19"/>
        </w:rPr>
        <w:t xml:space="preserve">Robyn Lockhart, Aquilini Investment Group</w:t>
      </w:r>
    </w:p>
    <w:p>
      <w:pPr>
        <w:spacing w:after="140"/>
      </w:pPr>
      <w:r>
        <w:rPr>
          <w:rFonts w:ascii="Segoe UI" w:cs="Segoe UI" w:eastAsia="Segoe UI" w:hAnsi="Segoe UI"/>
          <w:sz w:val="21"/>
          <w:szCs w:val="21"/>
        </w:rPr>
        <w:t xml:space="preserve">This is particularly significant because </w:t>
      </w:r>
      <w:r>
        <w:rPr>
          <w:rFonts w:ascii="Segoe UI" w:cs="Segoe UI" w:eastAsia="Segoe UI" w:hAnsi="Segoe UI"/>
          <w:b/>
          <w:bCs/>
          <w:sz w:val="21"/>
          <w:szCs w:val="21"/>
        </w:rPr>
        <w:t xml:space="preserve">Aquilini operates at institutional scale</w:t>
      </w:r>
      <w:r>
        <w:rPr>
          <w:rFonts w:ascii="Segoe UI" w:cs="Segoe UI" w:eastAsia="Segoe UI" w:hAnsi="Segoe UI"/>
          <w:sz w:val="21"/>
          <w:szCs w:val="21"/>
        </w:rPr>
        <w:t xml:space="preserve">, the same segment where centralisation delivers the most value.</w:t>
      </w:r>
    </w:p>
    <w:p>
      <w:pPr>
        <w:pStyle w:val="Heading3"/>
        <w:spacing w:after="100" w:before="200"/>
      </w:pPr>
      <w:r>
        <w:rPr>
          <w:rFonts w:ascii="Segoe UI" w:cs="Segoe UI" w:eastAsia="Segoe UI" w:hAnsi="Segoe UI"/>
          <w:b/>
          <w:bCs/>
          <w:color w:val="172640"/>
          <w:sz w:val="24"/>
          <w:szCs w:val="24"/>
        </w:rPr>
        <w:t xml:space="preserve">Goldwynn Residences (Leasey.AI client)</w:t>
      </w:r>
    </w:p>
    <w:p>
      <w:pPr>
        <w:spacing w:after="140"/>
      </w:pPr>
      <w:r>
        <w:rPr>
          <w:rFonts w:ascii="Segoe UI" w:cs="Segoe UI" w:eastAsia="Segoe UI" w:hAnsi="Segoe UI"/>
          <w:sz w:val="21"/>
          <w:szCs w:val="21"/>
        </w:rPr>
        <w:t xml:space="preserve">Goldwynn Residences, a multifamily operator, centralised their leasing operations through Leasey.AI. Carlos Torrubia, Director of Marketing at Goldwynn, noted:</w:t>
      </w:r>
    </w:p>
    <w:p>
      <w:pPr>
        <w:pBdr>
          <w:left w:val="single" w:color="00B4D8" w:sz="12" w:space="12"/>
        </w:pBdr>
        <w:spacing w:after="60"/>
        <w:ind w:left="400"/>
      </w:pPr>
      <w:r>
        <w:rPr>
          <w:rFonts w:ascii="Segoe UI" w:cs="Segoe UI" w:eastAsia="Segoe UI" w:hAnsi="Segoe UI"/>
          <w:i/>
          <w:iCs/>
          <w:sz w:val="21"/>
          <w:szCs w:val="21"/>
        </w:rPr>
        <w:t xml:space="preserve">“The team was extremely responsive to our questions, training was thorough and covered all key areas, and setting up showings by property was quick and convenient. The platform itself is very intuitive and easy to use.”</w:t>
      </w:r>
    </w:p>
    <w:p>
      <w:pPr>
        <w:spacing w:after="180"/>
        <w:ind w:left="400"/>
      </w:pPr>
      <w:r>
        <w:rPr>
          <w:rFonts w:ascii="Segoe UI" w:cs="Segoe UI" w:eastAsia="Segoe UI" w:hAnsi="Segoe UI"/>
          <w:b/>
          <w:bCs/>
          <w:color w:val="172640"/>
          <w:sz w:val="19"/>
          <w:szCs w:val="19"/>
        </w:rPr>
        <w:t xml:space="preserve">Carlos Torrubia, Director of Marketing, Goldwynn Residences</w:t>
      </w:r>
    </w:p>
    <w:p>
      <w:pPr>
        <w:spacing w:after="140"/>
      </w:pPr>
      <w:r>
        <w:rPr>
          <w:rFonts w:ascii="Segoe UI" w:cs="Segoe UI" w:eastAsia="Segoe UI" w:hAnsi="Segoe UI"/>
          <w:sz w:val="21"/>
          <w:szCs w:val="21"/>
        </w:rPr>
        <w:t xml:space="preserve">Goldwynn’s experience highlights a critical success factor for centralisation: </w:t>
      </w:r>
      <w:r>
        <w:rPr>
          <w:rFonts w:ascii="Segoe UI" w:cs="Segoe UI" w:eastAsia="Segoe UI" w:hAnsi="Segoe UI"/>
          <w:b/>
          <w:bCs/>
          <w:sz w:val="21"/>
          <w:szCs w:val="21"/>
        </w:rPr>
        <w:t xml:space="preserve">onboarding speed</w:t>
      </w:r>
      <w:r>
        <w:rPr>
          <w:rFonts w:ascii="Segoe UI" w:cs="Segoe UI" w:eastAsia="Segoe UI" w:hAnsi="Segoe UI"/>
          <w:sz w:val="21"/>
          <w:szCs w:val="21"/>
        </w:rPr>
        <w:t xml:space="preserve">. If the technology takes weeks to set up per property, the ROI timeline stretches. Goldwynn was operational across properties quickly because the platform handled per-property configuration natively.</w:t>
      </w:r>
    </w:p>
    <w:p>
      <w:pPr>
        <w:pBdr>
          <w:top w:val="single" w:color="F9EBEB" w:sz="2"/>
          <w:bottom w:val="single" w:color="F9EBEB" w:sz="2"/>
          <w:left w:val="single" w:color="F9EBEB" w:sz="2"/>
          <w:right w:val="single" w:color="F9EBEB" w:sz="2"/>
        </w:pBdr>
        <w:shd w:fill="F9EBEB" w:val="clear"/>
        <w:spacing w:after="200" w:before="120"/>
      </w:pPr>
      <w:r>
        <w:rPr>
          <w:rFonts w:ascii="Segoe UI" w:cs="Segoe UI" w:eastAsia="Segoe UI" w:hAnsi="Segoe UI"/>
          <w:b/>
          <w:bCs/>
          <w:sz w:val="19"/>
          <w:szCs w:val="19"/>
        </w:rPr>
        <w:t xml:space="preserve">Enlace eliminado. </w:t>
      </w:r>
      <w:r>
        <w:rPr>
          <w:rFonts w:ascii="Segoe UI" w:cs="Segoe UI" w:eastAsia="Segoe UI" w:hAnsi="Segoe UI"/>
          <w:sz w:val="19"/>
          <w:szCs w:val="19"/>
        </w:rPr>
        <w:t xml:space="preserve">El doc original enlazaba al case study de Goldwynn. Esa URL devuelve 410 Gone: la pagina fue borrada. El parrafo funciona sin el enlace.</w:t>
      </w:r>
    </w:p>
    <w:p>
      <w:pPr>
        <w:spacing w:after="60" w:before="20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after="240"/>
        <w:jc w:val="center"/>
      </w:pPr>
      <w:r>
        <w:rPr>
          <w:rFonts w:ascii="Segoe UI" w:cs="Segoe UI" w:eastAsia="Segoe UI" w:hAnsi="Segoe UI"/>
          <w:i/>
          <w:iCs/>
          <w:color w:val="5E6B7A"/>
          <w:sz w:val="17"/>
          <w:szCs w:val="17"/>
        </w:rPr>
        <w:t xml:space="preserve">Alt text: Client testimonials from Aquilini Investment Group and Goldwynn Residences about centralising leasing operations with Leasey.AI</w:t>
      </w:r>
    </w:p>
    <w:p>
      <w:pPr>
        <w:pStyle w:val="Heading2"/>
        <w:spacing w:after="120" w:before="300"/>
      </w:pPr>
      <w:r>
        <w:rPr>
          <w:rFonts w:ascii="Segoe UI" w:cs="Segoe UI" w:eastAsia="Segoe UI" w:hAnsi="Segoe UI"/>
          <w:b/>
          <w:bCs/>
          <w:color w:val="172640"/>
          <w:sz w:val="30"/>
          <w:szCs w:val="30"/>
        </w:rPr>
        <w:t xml:space="preserve">Where Leasey.AI fits</w:t>
      </w:r>
    </w:p>
    <w:p>
      <w:pPr>
        <w:spacing w:after="140"/>
      </w:pPr>
      <w:r>
        <w:rPr>
          <w:rFonts w:ascii="Segoe UI" w:cs="Segoe UI" w:eastAsia="Segoe UI" w:hAnsi="Segoe UI"/>
          <w:sz w:val="21"/>
          <w:szCs w:val="21"/>
        </w:rPr>
        <w:t xml:space="preserve">Leasey.AI is built for centralised leasing. The platform syndicates listings to </w:t>
      </w:r>
      <w:r>
        <w:rPr>
          <w:rFonts w:ascii="Segoe UI" w:cs="Segoe UI" w:eastAsia="Segoe UI" w:hAnsi="Segoe UI"/>
          <w:b/>
          <w:bCs/>
          <w:sz w:val="21"/>
          <w:szCs w:val="21"/>
        </w:rPr>
        <w:t xml:space="preserve">48+ marketplaces</w:t>
      </w:r>
      <w:r>
        <w:rPr>
          <w:rFonts w:ascii="Segoe UI" w:cs="Segoe UI" w:eastAsia="Segoe UI" w:hAnsi="Segoe UI"/>
          <w:sz w:val="21"/>
          <w:szCs w:val="21"/>
        </w:rPr>
        <w:t xml:space="preserve"> from one dashboard, and Liza, the AI leasing agent, handles phone and chat inquiries 24/7 with a </w:t>
      </w:r>
      <w:r>
        <w:rPr>
          <w:rFonts w:ascii="Segoe UI" w:cs="Segoe UI" w:eastAsia="Segoe UI" w:hAnsi="Segoe UI"/>
          <w:b/>
          <w:bCs/>
          <w:sz w:val="21"/>
          <w:szCs w:val="21"/>
        </w:rPr>
        <w:t xml:space="preserve">100% response rate</w:t>
      </w:r>
      <w:r>
        <w:rPr>
          <w:rFonts w:ascii="Segoe UI" w:cs="Segoe UI" w:eastAsia="Segoe UI" w:hAnsi="Segoe UI"/>
          <w:sz w:val="21"/>
          <w:szCs w:val="21"/>
        </w:rPr>
        <w:t xml:space="preserve">. Tenant screening, tour scheduling, and digital lease execution run through a single pipeline.</w:t>
      </w:r>
    </w:p>
    <w:p>
      <w:pPr>
        <w:spacing w:after="140"/>
      </w:pPr>
      <w:r>
        <w:rPr>
          <w:rFonts w:ascii="Segoe UI" w:cs="Segoe UI" w:eastAsia="Segoe UI" w:hAnsi="Segoe UI"/>
          <w:sz w:val="21"/>
          <w:szCs w:val="21"/>
        </w:rPr>
        <w:t xml:space="preserve">Leasey.AI </w:t>
      </w:r>
      <w:r>
        <w:rPr>
          <w:rFonts w:ascii="Segoe UI" w:cs="Segoe UI" w:eastAsia="Segoe UI" w:hAnsi="Segoe UI"/>
          <w:b/>
          <w:bCs/>
          <w:sz w:val="21"/>
          <w:szCs w:val="21"/>
        </w:rPr>
        <w:t xml:space="preserve">sits on top of the PMS you already use</w:t>
      </w:r>
      <w:r>
        <w:rPr>
          <w:rFonts w:ascii="Segoe UI" w:cs="Segoe UI" w:eastAsia="Segoe UI" w:hAnsi="Segoe UI"/>
          <w:sz w:val="21"/>
          <w:szCs w:val="21"/>
        </w:rPr>
        <w:t xml:space="preserve">, whether that is Yardi, Buildium, or Rent Manager. It does not replace your property management system; it automates the leasing layer that sits above it.</w:t>
      </w:r>
    </w:p>
    <w:p>
      <w:pPr>
        <w:spacing w:after="140"/>
      </w:pPr>
      <w:r>
        <w:rPr>
          <w:rFonts w:ascii="Segoe UI" w:cs="Segoe UI" w:eastAsia="Segoe UI" w:hAnsi="Segoe UI"/>
          <w:sz w:val="21"/>
          <w:szCs w:val="21"/>
        </w:rPr>
        <w:t xml:space="preserve">For operators evaluating centralisation, the platform eliminates the most common technology gap: the need to stitch together separate tools for syndication, lead response, screening, and lease execution. As Justin Rogers from The Rockingham Group put it:</w:t>
      </w:r>
    </w:p>
    <w:p>
      <w:pPr>
        <w:pBdr>
          <w:left w:val="single" w:color="00B4D8" w:sz="12" w:space="12"/>
        </w:pBdr>
        <w:spacing w:after="60"/>
        <w:ind w:left="400"/>
      </w:pPr>
      <w:r>
        <w:rPr>
          <w:rFonts w:ascii="Segoe UI" w:cs="Segoe UI" w:eastAsia="Segoe UI" w:hAnsi="Segoe UI"/>
          <w:i/>
          <w:iCs/>
          <w:sz w:val="21"/>
          <w:szCs w:val="21"/>
        </w:rPr>
        <w:t xml:space="preserve">“Leasey.AI has been extremely helpful in managing our rental units, from lead handling to scheduling showings. We’re saving hours every week on showing coordination while also filtering out unqualified applicants.”</w:t>
      </w:r>
    </w:p>
    <w:p>
      <w:pPr>
        <w:spacing w:after="180"/>
        <w:ind w:left="400"/>
      </w:pPr>
      <w:r>
        <w:rPr>
          <w:rFonts w:ascii="Segoe UI" w:cs="Segoe UI" w:eastAsia="Segoe UI" w:hAnsi="Segoe UI"/>
          <w:b/>
          <w:bCs/>
          <w:color w:val="172640"/>
          <w:sz w:val="19"/>
          <w:szCs w:val="19"/>
        </w:rPr>
        <w:t xml:space="preserve">Justin Rogers, The Rockingham Group</w:t>
      </w:r>
    </w:p>
    <w:p>
      <w:pPr>
        <w:pBdr>
          <w:top w:val="single" w:color="FFF3CD" w:sz="2"/>
          <w:bottom w:val="single" w:color="FFF3CD" w:sz="2"/>
          <w:left w:val="single" w:color="FFF3CD" w:sz="2"/>
          <w:right w:val="single" w:color="FFF3CD" w:sz="2"/>
        </w:pBdr>
        <w:shd w:fill="FFF3CD" w:val="clear"/>
        <w:spacing w:after="200" w:before="120"/>
      </w:pPr>
      <w:r>
        <w:rPr>
          <w:rFonts w:ascii="Segoe UI" w:cs="Segoe UI" w:eastAsia="Segoe UI" w:hAnsi="Segoe UI"/>
          <w:b/>
          <w:bCs/>
          <w:sz w:val="19"/>
          <w:szCs w:val="19"/>
        </w:rPr>
        <w:t xml:space="preserve">CTA pendiente. </w:t>
      </w:r>
      <w:r>
        <w:rPr>
          <w:rFonts w:ascii="Segoe UI" w:cs="Segoe UI" w:eastAsia="Segoe UI" w:hAnsi="Segoe UI"/>
          <w:sz w:val="19"/>
          <w:szCs w:val="19"/>
        </w:rPr>
        <w:t xml:space="preserve">El doc apunta a /get-started/, que devuelve 301 a la homepage. No publicar ese enlace hasta decidir el CTA canonico.</w:t>
      </w:r>
    </w:p>
    <w:p>
      <w:pPr>
        <w:pStyle w:val="Heading2"/>
        <w:spacing w:after="120" w:before="300"/>
      </w:pPr>
      <w:r>
        <w:rPr>
          <w:rFonts w:ascii="Segoe UI" w:cs="Segoe UI" w:eastAsia="Segoe UI" w:hAnsi="Segoe UI"/>
          <w:b/>
          <w:bCs/>
          <w:color w:val="172640"/>
          <w:sz w:val="30"/>
          <w:szCs w:val="30"/>
        </w:rPr>
        <w:t xml:space="preserve">Sobre las imagenes</w:t>
      </w:r>
    </w:p>
    <w:p>
      <w:pPr>
        <w:spacing w:after="140"/>
      </w:pPr>
      <w:r>
        <w:rPr>
          <w:rFonts w:ascii="Segoe UI" w:cs="Segoe UI" w:eastAsia="Segoe UI" w:hAnsi="Segoe UI"/>
          <w:sz w:val="21"/>
          <w:szCs w:val="21"/>
        </w:rPr>
        <w:t xml:space="preserve">Las tres estan incrustadas arriba, cada una en su posicion. Se entregan tambien como archivos sueltos en SVG, PNG y WebP.</w:t>
      </w:r>
    </w:p>
    <w:p>
      <w:pPr>
        <w:spacing w:after="140"/>
      </w:pPr>
      <w:r>
        <w:rPr>
          <w:rFonts w:ascii="Segoe UI" w:cs="Segoe UI" w:eastAsia="Segoe UI" w:hAnsi="Segoe UI"/>
          <w:b/>
          <w:bCs/>
          <w:sz w:val="21"/>
          <w:szCs w:val="21"/>
        </w:rPr>
        <w:t xml:space="preserve">Formato recomendado para la web: SVG.</w:t>
      </w:r>
      <w:r>
        <w:rPr>
          <w:rFonts w:ascii="Segoe UI" w:cs="Segoe UI" w:eastAsia="Segoe UI" w:hAnsi="Segoe UI"/>
          <w:sz w:val="21"/>
          <w:szCs w:val="21"/>
        </w:rPr>
        <w:t xml:space="preserve"> Son diagramas, asi que el vector se ve nitido en cualquier tamano sin versiones @2x, pesa entre 4 y 14 KB frente a unos 100 KB del WebP, y el texto sigue siendo texto seleccionable e indexable. Si WordPress no acepta SVG sin plugin, estan los PNG y WebP a 2400px.</w:t>
      </w:r>
    </w:p>
    <w:p>
      <w:pPr>
        <w:spacing w:after="140"/>
      </w:pPr>
      <w:r>
        <w:rPr>
          <w:rFonts w:ascii="Segoe UI" w:cs="Segoe UI" w:eastAsia="Segoe UI" w:hAnsi="Segoe UI"/>
          <w:b/>
          <w:bCs/>
          <w:sz w:val="21"/>
          <w:szCs w:val="21"/>
        </w:rPr>
        <w:t xml:space="preserve">La cuarta imagen no se genero, y es a proposito.</w:t>
      </w:r>
      <w:r>
        <w:rPr>
          <w:rFonts w:ascii="Segoe UI" w:cs="Segoe UI" w:eastAsia="Segoe UI" w:hAnsi="Segoe UI"/>
          <w:sz w:val="21"/>
          <w:szCs w:val="21"/>
        </w:rPr>
        <w:t xml:space="preserve"> Pide un screenshot del dashboard de Leasey.AI con el pipeline multi-propiedad y las metricas de respuesta. Se puede dibujar algo que parezca ese dashboard, pero seria un producto inventado presentado como captura real: numeros que nadie midio y una interfaz que quiza no se ve asi. Esa imagen tiene que salir del producto. Es de las cuatro la que menos tiempo toma: abrir la plataforma, capturar, recortar.</w:t>
      </w:r>
    </w:p>
    <w:p>
      <w:pPr>
        <w:spacing w:after="140"/>
      </w:pPr>
      <w:r>
        <w:rPr>
          <w:rFonts w:ascii="Segoe UI" w:cs="Segoe UI" w:eastAsia="Segoe UI" w:hAnsi="Segoe UI"/>
          <w:sz w:val="21"/>
          <w:szCs w:val="21"/>
        </w:rPr>
        <w:t xml:space="preserve">Las tres que si se hicieron son diagramas conceptuales: no afirman nada sobre la interfaz, solo ilustran datos que ya estan en el texto y con fuente.</w:t>
      </w:r>
    </w:p>
    <w:p>
      <w:pPr>
        <w:pStyle w:val="Heading2"/>
        <w:spacing w:after="120" w:before="300"/>
      </w:pPr>
      <w:r>
        <w:rPr>
          <w:rFonts w:ascii="Segoe UI" w:cs="Segoe UI" w:eastAsia="Segoe UI" w:hAnsi="Segoe UI"/>
          <w:b/>
          <w:bCs/>
          <w:color w:val="172640"/>
          <w:sz w:val="30"/>
          <w:szCs w:val="30"/>
        </w:rPr>
        <w:t xml:space="preserve">Verificacion de enlaces</w:t>
      </w:r>
    </w:p>
    <w:p>
      <w:pPr>
        <w:spacing w:after="140"/>
      </w:pPr>
      <w:r>
        <w:rPr>
          <w:rFonts w:ascii="Segoe UI" w:cs="Segoe UI" w:eastAsia="Segoe UI" w:hAnsi="Segoe UI"/>
          <w:b/>
          <w:bCs/>
          <w:sz w:val="21"/>
          <w:szCs w:val="21"/>
        </w:rPr>
        <w:t xml:space="preserve">Limpias (200, sin redirect): </w:t>
      </w:r>
      <w:r>
        <w:rPr>
          <w:rFonts w:ascii="Segoe UI" w:cs="Segoe UI" w:eastAsia="Segoe UI" w:hAnsi="Segoe UI"/>
          <w:sz w:val="21"/>
          <w:szCs w:val="21"/>
        </w:rPr>
        <w:t xml:space="preserve">los 6 interlinks del cluster (operational-benefits, key-roles, impact-leasing-agents, improving-tenant-experience, risk-management, y el blog the-future-of-your-rental-business).</w:t>
      </w:r>
    </w:p>
    <w:p>
      <w:pPr>
        <w:spacing w:after="140"/>
      </w:pPr>
      <w:r>
        <w:rPr>
          <w:rFonts w:ascii="Segoe UI" w:cs="Segoe UI" w:eastAsia="Segoe UI" w:hAnsi="Segoe UI"/>
          <w:b/>
          <w:bCs/>
          <w:sz w:val="21"/>
          <w:szCs w:val="21"/>
        </w:rPr>
        <w:t xml:space="preserve">Rotas: </w:t>
      </w:r>
      <w:r>
        <w:rPr>
          <w:rFonts w:ascii="Segoe UI" w:cs="Segoe UI" w:eastAsia="Segoe UI" w:hAnsi="Segoe UI"/>
          <w:sz w:val="21"/>
          <w:szCs w:val="21"/>
        </w:rPr>
        <w:t xml:space="preserve">/resources/testimonials/how-goldwynn-.../ da 410 Gone; la version sin /testimonials/ tambien da 410; /case-studies/ da 410; /get-started/ da 301 a la homepage.</w:t>
      </w:r>
    </w:p>
    <w:p>
      <w:pPr>
        <w:spacing w:after="140"/>
      </w:pPr>
      <w:r>
        <w:rPr>
          <w:rFonts w:ascii="Segoe UI" w:cs="Segoe UI" w:eastAsia="Segoe UI" w:hAnsi="Segoe UI"/>
          <w:b/>
          <w:bCs/>
          <w:sz w:val="21"/>
          <w:szCs w:val="21"/>
        </w:rPr>
        <w:t xml:space="preserve">Ojo con esto: </w:t>
      </w:r>
      <w:r>
        <w:rPr>
          <w:rFonts w:ascii="Segoe UI" w:cs="Segoe UI" w:eastAsia="Segoe UI" w:hAnsi="Segoe UI"/>
          <w:sz w:val="21"/>
          <w:szCs w:val="21"/>
        </w:rPr>
        <w:t xml:space="preserve">la URL de Goldwynn sigue apareciendo en el sitemap aunque devuelve 410, asi que el sitio le esta sirviendo una pagina muerta a Google. Conviene avisarlo aparte, no es solo este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97ade8287e22f83594278322def2f0f917f992.png"/><Relationship Id="rId8" Type="http://schemas.openxmlformats.org/officeDocument/2006/relationships/image" Target="media/caebff14b1f8251982bc9bbe298b6755efd5df7a.png"/><Relationship Id="rId9" Type="http://schemas.openxmlformats.org/officeDocument/2006/relationships/image" Target="media/a266ab5de2b129ba69e71ac4f6ac28d02a89b58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2026-07-28T16:50:54.362Z</dcterms:created>
  <dcterms:modified xsi:type="dcterms:W3CDTF">2026-07-28T16:50:54.364Z</dcterms:modified>
</cp:coreProperties>
</file>

<file path=docProps/custom.xml><?xml version="1.0" encoding="utf-8"?>
<Properties xmlns="http://schemas.openxmlformats.org/officeDocument/2006/custom-properties" xmlns:vt="http://schemas.openxmlformats.org/officeDocument/2006/docPropsVTypes"/>
</file>