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D84E0" w14:textId="77777777" w:rsidR="009176A8" w:rsidRDefault="009176A8"/>
    <w:p w14:paraId="664F7517" w14:textId="77777777" w:rsidR="009176A8" w:rsidRDefault="008318C5">
      <w:pPr>
        <w:spacing w:after="120"/>
        <w:jc w:val="center"/>
      </w:pPr>
      <w:r>
        <w:rPr>
          <w:noProof/>
        </w:rPr>
        <w:drawing>
          <wp:inline distT="0" distB="0" distL="0" distR="0" wp14:anchorId="239AEB56" wp14:editId="094317AA">
            <wp:extent cx="1333500" cy="114300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BECE4" w14:textId="77777777" w:rsidR="009176A8" w:rsidRDefault="008318C5">
      <w:pPr>
        <w:spacing w:after="40"/>
        <w:jc w:val="center"/>
      </w:pPr>
      <w:r>
        <w:rPr>
          <w:b/>
          <w:bCs/>
          <w:color w:val="1F3864"/>
          <w:sz w:val="26"/>
          <w:szCs w:val="26"/>
        </w:rPr>
        <w:t>UNIVERSIDAD LAICA ELOY ALFARO DE MANABÍ</w:t>
      </w:r>
    </w:p>
    <w:p w14:paraId="28CBB222" w14:textId="77777777" w:rsidR="009176A8" w:rsidRDefault="008318C5">
      <w:pPr>
        <w:spacing w:after="20"/>
        <w:jc w:val="center"/>
      </w:pPr>
      <w:r>
        <w:rPr>
          <w:b/>
          <w:bCs/>
          <w:color w:val="595959"/>
          <w:sz w:val="20"/>
          <w:szCs w:val="20"/>
        </w:rPr>
        <w:t>FACULTAD DE CIENCIAS DE LA VIDA Y TECNOLOGÍAS</w:t>
      </w:r>
    </w:p>
    <w:p w14:paraId="297D8AE2" w14:textId="77777777" w:rsidR="009176A8" w:rsidRDefault="008318C5">
      <w:pPr>
        <w:spacing w:after="300"/>
        <w:jc w:val="center"/>
      </w:pPr>
      <w:r>
        <w:rPr>
          <w:b/>
          <w:bCs/>
          <w:color w:val="595959"/>
          <w:sz w:val="20"/>
          <w:szCs w:val="20"/>
        </w:rPr>
        <w:t>CARRERA DE INGENIERÍA EN SOFTWARE</w:t>
      </w:r>
    </w:p>
    <w:p w14:paraId="5045D359" w14:textId="77777777" w:rsidR="009176A8" w:rsidRDefault="008318C5">
      <w:pPr>
        <w:spacing w:after="40"/>
        <w:jc w:val="center"/>
      </w:pPr>
      <w:r>
        <w:t>ASIGNATURA: Analítica de Negocios — Séptimo «A»</w:t>
      </w:r>
    </w:p>
    <w:p w14:paraId="21C9CF9B" w14:textId="77777777" w:rsidR="009176A8" w:rsidRDefault="008318C5">
      <w:pPr>
        <w:pBdr>
          <w:bottom w:val="single" w:sz="6" w:space="8" w:color="1F3864"/>
        </w:pBdr>
        <w:spacing w:before="200" w:after="60"/>
        <w:jc w:val="center"/>
      </w:pPr>
      <w:r>
        <w:rPr>
          <w:b/>
          <w:bCs/>
          <w:color w:val="1F3864"/>
          <w:sz w:val="34"/>
          <w:szCs w:val="34"/>
        </w:rPr>
        <w:t>GUÍA DE VISTAS DEL DASHBOARD</w:t>
      </w:r>
    </w:p>
    <w:p w14:paraId="562E31B8" w14:textId="77777777" w:rsidR="009176A8" w:rsidRDefault="008318C5">
      <w:pPr>
        <w:spacing w:before="120" w:after="20"/>
        <w:jc w:val="center"/>
      </w:pPr>
      <w:r>
        <w:rPr>
          <w:b/>
          <w:bCs/>
          <w:sz w:val="26"/>
          <w:szCs w:val="26"/>
        </w:rPr>
        <w:t>SafeAnalytics EC</w:t>
      </w:r>
    </w:p>
    <w:p w14:paraId="45363377" w14:textId="77777777" w:rsidR="009176A8" w:rsidRDefault="008318C5">
      <w:pPr>
        <w:spacing w:after="320" w:line="300" w:lineRule="auto"/>
        <w:jc w:val="center"/>
      </w:pPr>
      <w:r>
        <w:rPr>
          <w:i/>
          <w:iCs/>
        </w:rPr>
        <w:t>Qué hace cada vista, qué tipo de analítica aplica y qué problema resuelve</w:t>
      </w:r>
    </w:p>
    <w:p w14:paraId="4B612AFB" w14:textId="77777777" w:rsidR="009176A8" w:rsidRDefault="008318C5">
      <w:pPr>
        <w:spacing w:after="40"/>
        <w:jc w:val="center"/>
      </w:pPr>
      <w:r>
        <w:rPr>
          <w:b/>
          <w:bCs/>
        </w:rPr>
        <w:t>AUTORES:</w:t>
      </w:r>
    </w:p>
    <w:p w14:paraId="69BAB559" w14:textId="77777777" w:rsidR="009176A8" w:rsidRDefault="008318C5">
      <w:pPr>
        <w:spacing w:after="20"/>
        <w:jc w:val="center"/>
      </w:pPr>
      <w:r>
        <w:t>Walther Javier Gutiérrez Loor</w:t>
      </w:r>
    </w:p>
    <w:p w14:paraId="3ACC1330" w14:textId="77777777" w:rsidR="009176A8" w:rsidRDefault="008318C5">
      <w:pPr>
        <w:spacing w:after="20"/>
        <w:jc w:val="center"/>
      </w:pPr>
      <w:r>
        <w:t>Elisa Zharick Ruiz Lavayen</w:t>
      </w:r>
    </w:p>
    <w:p w14:paraId="4208FBF1" w14:textId="77777777" w:rsidR="009176A8" w:rsidRDefault="008318C5">
      <w:pPr>
        <w:spacing w:after="320"/>
        <w:jc w:val="center"/>
      </w:pPr>
      <w:r>
        <w:t>John Antonio Cevallos Macías</w:t>
      </w:r>
    </w:p>
    <w:p w14:paraId="6DB62EC8" w14:textId="77777777" w:rsidR="009176A8" w:rsidRDefault="008318C5">
      <w:pPr>
        <w:jc w:val="center"/>
      </w:pPr>
      <w:r>
        <w:rPr>
          <w:b/>
          <w:bCs/>
        </w:rPr>
        <w:t>Manta – Ecuador</w:t>
      </w:r>
    </w:p>
    <w:p w14:paraId="012D8D85" w14:textId="77777777" w:rsidR="009176A8" w:rsidRDefault="008318C5">
      <w:pPr>
        <w:jc w:val="center"/>
      </w:pPr>
      <w:r>
        <w:rPr>
          <w:b/>
          <w:bCs/>
        </w:rPr>
        <w:t>2026</w:t>
      </w:r>
    </w:p>
    <w:p w14:paraId="4B9AD94B" w14:textId="77777777" w:rsidR="009176A8" w:rsidRDefault="008318C5">
      <w:r>
        <w:br w:type="page"/>
      </w:r>
    </w:p>
    <w:p w14:paraId="0E8EF202" w14:textId="77777777" w:rsidR="009176A8" w:rsidRDefault="009176A8">
      <w:pPr>
        <w:sectPr w:rsidR="009176A8">
          <w:pgSz w:w="11910" w:h="16850"/>
          <w:pgMar w:top="1134" w:right="1134" w:bottom="1134" w:left="1134" w:header="708" w:footer="708" w:gutter="0"/>
          <w:cols w:space="720"/>
          <w:docGrid w:linePitch="360"/>
        </w:sectPr>
      </w:pPr>
    </w:p>
    <w:p w14:paraId="1CE6FAEA" w14:textId="77777777" w:rsidR="009176A8" w:rsidRDefault="008318C5">
      <w:pPr>
        <w:spacing w:after="200"/>
        <w:jc w:val="center"/>
      </w:pPr>
      <w:r>
        <w:rPr>
          <w:b/>
          <w:bCs/>
          <w:color w:val="1F3864"/>
          <w:sz w:val="28"/>
          <w:szCs w:val="28"/>
        </w:rPr>
        <w:t>CONTENIDO</w:t>
      </w:r>
    </w:p>
    <w:sdt>
      <w:sdtPr>
        <w:alias w:val="Tabla de contenido"/>
        <w:id w:val="-2127071311"/>
      </w:sdtPr>
      <w:sdtEndPr/>
      <w:sdtContent>
        <w:p w14:paraId="7F315B2C" w14:textId="7DA57FE0" w:rsidR="009D1F48" w:rsidRDefault="008318C5">
          <w:pPr>
            <w:pStyle w:val="TDC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4764892" w:history="1">
            <w:r w:rsidR="009D1F48" w:rsidRPr="00B55792">
              <w:rPr>
                <w:rStyle w:val="Hipervnculo"/>
                <w:noProof/>
              </w:rPr>
              <w:t>1. Introducción: los cuatro tipos de analítica</w:t>
            </w:r>
            <w:r w:rsidR="009D1F48">
              <w:rPr>
                <w:noProof/>
              </w:rPr>
              <w:tab/>
            </w:r>
            <w:r w:rsidR="009D1F48">
              <w:rPr>
                <w:noProof/>
              </w:rPr>
              <w:fldChar w:fldCharType="begin"/>
            </w:r>
            <w:r w:rsidR="009D1F48">
              <w:rPr>
                <w:noProof/>
              </w:rPr>
              <w:instrText xml:space="preserve"> PAGEREF _Toc234764892 \h </w:instrText>
            </w:r>
            <w:r w:rsidR="009D1F48">
              <w:rPr>
                <w:noProof/>
              </w:rPr>
            </w:r>
            <w:r w:rsidR="009D1F48">
              <w:rPr>
                <w:noProof/>
              </w:rPr>
              <w:fldChar w:fldCharType="separate"/>
            </w:r>
            <w:r w:rsidR="009D1F48">
              <w:rPr>
                <w:noProof/>
              </w:rPr>
              <w:t>3</w:t>
            </w:r>
            <w:r w:rsidR="009D1F48">
              <w:rPr>
                <w:noProof/>
              </w:rPr>
              <w:fldChar w:fldCharType="end"/>
            </w:r>
          </w:hyperlink>
        </w:p>
        <w:p w14:paraId="238397C1" w14:textId="7C69B65F" w:rsidR="009D1F48" w:rsidRDefault="009D1F48">
          <w:pPr>
            <w:pStyle w:val="TDC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4764893" w:history="1">
            <w:r w:rsidRPr="00B55792">
              <w:rPr>
                <w:rStyle w:val="Hipervnculo"/>
                <w:noProof/>
              </w:rPr>
              <w:t>2. Las seis pestañas principales, explicadas una por una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_Toc234764893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A6188D4" w14:textId="041F0720" w:rsidR="009D1F48" w:rsidRDefault="009D1F48">
          <w:pPr>
            <w:pStyle w:val="TDC2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4764894" w:history="1">
            <w:r w:rsidRPr="00B55792">
              <w:rPr>
                <w:rStyle w:val="Hipervnculo"/>
                <w:noProof/>
              </w:rPr>
              <w:t>2.1. Ejecutivo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_Toc234764894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ACAEBF4" w14:textId="653AEB39" w:rsidR="009D1F48" w:rsidRDefault="009D1F48">
          <w:pPr>
            <w:pStyle w:val="TDC2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4764895" w:history="1">
            <w:r w:rsidRPr="00B55792">
              <w:rPr>
                <w:rStyle w:val="Hipervnculo"/>
                <w:noProof/>
              </w:rPr>
              <w:t>2.2. Caracterización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_Toc234764895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5CADFA9" w14:textId="6EA8E1B8" w:rsidR="009D1F48" w:rsidRDefault="009D1F48">
          <w:pPr>
            <w:pStyle w:val="TDC2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4764896" w:history="1">
            <w:r w:rsidRPr="00B55792">
              <w:rPr>
                <w:rStyle w:val="Hipervnculo"/>
                <w:noProof/>
              </w:rPr>
              <w:t>2.3. Geográfico y Temporal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_Toc234764896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2F31F13" w14:textId="6B5CD03F" w:rsidR="009D1F48" w:rsidRDefault="009D1F48">
          <w:pPr>
            <w:pStyle w:val="TDC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4764897" w:history="1">
            <w:r w:rsidRPr="00B55792">
              <w:rPr>
                <w:rStyle w:val="Hipervnculo"/>
                <w:noProof/>
              </w:rPr>
              <w:t>Sub-pestaña: Geográfico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_Toc234764897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3FBFD17" w14:textId="45B7E058" w:rsidR="009D1F48" w:rsidRDefault="009D1F48">
          <w:pPr>
            <w:pStyle w:val="TDC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4764898" w:history="1">
            <w:r w:rsidRPr="00B55792">
              <w:rPr>
                <w:rStyle w:val="Hipervnculo"/>
                <w:noProof/>
              </w:rPr>
              <w:t>Sub-pestaña: Temporal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_Toc234764898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528FF05" w14:textId="70178BF6" w:rsidR="009D1F48" w:rsidRDefault="009D1F48">
          <w:pPr>
            <w:pStyle w:val="TDC2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4764899" w:history="1">
            <w:r w:rsidRPr="00B55792">
              <w:rPr>
                <w:rStyle w:val="Hipervnculo"/>
                <w:noProof/>
              </w:rPr>
              <w:t>2.4. Predictiva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_Toc234764899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0CC4E57" w14:textId="7ADE8D95" w:rsidR="009D1F48" w:rsidRDefault="009D1F48">
          <w:pPr>
            <w:pStyle w:val="TDC2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4764900" w:history="1">
            <w:r w:rsidRPr="00B55792">
              <w:rPr>
                <w:rStyle w:val="Hipervnculo"/>
                <w:noProof/>
              </w:rPr>
              <w:t>2.5. Riesgo y Simulador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_Toc234764900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8E62C41" w14:textId="2B741349" w:rsidR="009D1F48" w:rsidRDefault="009D1F48">
          <w:pPr>
            <w:pStyle w:val="TDC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4764901" w:history="1">
            <w:r w:rsidRPr="00B55792">
              <w:rPr>
                <w:rStyle w:val="Hipervnculo"/>
                <w:noProof/>
              </w:rPr>
              <w:t>Sub-pestaña: Riesgo territorial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_Toc234764901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13CB2D9" w14:textId="7552A5B5" w:rsidR="009D1F48" w:rsidRDefault="009D1F48">
          <w:pPr>
            <w:pStyle w:val="TDC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4764902" w:history="1">
            <w:r w:rsidRPr="00B55792">
              <w:rPr>
                <w:rStyle w:val="Hipervnculo"/>
                <w:noProof/>
              </w:rPr>
              <w:t>Sub-pestaña: Simulador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_Toc234764902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0A604C7" w14:textId="27B4D3F7" w:rsidR="009D1F48" w:rsidRDefault="009D1F48">
          <w:pPr>
            <w:pStyle w:val="TDC2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4764903" w:history="1">
            <w:r w:rsidRPr="00B55792">
              <w:rPr>
                <w:rStyle w:val="Hipervnculo"/>
                <w:noProof/>
              </w:rPr>
              <w:t>2.6. Datos y Metodología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_Toc234764903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C1206E1" w14:textId="7AD4BD78" w:rsidR="009D1F48" w:rsidRDefault="009D1F48">
          <w:pPr>
            <w:pStyle w:val="TDC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4764904" w:history="1">
            <w:r w:rsidRPr="00B55792">
              <w:rPr>
                <w:rStyle w:val="Hipervnculo"/>
                <w:noProof/>
              </w:rPr>
              <w:t>Sub-pestaña: Datos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_Toc234764904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A9ED59B" w14:textId="11A4BED8" w:rsidR="009D1F48" w:rsidRDefault="009D1F48">
          <w:pPr>
            <w:pStyle w:val="TDC3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4764905" w:history="1">
            <w:r w:rsidRPr="00B55792">
              <w:rPr>
                <w:rStyle w:val="Hipervnculo"/>
                <w:noProof/>
              </w:rPr>
              <w:t>Sub-pestaña: Metodología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_Toc234764905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A758808" w14:textId="678A5286" w:rsidR="009D1F48" w:rsidRDefault="009D1F48">
          <w:pPr>
            <w:pStyle w:val="TDC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4764906" w:history="1">
            <w:r w:rsidRPr="00B55792">
              <w:rPr>
                <w:rStyle w:val="Hipervnculo"/>
                <w:noProof/>
              </w:rPr>
              <w:t>3. Resumen en una tabla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_Toc234764906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9F063E3" w14:textId="7504F027" w:rsidR="009D1F48" w:rsidRDefault="009D1F48">
          <w:pPr>
            <w:pStyle w:val="TDC1"/>
            <w:tabs>
              <w:tab w:val="right" w:leader="dot" w:pos="9632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34764907" w:history="1">
            <w:r w:rsidRPr="00B55792">
              <w:rPr>
                <w:rStyle w:val="Hipervnculo"/>
                <w:noProof/>
              </w:rPr>
              <w:t>4. La idea de fondo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_Toc234764907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24FC086" w14:textId="0634D229" w:rsidR="009176A8" w:rsidRDefault="008318C5">
          <w:r>
            <w:fldChar w:fldCharType="end"/>
          </w:r>
        </w:p>
      </w:sdtContent>
    </w:sdt>
    <w:p w14:paraId="18999220" w14:textId="77777777" w:rsidR="009176A8" w:rsidRDefault="008318C5">
      <w:r>
        <w:br w:type="page"/>
      </w:r>
    </w:p>
    <w:p w14:paraId="56878700" w14:textId="77777777" w:rsidR="009176A8" w:rsidRDefault="009176A8">
      <w:pPr>
        <w:sectPr w:rsidR="009176A8">
          <w:pgSz w:w="11910" w:h="16850"/>
          <w:pgMar w:top="1134" w:right="1134" w:bottom="1134" w:left="1134" w:header="708" w:footer="708" w:gutter="0"/>
          <w:cols w:space="720"/>
          <w:docGrid w:linePitch="360"/>
        </w:sectPr>
      </w:pPr>
    </w:p>
    <w:p w14:paraId="2852FFBD" w14:textId="77777777" w:rsidR="009176A8" w:rsidRDefault="008318C5">
      <w:pPr>
        <w:pStyle w:val="Ttulo1"/>
        <w:keepNext/>
        <w:spacing w:line="276" w:lineRule="auto"/>
      </w:pPr>
      <w:bookmarkStart w:id="0" w:name="_Toc234764892"/>
      <w:r>
        <w:t>1. Introducción: los cuatro tipos de analítica</w:t>
      </w:r>
      <w:bookmarkEnd w:id="0"/>
    </w:p>
    <w:p w14:paraId="1329CF5A" w14:textId="77777777" w:rsidR="009176A8" w:rsidRDefault="008318C5">
      <w:pPr>
        <w:spacing w:after="160" w:line="276" w:lineRule="auto"/>
        <w:jc w:val="both"/>
      </w:pPr>
      <w:r>
        <w:t>Toda solución de analítica de negocios responde a cuatro preguntas, ordenadas de menor a mayor valor para la toma de decisiones. El dashboard de SafeAnalytics EC recorre las cuatro: empieza por lo más básico (resumir lo que ocurrió) y avanza hasta lo más avanzado (recomendar qué hacer).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400"/>
        <w:gridCol w:w="2600"/>
      </w:tblGrid>
      <w:tr w:rsidR="009176A8" w14:paraId="3AB1877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04736E" w14:textId="77777777" w:rsidR="009176A8" w:rsidRDefault="008318C5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Tipo de analítica</w:t>
            </w:r>
          </w:p>
        </w:tc>
        <w:tc>
          <w:tcPr>
            <w:tcW w:w="3400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CD2498" w14:textId="77777777" w:rsidR="009176A8" w:rsidRDefault="008318C5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Pregunta que responde</w:t>
            </w:r>
          </w:p>
        </w:tc>
        <w:tc>
          <w:tcPr>
            <w:tcW w:w="2600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01A8B1" w14:textId="77777777" w:rsidR="009176A8" w:rsidRDefault="008318C5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En palabras simples</w:t>
            </w:r>
          </w:p>
        </w:tc>
      </w:tr>
      <w:tr w:rsidR="009176A8" w14:paraId="3530785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47A688B1" w14:textId="77777777" w:rsidR="009176A8" w:rsidRDefault="008318C5">
            <w:r>
              <w:rPr>
                <w:sz w:val="22"/>
                <w:szCs w:val="22"/>
              </w:rPr>
              <w:t>Descriptiva</w:t>
            </w:r>
          </w:p>
        </w:tc>
        <w:tc>
          <w:tcPr>
            <w:tcW w:w="34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AD6CB6F" w14:textId="77777777" w:rsidR="009176A8" w:rsidRDefault="008318C5">
            <w:pPr>
              <w:jc w:val="center"/>
            </w:pPr>
            <w:r>
              <w:rPr>
                <w:sz w:val="22"/>
                <w:szCs w:val="22"/>
              </w:rPr>
              <w:t>¿Qué pasó?</w:t>
            </w:r>
          </w:p>
        </w:tc>
        <w:tc>
          <w:tcPr>
            <w:tcW w:w="26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7D47590E" w14:textId="77777777" w:rsidR="009176A8" w:rsidRDefault="008318C5">
            <w:pPr>
              <w:jc w:val="center"/>
            </w:pPr>
            <w:r>
              <w:rPr>
                <w:sz w:val="22"/>
                <w:szCs w:val="22"/>
              </w:rPr>
              <w:t>Resume lo ocurrido</w:t>
            </w:r>
          </w:p>
        </w:tc>
      </w:tr>
      <w:tr w:rsidR="009176A8" w14:paraId="62FB2AC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2F5F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F850D4D" w14:textId="77777777" w:rsidR="009176A8" w:rsidRDefault="008318C5">
            <w:r>
              <w:rPr>
                <w:sz w:val="22"/>
                <w:szCs w:val="22"/>
              </w:rPr>
              <w:t>Diagnóstica</w:t>
            </w:r>
          </w:p>
        </w:tc>
        <w:tc>
          <w:tcPr>
            <w:tcW w:w="3400" w:type="dxa"/>
            <w:shd w:val="clear" w:color="auto" w:fill="F2F5F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4E5C1432" w14:textId="77777777" w:rsidR="009176A8" w:rsidRDefault="008318C5">
            <w:pPr>
              <w:jc w:val="center"/>
            </w:pPr>
            <w:r>
              <w:rPr>
                <w:sz w:val="22"/>
                <w:szCs w:val="22"/>
              </w:rPr>
              <w:t>¿Dónde, cuándo y por qué pasó?</w:t>
            </w:r>
          </w:p>
        </w:tc>
        <w:tc>
          <w:tcPr>
            <w:tcW w:w="2600" w:type="dxa"/>
            <w:shd w:val="clear" w:color="auto" w:fill="F2F5F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3D7F981B" w14:textId="77777777" w:rsidR="009176A8" w:rsidRDefault="008318C5">
            <w:pPr>
              <w:jc w:val="center"/>
            </w:pPr>
            <w:r>
              <w:rPr>
                <w:sz w:val="22"/>
                <w:szCs w:val="22"/>
              </w:rPr>
              <w:t>Busca patrones y causas aparentes</w:t>
            </w:r>
          </w:p>
        </w:tc>
      </w:tr>
      <w:tr w:rsidR="009176A8" w14:paraId="17F886C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8A44458" w14:textId="77777777" w:rsidR="009176A8" w:rsidRDefault="008318C5">
            <w:r>
              <w:rPr>
                <w:sz w:val="22"/>
                <w:szCs w:val="22"/>
              </w:rPr>
              <w:t>Predictiva</w:t>
            </w:r>
          </w:p>
        </w:tc>
        <w:tc>
          <w:tcPr>
            <w:tcW w:w="34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30DEC514" w14:textId="77777777" w:rsidR="009176A8" w:rsidRDefault="008318C5">
            <w:pPr>
              <w:jc w:val="center"/>
            </w:pPr>
            <w:r>
              <w:rPr>
                <w:sz w:val="22"/>
                <w:szCs w:val="22"/>
              </w:rPr>
              <w:t>¿Qué podría pasar?</w:t>
            </w:r>
          </w:p>
        </w:tc>
        <w:tc>
          <w:tcPr>
            <w:tcW w:w="26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6D3B5353" w14:textId="77777777" w:rsidR="009176A8" w:rsidRDefault="008318C5">
            <w:pPr>
              <w:jc w:val="center"/>
            </w:pPr>
            <w:r>
              <w:rPr>
                <w:sz w:val="22"/>
                <w:szCs w:val="22"/>
              </w:rPr>
              <w:t>Estima el comportamiento futuro</w:t>
            </w:r>
          </w:p>
        </w:tc>
      </w:tr>
      <w:tr w:rsidR="009176A8" w14:paraId="25CC30D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2F5F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34580C76" w14:textId="77777777" w:rsidR="009176A8" w:rsidRDefault="008318C5">
            <w:r>
              <w:rPr>
                <w:sz w:val="22"/>
                <w:szCs w:val="22"/>
              </w:rPr>
              <w:t>Prescriptiva</w:t>
            </w:r>
          </w:p>
        </w:tc>
        <w:tc>
          <w:tcPr>
            <w:tcW w:w="3400" w:type="dxa"/>
            <w:shd w:val="clear" w:color="auto" w:fill="F2F5F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30E2E83B" w14:textId="77777777" w:rsidR="009176A8" w:rsidRDefault="008318C5">
            <w:pPr>
              <w:jc w:val="center"/>
            </w:pPr>
            <w:r>
              <w:rPr>
                <w:sz w:val="22"/>
                <w:szCs w:val="22"/>
              </w:rPr>
              <w:t>¿Qué hacer?</w:t>
            </w:r>
          </w:p>
        </w:tc>
        <w:tc>
          <w:tcPr>
            <w:tcW w:w="2600" w:type="dxa"/>
            <w:shd w:val="clear" w:color="auto" w:fill="F2F5F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BF3DF5A" w14:textId="77777777" w:rsidR="009176A8" w:rsidRDefault="008318C5">
            <w:pPr>
              <w:jc w:val="center"/>
            </w:pPr>
            <w:r>
              <w:rPr>
                <w:sz w:val="22"/>
                <w:szCs w:val="22"/>
              </w:rPr>
              <w:t>Recomienda acciones concretas</w:t>
            </w:r>
          </w:p>
        </w:tc>
      </w:tr>
    </w:tbl>
    <w:p w14:paraId="257AD4AB" w14:textId="77777777" w:rsidR="009176A8" w:rsidRDefault="009176A8">
      <w:pPr>
        <w:spacing w:after="100" w:line="276" w:lineRule="auto"/>
        <w:jc w:val="both"/>
      </w:pPr>
    </w:p>
    <w:p w14:paraId="743D63CF" w14:textId="77777777" w:rsidR="009176A8" w:rsidRDefault="008318C5">
      <w:pPr>
        <w:spacing w:after="160" w:line="276" w:lineRule="auto"/>
        <w:jc w:val="both"/>
      </w:pPr>
      <w:r>
        <w:t>Antes de entrar a las vistas, conviene saber que el dashboard tiene tres elementos siempre visibles:</w:t>
      </w:r>
    </w:p>
    <w:p w14:paraId="722AE52C" w14:textId="77777777" w:rsidR="009176A8" w:rsidRDefault="008318C5">
      <w:pPr>
        <w:pStyle w:val="Prrafodelista"/>
        <w:numPr>
          <w:ilvl w:val="0"/>
          <w:numId w:val="1"/>
        </w:numPr>
        <w:spacing w:after="80" w:line="276" w:lineRule="auto"/>
        <w:jc w:val="both"/>
      </w:pPr>
      <w:r>
        <w:t>Fila de KPIs (arriba): total de homicidios, % de arma de fuego, % de víctimas hombres, edad promedio y provincia crítica, más la tasa por 100.000 habitantes.</w:t>
      </w:r>
    </w:p>
    <w:p w14:paraId="72A6B541" w14:textId="77777777" w:rsidR="009176A8" w:rsidRDefault="008318C5">
      <w:pPr>
        <w:pStyle w:val="Prrafodelista"/>
        <w:numPr>
          <w:ilvl w:val="0"/>
          <w:numId w:val="1"/>
        </w:numPr>
        <w:spacing w:after="80" w:line="276" w:lineRule="auto"/>
        <w:jc w:val="both"/>
      </w:pPr>
      <w:r>
        <w:t>Alertas ejecutivas: mensajes automáticos que se encienden cuando se detecta concentración territorial, predominio de arma de fuego, ocurrencia en lugares públicos o una hora crítica.</w:t>
      </w:r>
    </w:p>
    <w:p w14:paraId="00846A97" w14:textId="77777777" w:rsidR="009176A8" w:rsidRDefault="008318C5">
      <w:pPr>
        <w:pStyle w:val="Prrafodelista"/>
        <w:numPr>
          <w:ilvl w:val="0"/>
          <w:numId w:val="1"/>
        </w:numPr>
        <w:spacing w:after="80" w:line="276" w:lineRule="auto"/>
        <w:jc w:val="both"/>
      </w:pPr>
      <w:r>
        <w:t>Filtros (barra lateral izquierda): por provincia, mes y arma. Cualquier filtro que elijas afecta a todas las vistas al mismo tiempo.</w:t>
      </w:r>
    </w:p>
    <w:p w14:paraId="72F9CC96" w14:textId="77777777" w:rsidR="009176A8" w:rsidRDefault="008318C5">
      <w:pPr>
        <w:pStyle w:val="Ttulo1"/>
        <w:keepNext/>
        <w:spacing w:line="276" w:lineRule="auto"/>
      </w:pPr>
      <w:bookmarkStart w:id="1" w:name="_Toc234764893"/>
      <w:r>
        <w:t>2. Las seis pestañas principales, explicadas una por una</w:t>
      </w:r>
      <w:bookmarkEnd w:id="1"/>
    </w:p>
    <w:p w14:paraId="742A9D5D" w14:textId="77777777" w:rsidR="009176A8" w:rsidRDefault="008318C5">
      <w:pPr>
        <w:spacing w:after="160" w:line="276" w:lineRule="auto"/>
        <w:jc w:val="both"/>
      </w:pPr>
      <w:r>
        <w:t>El dashboard consolida sus vistas en seis pestañas principales, ordenadas siguiendo la progresión natural de madurez analítica: primero se describe, luego se diagnostica, después se predice y finalmente se prescribe. Las pestañas que comparten el mismo tipo de analítica se agrupan en una sola, con sub‑pestañas internas para no perder detalle.</w:t>
      </w:r>
    </w:p>
    <w:p w14:paraId="21E3DC5E" w14:textId="77777777" w:rsidR="009176A8" w:rsidRDefault="008318C5">
      <w:pPr>
        <w:pStyle w:val="Ttulo2"/>
        <w:keepNext/>
        <w:spacing w:line="276" w:lineRule="auto"/>
      </w:pPr>
      <w:bookmarkStart w:id="2" w:name="_Toc234764894"/>
      <w:r>
        <w:t>2.1. Ejecutivo</w:t>
      </w:r>
      <w:bookmarkEnd w:id="2"/>
    </w:p>
    <w:p w14:paraId="3D89C50F" w14:textId="77777777" w:rsidR="009176A8" w:rsidRDefault="008318C5">
      <w:pPr>
        <w:spacing w:after="80" w:line="276" w:lineRule="auto"/>
      </w:pPr>
      <w:r>
        <w:rPr>
          <w:b/>
          <w:bCs/>
          <w:color w:val="1F3864"/>
        </w:rPr>
        <w:t xml:space="preserve">Tipo de analítica: </w:t>
      </w:r>
      <w:r>
        <w:t>Descriptiva (con un toque prescriptivo en las prioridades).</w:t>
      </w:r>
    </w:p>
    <w:p w14:paraId="6959B227" w14:textId="77777777" w:rsidR="009176A8" w:rsidRDefault="008318C5">
      <w:pPr>
        <w:spacing w:after="120" w:line="276" w:lineRule="auto"/>
        <w:jc w:val="both"/>
      </w:pPr>
      <w:r>
        <w:rPr>
          <w:b/>
          <w:bCs/>
        </w:rPr>
        <w:t xml:space="preserve">Qué muestra: </w:t>
      </w:r>
      <w:r>
        <w:t>los indicadores clave del periodo, la tasa por 100.000 habitantes, la evolución mes a mes, el ranking de provincias y las cinco prioridades estratégicas.</w:t>
      </w:r>
    </w:p>
    <w:p w14:paraId="31147CFA" w14:textId="77777777" w:rsidR="009176A8" w:rsidRDefault="008318C5">
      <w:pPr>
        <w:spacing w:after="120" w:line="276" w:lineRule="auto"/>
        <w:jc w:val="both"/>
      </w:pPr>
      <w:r>
        <w:rPr>
          <w:b/>
          <w:bCs/>
        </w:rPr>
        <w:t xml:space="preserve">Qué resuelve: </w:t>
      </w:r>
      <w:r>
        <w:t>darle a un director, en segundos, la foto general del problema: cómo estamos y qué provincias requieren atención. Es la vista de arranque, pensada para la toma de decisiones de alto nivel.</w:t>
      </w:r>
    </w:p>
    <w:p w14:paraId="7A0B517E" w14:textId="77777777" w:rsidR="009176A8" w:rsidRDefault="008318C5">
      <w:pPr>
        <w:pStyle w:val="Ttulo2"/>
        <w:keepNext/>
        <w:spacing w:line="276" w:lineRule="auto"/>
      </w:pPr>
      <w:bookmarkStart w:id="3" w:name="_Toc234764895"/>
      <w:r>
        <w:t>2.2. Caracterización</w:t>
      </w:r>
      <w:bookmarkEnd w:id="3"/>
    </w:p>
    <w:p w14:paraId="1F424457" w14:textId="77777777" w:rsidR="009176A8" w:rsidRDefault="008318C5">
      <w:pPr>
        <w:spacing w:after="80" w:line="276" w:lineRule="auto"/>
      </w:pPr>
      <w:r>
        <w:rPr>
          <w:b/>
          <w:bCs/>
          <w:color w:val="1F3864"/>
        </w:rPr>
        <w:t xml:space="preserve">Tipo de analítica: </w:t>
      </w:r>
      <w:r>
        <w:t>Descriptiva y diagnóstica (responde al «cómo»).</w:t>
      </w:r>
    </w:p>
    <w:p w14:paraId="4C4470EE" w14:textId="77777777" w:rsidR="009176A8" w:rsidRDefault="008318C5">
      <w:pPr>
        <w:spacing w:after="120" w:line="276" w:lineRule="auto"/>
        <w:jc w:val="both"/>
      </w:pPr>
      <w:r>
        <w:rPr>
          <w:b/>
          <w:bCs/>
        </w:rPr>
        <w:t xml:space="preserve">Qué muestra: </w:t>
      </w:r>
      <w:r>
        <w:t>la distribución por tipo de arma, la presunta motivación, el sexo de las víctimas y un histograma de edades.</w:t>
      </w:r>
    </w:p>
    <w:p w14:paraId="78AD448E" w14:textId="77777777" w:rsidR="009176A8" w:rsidRDefault="008318C5">
      <w:pPr>
        <w:spacing w:after="120" w:line="276" w:lineRule="auto"/>
        <w:jc w:val="both"/>
      </w:pPr>
      <w:r>
        <w:rPr>
          <w:b/>
          <w:bCs/>
        </w:rPr>
        <w:t xml:space="preserve">Qué resuelve: </w:t>
      </w:r>
      <w:r>
        <w:t>describe el perfil del fenómeno y de las víctimas (por ejemplo, predominio de arma de fuego y de hombres jóvenes), lo que ayuda a orientar políticas específicas.</w:t>
      </w:r>
    </w:p>
    <w:p w14:paraId="2A2C0395" w14:textId="77777777" w:rsidR="009176A8" w:rsidRDefault="008318C5">
      <w:pPr>
        <w:pStyle w:val="Ttulo2"/>
        <w:keepNext/>
        <w:spacing w:line="276" w:lineRule="auto"/>
      </w:pPr>
      <w:bookmarkStart w:id="4" w:name="_Toc234764896"/>
      <w:r>
        <w:t>2.3. Geográfico y Temporal</w:t>
      </w:r>
      <w:bookmarkEnd w:id="4"/>
    </w:p>
    <w:p w14:paraId="759238AD" w14:textId="77777777" w:rsidR="009176A8" w:rsidRDefault="008318C5">
      <w:pPr>
        <w:spacing w:after="80" w:line="276" w:lineRule="auto"/>
      </w:pPr>
      <w:r>
        <w:rPr>
          <w:b/>
          <w:bCs/>
          <w:color w:val="1F3864"/>
        </w:rPr>
        <w:t xml:space="preserve">Tipo de analítica: </w:t>
      </w:r>
      <w:r>
        <w:t>Diagnóstica (responde al «dónde» y al «cuándo»).</w:t>
      </w:r>
    </w:p>
    <w:p w14:paraId="059544FB" w14:textId="77777777" w:rsidR="009176A8" w:rsidRDefault="008318C5">
      <w:pPr>
        <w:spacing w:after="160" w:line="276" w:lineRule="auto"/>
        <w:jc w:val="both"/>
      </w:pPr>
      <w:r>
        <w:t>Esta pestaña agrupa dos sub-pestañas complementarias, ambas diagnósticas.</w:t>
      </w:r>
    </w:p>
    <w:p w14:paraId="4A83F5AC" w14:textId="77777777" w:rsidR="009176A8" w:rsidRDefault="008318C5">
      <w:pPr>
        <w:pStyle w:val="Ttulo3"/>
        <w:keepNext/>
        <w:spacing w:line="276" w:lineRule="auto"/>
      </w:pPr>
      <w:bookmarkStart w:id="5" w:name="_Toc234764897"/>
      <w:r>
        <w:t>Sub-pestaña: Geográfico</w:t>
      </w:r>
      <w:bookmarkEnd w:id="5"/>
    </w:p>
    <w:p w14:paraId="4374B2EF" w14:textId="77777777" w:rsidR="009176A8" w:rsidRDefault="008318C5">
      <w:pPr>
        <w:spacing w:after="120" w:line="276" w:lineRule="auto"/>
        <w:jc w:val="both"/>
      </w:pPr>
      <w:r>
        <w:rPr>
          <w:b/>
          <w:bCs/>
        </w:rPr>
        <w:t xml:space="preserve">Qué muestra: </w:t>
      </w:r>
      <w:r>
        <w:t>un mapa con la ubicación georreferenciada de los eventos, el ranking de los cantones más afectados y un treemap (rectángulos proporcionales) de concentración por zona y provincia.</w:t>
      </w:r>
    </w:p>
    <w:p w14:paraId="6F01406E" w14:textId="77777777" w:rsidR="009176A8" w:rsidRDefault="008318C5">
      <w:pPr>
        <w:spacing w:after="120" w:line="276" w:lineRule="auto"/>
        <w:jc w:val="both"/>
      </w:pPr>
      <w:r>
        <w:rPr>
          <w:b/>
          <w:bCs/>
        </w:rPr>
        <w:t xml:space="preserve">Qué resuelve: </w:t>
      </w:r>
      <w:r>
        <w:t>identifica de un vistazo las zonas calientes: dónde se concentra geográficamente la incidencia.</w:t>
      </w:r>
    </w:p>
    <w:p w14:paraId="1E11B25A" w14:textId="77777777" w:rsidR="009176A8" w:rsidRDefault="008318C5">
      <w:pPr>
        <w:pStyle w:val="Ttulo3"/>
        <w:keepNext/>
        <w:spacing w:line="276" w:lineRule="auto"/>
      </w:pPr>
      <w:bookmarkStart w:id="6" w:name="_Toc234764898"/>
      <w:r>
        <w:t>Sub-pestaña: Temporal</w:t>
      </w:r>
      <w:bookmarkEnd w:id="6"/>
    </w:p>
    <w:p w14:paraId="27F3D9E0" w14:textId="77777777" w:rsidR="009176A8" w:rsidRDefault="008318C5">
      <w:pPr>
        <w:spacing w:after="120" w:line="276" w:lineRule="auto"/>
        <w:jc w:val="both"/>
      </w:pPr>
      <w:r>
        <w:rPr>
          <w:b/>
          <w:bCs/>
        </w:rPr>
        <w:t xml:space="preserve">Qué muestra: </w:t>
      </w:r>
      <w:r>
        <w:t>la incidencia por hora del día, el patrón por día de la semana y un mapa de calor que cruza día contra hora para ver qué combinaciones son las más críticas.</w:t>
      </w:r>
    </w:p>
    <w:p w14:paraId="50FA1C2C" w14:textId="77777777" w:rsidR="009176A8" w:rsidRDefault="008318C5">
      <w:pPr>
        <w:spacing w:after="120" w:line="276" w:lineRule="auto"/>
        <w:jc w:val="both"/>
      </w:pPr>
      <w:r>
        <w:rPr>
          <w:b/>
          <w:bCs/>
        </w:rPr>
        <w:t xml:space="preserve">Qué resuelve: </w:t>
      </w:r>
      <w:r>
        <w:t>revela los horarios y días de mayor riesgo, información útil para planificar operativos en el momento correcto.</w:t>
      </w:r>
    </w:p>
    <w:p w14:paraId="2617ADDC" w14:textId="77777777" w:rsidR="009176A8" w:rsidRDefault="008318C5">
      <w:pPr>
        <w:pStyle w:val="Ttulo2"/>
        <w:keepNext/>
        <w:spacing w:line="276" w:lineRule="auto"/>
      </w:pPr>
      <w:bookmarkStart w:id="7" w:name="_Toc234764899"/>
      <w:r>
        <w:t>2.4. Predictiva</w:t>
      </w:r>
      <w:bookmarkEnd w:id="7"/>
    </w:p>
    <w:p w14:paraId="75759DA5" w14:textId="77777777" w:rsidR="009176A8" w:rsidRDefault="008318C5">
      <w:pPr>
        <w:spacing w:after="80" w:line="276" w:lineRule="auto"/>
      </w:pPr>
      <w:r>
        <w:rPr>
          <w:b/>
          <w:bCs/>
          <w:color w:val="1F3864"/>
        </w:rPr>
        <w:t xml:space="preserve">Tipo de analítica: </w:t>
      </w:r>
      <w:r>
        <w:t>Predictiva (con un componente prescriptivo en las recomendaciones).</w:t>
      </w:r>
    </w:p>
    <w:p w14:paraId="3C2DC325" w14:textId="77777777" w:rsidR="009176A8" w:rsidRDefault="008318C5">
      <w:pPr>
        <w:spacing w:after="120" w:line="276" w:lineRule="auto"/>
        <w:jc w:val="both"/>
      </w:pPr>
      <w:r>
        <w:rPr>
          <w:b/>
          <w:bCs/>
        </w:rPr>
        <w:t xml:space="preserve">Qué muestra: </w:t>
      </w:r>
      <w:r>
        <w:t>la comparación de dos modelos (el baseline propio frente a una Regresión Lineal), evaluados con MAE, RMSE y R²; la explicabilidad del modelo (qué variables pesan más en la predicción); una matriz de priorización y la tabla de recomendaciones por provincia.</w:t>
      </w:r>
    </w:p>
    <w:p w14:paraId="42A43430" w14:textId="77777777" w:rsidR="009176A8" w:rsidRDefault="008318C5">
      <w:pPr>
        <w:spacing w:after="120" w:line="276" w:lineRule="auto"/>
        <w:jc w:val="both"/>
      </w:pPr>
      <w:r>
        <w:rPr>
          <w:b/>
          <w:bCs/>
        </w:rPr>
        <w:t xml:space="preserve">Qué resuelve: </w:t>
      </w:r>
      <w:r>
        <w:t>estima qué nivel de incidencia puede esperarse por territorio y explica por qué, dejando claro que el modelo es una señal de apoyo a la decisión, no un pronóstico definitivo.</w:t>
      </w:r>
    </w:p>
    <w:p w14:paraId="3072F5CC" w14:textId="77777777" w:rsidR="009176A8" w:rsidRDefault="008318C5">
      <w:pPr>
        <w:pStyle w:val="Ttulo2"/>
        <w:keepNext/>
        <w:spacing w:line="276" w:lineRule="auto"/>
      </w:pPr>
      <w:bookmarkStart w:id="8" w:name="_Toc234764900"/>
      <w:r>
        <w:t>2.5. Riesgo y Simulador</w:t>
      </w:r>
      <w:bookmarkEnd w:id="8"/>
    </w:p>
    <w:p w14:paraId="454C5D37" w14:textId="77777777" w:rsidR="009176A8" w:rsidRDefault="008318C5">
      <w:pPr>
        <w:spacing w:after="80" w:line="276" w:lineRule="auto"/>
      </w:pPr>
      <w:r>
        <w:rPr>
          <w:b/>
          <w:bCs/>
          <w:color w:val="1F3864"/>
        </w:rPr>
        <w:t xml:space="preserve">Tipo de analítica: </w:t>
      </w:r>
      <w:r>
        <w:t>Prescriptiva.</w:t>
      </w:r>
    </w:p>
    <w:p w14:paraId="1DA0D31C" w14:textId="77777777" w:rsidR="009176A8" w:rsidRDefault="008318C5">
      <w:pPr>
        <w:spacing w:after="160" w:line="276" w:lineRule="auto"/>
        <w:jc w:val="both"/>
      </w:pPr>
      <w:r>
        <w:t>Esta pestaña agrupa dos sub-pestañas complementarias, ambas prescriptivas.</w:t>
      </w:r>
    </w:p>
    <w:p w14:paraId="3DCFA1A1" w14:textId="77777777" w:rsidR="009176A8" w:rsidRDefault="008318C5">
      <w:pPr>
        <w:pStyle w:val="Ttulo3"/>
        <w:keepNext/>
        <w:spacing w:line="276" w:lineRule="auto"/>
      </w:pPr>
      <w:bookmarkStart w:id="9" w:name="_Toc234764901"/>
      <w:r>
        <w:t>Sub-pestaña: Riesgo territorial</w:t>
      </w:r>
      <w:bookmarkEnd w:id="9"/>
    </w:p>
    <w:p w14:paraId="617869C3" w14:textId="77777777" w:rsidR="009176A8" w:rsidRDefault="008318C5">
      <w:pPr>
        <w:spacing w:after="120" w:line="276" w:lineRule="auto"/>
        <w:jc w:val="both"/>
      </w:pPr>
      <w:r>
        <w:rPr>
          <w:b/>
          <w:bCs/>
        </w:rPr>
        <w:t xml:space="preserve">Qué muestra: </w:t>
      </w:r>
      <w:r>
        <w:t>un índice de riesgo de 0 a 100 por provincia o cantón, con semáforo Alto/Medio/Bajo. El índice combina cinco factores: volumen histórico, casos recientes, crecimiento mensual, porcentaje de arma de fuego y porcentaje de ocurrencia en lugares públicos. Incluye una matriz de incidencia reciente frente a crecimiento y una tabla de priorización.</w:t>
      </w:r>
    </w:p>
    <w:p w14:paraId="637E5A98" w14:textId="77777777" w:rsidR="009176A8" w:rsidRDefault="008318C5">
      <w:pPr>
        <w:spacing w:after="120" w:line="276" w:lineRule="auto"/>
        <w:jc w:val="both"/>
      </w:pPr>
      <w:r>
        <w:rPr>
          <w:b/>
          <w:bCs/>
        </w:rPr>
        <w:t xml:space="preserve">Qué resuelve: </w:t>
      </w:r>
      <w:r>
        <w:t>responde a la pregunta clave de un tomador de decisiones: ¿en qué territorios debo actuar primero? Convierte muchos datos dispersos en un ranking claro de prioridades.</w:t>
      </w:r>
    </w:p>
    <w:p w14:paraId="0166639F" w14:textId="77777777" w:rsidR="009176A8" w:rsidRDefault="008318C5">
      <w:pPr>
        <w:pStyle w:val="Ttulo3"/>
        <w:keepNext/>
        <w:spacing w:line="276" w:lineRule="auto"/>
      </w:pPr>
      <w:bookmarkStart w:id="10" w:name="_Toc234764902"/>
      <w:r>
        <w:t>Sub-pestaña: Simulador</w:t>
      </w:r>
      <w:bookmarkEnd w:id="10"/>
    </w:p>
    <w:p w14:paraId="50087B8A" w14:textId="77777777" w:rsidR="009176A8" w:rsidRDefault="008318C5">
      <w:pPr>
        <w:spacing w:after="80" w:line="276" w:lineRule="auto"/>
      </w:pPr>
      <w:r>
        <w:rPr>
          <w:b/>
          <w:bCs/>
          <w:color w:val="1F3864"/>
        </w:rPr>
        <w:t xml:space="preserve">Tipo de analítica: </w:t>
      </w:r>
      <w:r>
        <w:t>Prescriptiva (análisis de escenarios «¿qué pasaría si…?»).</w:t>
      </w:r>
    </w:p>
    <w:p w14:paraId="7078407C" w14:textId="77777777" w:rsidR="009176A8" w:rsidRDefault="008318C5">
      <w:pPr>
        <w:spacing w:after="120" w:line="276" w:lineRule="auto"/>
        <w:jc w:val="both"/>
      </w:pPr>
      <w:r>
        <w:rPr>
          <w:b/>
          <w:bCs/>
        </w:rPr>
        <w:t xml:space="preserve">Qué muestra: </w:t>
      </w:r>
      <w:r>
        <w:t>eliges un territorio y una reducción esperada de incidencia (por ejemplo, -10%) y el simulador estima cuántos casos se evitarían en los próximos meses, comparando el escenario sin acción contra el escenario con intervención.</w:t>
      </w:r>
    </w:p>
    <w:p w14:paraId="504EDB2B" w14:textId="77777777" w:rsidR="009176A8" w:rsidRDefault="008318C5">
      <w:pPr>
        <w:spacing w:after="120" w:line="276" w:lineRule="auto"/>
        <w:jc w:val="both"/>
      </w:pPr>
      <w:r>
        <w:rPr>
          <w:b/>
          <w:bCs/>
        </w:rPr>
        <w:t xml:space="preserve">Qué resuelve: </w:t>
      </w:r>
      <w:r>
        <w:t>permite anticipar el impacto de una decisión antes de tomarla y justificar la asignación de recursos con una estimación concreta.</w:t>
      </w:r>
    </w:p>
    <w:p w14:paraId="7C3ADFDA" w14:textId="77777777" w:rsidR="009176A8" w:rsidRDefault="008318C5">
      <w:pPr>
        <w:pStyle w:val="Ttulo2"/>
        <w:keepNext/>
        <w:spacing w:line="276" w:lineRule="auto"/>
      </w:pPr>
      <w:bookmarkStart w:id="11" w:name="_Toc234764903"/>
      <w:r>
        <w:t>2.6. Datos y Metodología</w:t>
      </w:r>
      <w:bookmarkEnd w:id="11"/>
    </w:p>
    <w:p w14:paraId="79AAA939" w14:textId="77777777" w:rsidR="009176A8" w:rsidRDefault="008318C5">
      <w:pPr>
        <w:spacing w:after="80" w:line="276" w:lineRule="auto"/>
      </w:pPr>
      <w:r>
        <w:rPr>
          <w:b/>
          <w:bCs/>
          <w:color w:val="1F3864"/>
        </w:rPr>
        <w:t xml:space="preserve">Tipo de analítica: </w:t>
      </w:r>
      <w:r>
        <w:t>Soporte y transparencia.</w:t>
      </w:r>
    </w:p>
    <w:p w14:paraId="232AF9CD" w14:textId="77777777" w:rsidR="009176A8" w:rsidRDefault="008318C5">
      <w:pPr>
        <w:spacing w:after="160" w:line="276" w:lineRule="auto"/>
        <w:jc w:val="both"/>
      </w:pPr>
      <w:r>
        <w:t>Esta pestaña agrupa dos sub-pestañas de respaldo, ambas de soporte.</w:t>
      </w:r>
    </w:p>
    <w:p w14:paraId="42BDFE52" w14:textId="77777777" w:rsidR="009176A8" w:rsidRDefault="008318C5">
      <w:pPr>
        <w:pStyle w:val="Ttulo3"/>
        <w:keepNext/>
        <w:spacing w:line="276" w:lineRule="auto"/>
      </w:pPr>
      <w:bookmarkStart w:id="12" w:name="_Toc234764904"/>
      <w:r>
        <w:t>Sub-pestaña: Datos</w:t>
      </w:r>
      <w:bookmarkEnd w:id="12"/>
    </w:p>
    <w:p w14:paraId="0DD26942" w14:textId="77777777" w:rsidR="009176A8" w:rsidRDefault="008318C5">
      <w:pPr>
        <w:spacing w:after="120" w:line="276" w:lineRule="auto"/>
        <w:jc w:val="both"/>
      </w:pPr>
      <w:r>
        <w:rPr>
          <w:b/>
          <w:bCs/>
        </w:rPr>
        <w:t xml:space="preserve">Qué muestra: </w:t>
      </w:r>
      <w:r>
        <w:t>las tablas del modelo estrella (la tabla de hechos y sus dimensiones), el reporte de calidad de datos y un botón para descargar cada tabla en formato CSV.</w:t>
      </w:r>
    </w:p>
    <w:p w14:paraId="5C1CB7CE" w14:textId="77777777" w:rsidR="009176A8" w:rsidRDefault="008318C5">
      <w:pPr>
        <w:spacing w:after="120" w:line="276" w:lineRule="auto"/>
        <w:jc w:val="both"/>
      </w:pPr>
      <w:r>
        <w:rPr>
          <w:b/>
          <w:bCs/>
        </w:rPr>
        <w:t xml:space="preserve">Qué resuelve: </w:t>
      </w:r>
      <w:r>
        <w:t>garantiza la trazabilidad: cualquier persona puede verificar de dónde salen los números y auditar la información.</w:t>
      </w:r>
    </w:p>
    <w:p w14:paraId="54C447D4" w14:textId="77777777" w:rsidR="009176A8" w:rsidRDefault="008318C5">
      <w:pPr>
        <w:pStyle w:val="Ttulo3"/>
        <w:keepNext/>
        <w:spacing w:line="276" w:lineRule="auto"/>
      </w:pPr>
      <w:bookmarkStart w:id="13" w:name="_Toc234764905"/>
      <w:r>
        <w:t>Sub-pestaña: Metodología</w:t>
      </w:r>
      <w:bookmarkEnd w:id="13"/>
    </w:p>
    <w:p w14:paraId="090482BC" w14:textId="77777777" w:rsidR="009176A8" w:rsidRDefault="008318C5">
      <w:pPr>
        <w:spacing w:after="120" w:line="276" w:lineRule="auto"/>
        <w:jc w:val="both"/>
      </w:pPr>
      <w:r>
        <w:rPr>
          <w:b/>
          <w:bCs/>
        </w:rPr>
        <w:t xml:space="preserve">Qué muestra: </w:t>
      </w:r>
      <w:r>
        <w:t>las dos fuentes de datos (el Excel oficial del MDI y la API pública del Banco Mundial), las medidas de dispersión (desviación estándar y coeficiente de variación), el mapa de calor de correlación entre indicadores, el modelo dimensional y el control de calidad.</w:t>
      </w:r>
    </w:p>
    <w:p w14:paraId="0D181D4C" w14:textId="77777777" w:rsidR="009176A8" w:rsidRDefault="008318C5">
      <w:pPr>
        <w:spacing w:after="120" w:line="276" w:lineRule="auto"/>
        <w:jc w:val="both"/>
      </w:pPr>
      <w:r>
        <w:rPr>
          <w:b/>
          <w:bCs/>
        </w:rPr>
        <w:t xml:space="preserve">Qué resuelve: </w:t>
      </w:r>
      <w:r>
        <w:t>demuestra el rigor del análisis: por qué la concentración territorial es real y qué variables se mueven juntas, dejando claro que correlación no implica causalidad.</w:t>
      </w:r>
    </w:p>
    <w:p w14:paraId="7128AC85" w14:textId="77777777" w:rsidR="009176A8" w:rsidRDefault="008318C5">
      <w:pPr>
        <w:pStyle w:val="Ttulo1"/>
        <w:keepNext/>
        <w:spacing w:line="276" w:lineRule="auto"/>
      </w:pPr>
      <w:bookmarkStart w:id="14" w:name="_Toc234764906"/>
      <w:r>
        <w:t>3. Resumen en una tabla</w:t>
      </w:r>
      <w:bookmarkEnd w:id="14"/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2900"/>
        <w:gridCol w:w="3200"/>
      </w:tblGrid>
      <w:tr w:rsidR="009176A8" w14:paraId="44F381E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6F6832" w14:textId="77777777" w:rsidR="009176A8" w:rsidRDefault="008318C5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Pestaña</w:t>
            </w:r>
          </w:p>
        </w:tc>
        <w:tc>
          <w:tcPr>
            <w:tcW w:w="2900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FD2600" w14:textId="77777777" w:rsidR="009176A8" w:rsidRDefault="008318C5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Tipo de analítica</w:t>
            </w:r>
          </w:p>
        </w:tc>
        <w:tc>
          <w:tcPr>
            <w:tcW w:w="3200" w:type="dxa"/>
            <w:shd w:val="clear" w:color="auto" w:fill="1F386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A78DB0" w14:textId="77777777" w:rsidR="009176A8" w:rsidRDefault="008318C5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Pregunta que responde</w:t>
            </w:r>
          </w:p>
        </w:tc>
      </w:tr>
      <w:tr w:rsidR="009176A8" w14:paraId="7D8D04B2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4CCBB3D7" w14:textId="77777777" w:rsidR="009176A8" w:rsidRDefault="008318C5">
            <w:r>
              <w:rPr>
                <w:sz w:val="22"/>
                <w:szCs w:val="22"/>
              </w:rPr>
              <w:t>1. Ejecutivo</w:t>
            </w:r>
          </w:p>
        </w:tc>
        <w:tc>
          <w:tcPr>
            <w:tcW w:w="29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3DBF2409" w14:textId="77777777" w:rsidR="009176A8" w:rsidRDefault="008318C5">
            <w:pPr>
              <w:jc w:val="center"/>
            </w:pPr>
            <w:r>
              <w:rPr>
                <w:sz w:val="22"/>
                <w:szCs w:val="22"/>
              </w:rPr>
              <w:t>Descriptiva</w:t>
            </w:r>
          </w:p>
        </w:tc>
        <w:tc>
          <w:tcPr>
            <w:tcW w:w="32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68D63A72" w14:textId="77777777" w:rsidR="009176A8" w:rsidRDefault="008318C5">
            <w:pPr>
              <w:jc w:val="center"/>
            </w:pPr>
            <w:r>
              <w:rPr>
                <w:sz w:val="22"/>
                <w:szCs w:val="22"/>
              </w:rPr>
              <w:t>¿Cómo estamos en general?</w:t>
            </w:r>
          </w:p>
        </w:tc>
      </w:tr>
      <w:tr w:rsidR="009176A8" w14:paraId="6D7A2EBC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shd w:val="clear" w:color="auto" w:fill="F2F5F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25FA2657" w14:textId="77777777" w:rsidR="009176A8" w:rsidRDefault="008318C5">
            <w:r>
              <w:rPr>
                <w:sz w:val="22"/>
                <w:szCs w:val="22"/>
              </w:rPr>
              <w:t>2. Caracterización</w:t>
            </w:r>
          </w:p>
        </w:tc>
        <w:tc>
          <w:tcPr>
            <w:tcW w:w="2900" w:type="dxa"/>
            <w:shd w:val="clear" w:color="auto" w:fill="F2F5F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89D8CE2" w14:textId="77777777" w:rsidR="009176A8" w:rsidRDefault="008318C5">
            <w:pPr>
              <w:jc w:val="center"/>
            </w:pPr>
            <w:r>
              <w:rPr>
                <w:sz w:val="22"/>
                <w:szCs w:val="22"/>
              </w:rPr>
              <w:t>Descriptiva / Diagnóstica</w:t>
            </w:r>
          </w:p>
        </w:tc>
        <w:tc>
          <w:tcPr>
            <w:tcW w:w="3200" w:type="dxa"/>
            <w:shd w:val="clear" w:color="auto" w:fill="F2F5F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F327333" w14:textId="77777777" w:rsidR="009176A8" w:rsidRDefault="008318C5">
            <w:pPr>
              <w:jc w:val="center"/>
            </w:pPr>
            <w:r>
              <w:rPr>
                <w:sz w:val="22"/>
                <w:szCs w:val="22"/>
              </w:rPr>
              <w:t>¿Cómo es el delito y las víctimas?</w:t>
            </w:r>
          </w:p>
        </w:tc>
      </w:tr>
      <w:tr w:rsidR="009176A8" w14:paraId="0C11B102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035FDFE1" w14:textId="77777777" w:rsidR="009176A8" w:rsidRDefault="008318C5">
            <w:r>
              <w:rPr>
                <w:sz w:val="22"/>
                <w:szCs w:val="22"/>
              </w:rPr>
              <w:t>3. Geográfico y Temporal</w:t>
            </w:r>
          </w:p>
        </w:tc>
        <w:tc>
          <w:tcPr>
            <w:tcW w:w="29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01C7EB4" w14:textId="77777777" w:rsidR="009176A8" w:rsidRDefault="008318C5">
            <w:pPr>
              <w:jc w:val="center"/>
            </w:pPr>
            <w:r>
              <w:rPr>
                <w:sz w:val="22"/>
                <w:szCs w:val="22"/>
              </w:rPr>
              <w:t>Diagnóstica</w:t>
            </w:r>
          </w:p>
        </w:tc>
        <w:tc>
          <w:tcPr>
            <w:tcW w:w="32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30356934" w14:textId="77777777" w:rsidR="009176A8" w:rsidRDefault="008318C5">
            <w:pPr>
              <w:jc w:val="center"/>
            </w:pPr>
            <w:r>
              <w:rPr>
                <w:sz w:val="22"/>
                <w:szCs w:val="22"/>
              </w:rPr>
              <w:t>¿Dónde y cuándo se concentra?</w:t>
            </w:r>
          </w:p>
        </w:tc>
      </w:tr>
      <w:tr w:rsidR="009176A8" w14:paraId="348E9DC0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shd w:val="clear" w:color="auto" w:fill="F2F5F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DC04749" w14:textId="77777777" w:rsidR="009176A8" w:rsidRDefault="008318C5">
            <w:r>
              <w:rPr>
                <w:sz w:val="22"/>
                <w:szCs w:val="22"/>
              </w:rPr>
              <w:t>4. Predictiva</w:t>
            </w:r>
          </w:p>
        </w:tc>
        <w:tc>
          <w:tcPr>
            <w:tcW w:w="2900" w:type="dxa"/>
            <w:shd w:val="clear" w:color="auto" w:fill="F2F5F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747B7FC7" w14:textId="77777777" w:rsidR="009176A8" w:rsidRDefault="008318C5">
            <w:pPr>
              <w:jc w:val="center"/>
            </w:pPr>
            <w:r>
              <w:rPr>
                <w:sz w:val="22"/>
                <w:szCs w:val="22"/>
              </w:rPr>
              <w:t>Predictiva</w:t>
            </w:r>
          </w:p>
        </w:tc>
        <w:tc>
          <w:tcPr>
            <w:tcW w:w="3200" w:type="dxa"/>
            <w:shd w:val="clear" w:color="auto" w:fill="F2F5F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40E1E157" w14:textId="77777777" w:rsidR="009176A8" w:rsidRDefault="008318C5">
            <w:pPr>
              <w:jc w:val="center"/>
            </w:pPr>
            <w:r>
              <w:rPr>
                <w:sz w:val="22"/>
                <w:szCs w:val="22"/>
              </w:rPr>
              <w:t>¿Qué se espera y por qué?</w:t>
            </w:r>
          </w:p>
        </w:tc>
      </w:tr>
      <w:tr w:rsidR="009176A8" w14:paraId="73F4E07B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E468BBD" w14:textId="77777777" w:rsidR="009176A8" w:rsidRDefault="008318C5">
            <w:r>
              <w:rPr>
                <w:sz w:val="22"/>
                <w:szCs w:val="22"/>
              </w:rPr>
              <w:t>5. Riesgo y Simulador</w:t>
            </w:r>
          </w:p>
        </w:tc>
        <w:tc>
          <w:tcPr>
            <w:tcW w:w="29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536BCC51" w14:textId="77777777" w:rsidR="009176A8" w:rsidRDefault="008318C5">
            <w:pPr>
              <w:jc w:val="center"/>
            </w:pPr>
            <w:r>
              <w:rPr>
                <w:sz w:val="22"/>
                <w:szCs w:val="22"/>
              </w:rPr>
              <w:t>Prescriptiva</w:t>
            </w:r>
          </w:p>
        </w:tc>
        <w:tc>
          <w:tcPr>
            <w:tcW w:w="3200" w:type="dx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698A2686" w14:textId="77777777" w:rsidR="009176A8" w:rsidRDefault="008318C5">
            <w:pPr>
              <w:jc w:val="center"/>
            </w:pPr>
            <w:r>
              <w:rPr>
                <w:sz w:val="22"/>
                <w:szCs w:val="22"/>
              </w:rPr>
              <w:t>¿Dónde actúo y qué impacto tendría?</w:t>
            </w:r>
          </w:p>
        </w:tc>
      </w:tr>
      <w:tr w:rsidR="009176A8" w14:paraId="583C5F2E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shd w:val="clear" w:color="auto" w:fill="F2F5F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454CDEA" w14:textId="77777777" w:rsidR="009176A8" w:rsidRDefault="008318C5">
            <w:r>
              <w:rPr>
                <w:sz w:val="22"/>
                <w:szCs w:val="22"/>
              </w:rPr>
              <w:t>6. Datos y Metodología</w:t>
            </w:r>
          </w:p>
        </w:tc>
        <w:tc>
          <w:tcPr>
            <w:tcW w:w="2900" w:type="dxa"/>
            <w:shd w:val="clear" w:color="auto" w:fill="F2F5F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46C4DF9" w14:textId="77777777" w:rsidR="009176A8" w:rsidRDefault="008318C5">
            <w:pPr>
              <w:jc w:val="center"/>
            </w:pPr>
            <w:r>
              <w:rPr>
                <w:sz w:val="22"/>
                <w:szCs w:val="22"/>
              </w:rPr>
              <w:t>Soporte</w:t>
            </w:r>
          </w:p>
        </w:tc>
        <w:tc>
          <w:tcPr>
            <w:tcW w:w="3200" w:type="dxa"/>
            <w:shd w:val="clear" w:color="auto" w:fill="F2F5FA"/>
            <w:tcMar>
              <w:top w:w="30" w:type="dxa"/>
              <w:left w:w="80" w:type="dxa"/>
              <w:bottom w:w="30" w:type="dxa"/>
              <w:right w:w="80" w:type="dxa"/>
            </w:tcMar>
          </w:tcPr>
          <w:p w14:paraId="19F7F345" w14:textId="77777777" w:rsidR="009176A8" w:rsidRDefault="008318C5">
            <w:pPr>
              <w:jc w:val="center"/>
            </w:pPr>
            <w:r>
              <w:rPr>
                <w:sz w:val="22"/>
                <w:szCs w:val="22"/>
              </w:rPr>
              <w:t>¿Puedo auditar los datos y el método?</w:t>
            </w:r>
          </w:p>
        </w:tc>
      </w:tr>
    </w:tbl>
    <w:p w14:paraId="1F1C3BA2" w14:textId="77777777" w:rsidR="009176A8" w:rsidRDefault="009176A8">
      <w:pPr>
        <w:spacing w:after="100" w:line="276" w:lineRule="auto"/>
        <w:jc w:val="both"/>
      </w:pPr>
    </w:p>
    <w:p w14:paraId="19287A1D" w14:textId="77777777" w:rsidR="009176A8" w:rsidRDefault="008318C5">
      <w:pPr>
        <w:pStyle w:val="Ttulo1"/>
        <w:keepNext/>
        <w:spacing w:line="276" w:lineRule="auto"/>
      </w:pPr>
      <w:bookmarkStart w:id="15" w:name="_Toc234764907"/>
      <w:r>
        <w:t>4. La idea de fondo</w:t>
      </w:r>
      <w:bookmarkEnd w:id="15"/>
    </w:p>
    <w:p w14:paraId="40E17038" w14:textId="77777777" w:rsidR="009176A8" w:rsidRDefault="008318C5">
      <w:pPr>
        <w:spacing w:after="160" w:line="276" w:lineRule="auto"/>
        <w:jc w:val="both"/>
      </w:pPr>
      <w:r>
        <w:t>El dashboard está diseñado para contar una historia que va del dato a la decisión. Primero describe la situación general (vistas Ejecutivo y Caracterización), luego diagnostica dónde y cuándo se concentra el problema (Geográfico y Temporal), después predice qué puede esperarse (Predictiva) y finalmente recomienda qué hacer y con qué prioridad (Riesgo territorial y Simulador). Las vistas de Datos y Metodología respaldan todo el recorrido, garantizando que la información es trazable, confiable y estadísticame</w:t>
      </w:r>
      <w:r>
        <w:t>nte sólida.</w:t>
      </w:r>
    </w:p>
    <w:sectPr w:rsidR="009176A8">
      <w:footerReference w:type="default" r:id="rId8"/>
      <w:pgSz w:w="11910" w:h="16850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F2F2FF" w14:textId="77777777" w:rsidR="008318C5" w:rsidRDefault="008318C5">
      <w:r>
        <w:separator/>
      </w:r>
    </w:p>
  </w:endnote>
  <w:endnote w:type="continuationSeparator" w:id="0">
    <w:p w14:paraId="10FDB3F5" w14:textId="77777777" w:rsidR="008318C5" w:rsidRDefault="008318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9954AD" w14:textId="77777777" w:rsidR="009176A8" w:rsidRDefault="008318C5">
    <w:pPr>
      <w:pBdr>
        <w:top w:val="single" w:sz="4" w:space="4" w:color="BFBFBF"/>
      </w:pBdr>
      <w:jc w:val="center"/>
    </w:pPr>
    <w:r>
      <w:rPr>
        <w:color w:val="808080"/>
        <w:sz w:val="16"/>
        <w:szCs w:val="16"/>
      </w:rPr>
      <w:t xml:space="preserve">SafeAnalytics EC  |  Guía de Vistas del Dashboard         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9D1F48">
      <w:rPr>
        <w:noProof/>
        <w:color w:val="808080"/>
        <w:sz w:val="16"/>
        <w:szCs w:val="16"/>
      </w:rPr>
      <w:t>3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8328AA" w14:textId="77777777" w:rsidR="008318C5" w:rsidRDefault="008318C5">
      <w:r>
        <w:separator/>
      </w:r>
    </w:p>
  </w:footnote>
  <w:footnote w:type="continuationSeparator" w:id="0">
    <w:p w14:paraId="24FB434B" w14:textId="77777777" w:rsidR="008318C5" w:rsidRDefault="008318C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097FD7"/>
    <w:multiLevelType w:val="hybridMultilevel"/>
    <w:tmpl w:val="22F205B0"/>
    <w:lvl w:ilvl="0" w:tplc="8266056C">
      <w:start w:val="1"/>
      <w:numFmt w:val="bullet"/>
      <w:lvlText w:val="●"/>
      <w:lvlJc w:val="left"/>
      <w:pPr>
        <w:ind w:left="720" w:hanging="360"/>
      </w:pPr>
    </w:lvl>
    <w:lvl w:ilvl="1" w:tplc="59C06CD4">
      <w:start w:val="1"/>
      <w:numFmt w:val="bullet"/>
      <w:lvlText w:val="○"/>
      <w:lvlJc w:val="left"/>
      <w:pPr>
        <w:ind w:left="1440" w:hanging="360"/>
      </w:pPr>
    </w:lvl>
    <w:lvl w:ilvl="2" w:tplc="A42EF874">
      <w:start w:val="1"/>
      <w:numFmt w:val="bullet"/>
      <w:lvlText w:val="■"/>
      <w:lvlJc w:val="left"/>
      <w:pPr>
        <w:ind w:left="2160" w:hanging="360"/>
      </w:pPr>
    </w:lvl>
    <w:lvl w:ilvl="3" w:tplc="3B3839C0">
      <w:start w:val="1"/>
      <w:numFmt w:val="bullet"/>
      <w:lvlText w:val="●"/>
      <w:lvlJc w:val="left"/>
      <w:pPr>
        <w:ind w:left="2880" w:hanging="360"/>
      </w:pPr>
    </w:lvl>
    <w:lvl w:ilvl="4" w:tplc="C78A90EC">
      <w:start w:val="1"/>
      <w:numFmt w:val="bullet"/>
      <w:lvlText w:val="○"/>
      <w:lvlJc w:val="left"/>
      <w:pPr>
        <w:ind w:left="3600" w:hanging="360"/>
      </w:pPr>
    </w:lvl>
    <w:lvl w:ilvl="5" w:tplc="1D5EE65E">
      <w:start w:val="1"/>
      <w:numFmt w:val="bullet"/>
      <w:lvlText w:val="■"/>
      <w:lvlJc w:val="left"/>
      <w:pPr>
        <w:ind w:left="4320" w:hanging="360"/>
      </w:pPr>
    </w:lvl>
    <w:lvl w:ilvl="6" w:tplc="4398A7BA">
      <w:start w:val="1"/>
      <w:numFmt w:val="bullet"/>
      <w:lvlText w:val="●"/>
      <w:lvlJc w:val="left"/>
      <w:pPr>
        <w:ind w:left="5040" w:hanging="360"/>
      </w:pPr>
    </w:lvl>
    <w:lvl w:ilvl="7" w:tplc="36EAF682">
      <w:start w:val="1"/>
      <w:numFmt w:val="bullet"/>
      <w:lvlText w:val="●"/>
      <w:lvlJc w:val="left"/>
      <w:pPr>
        <w:ind w:left="5760" w:hanging="360"/>
      </w:pPr>
    </w:lvl>
    <w:lvl w:ilvl="8" w:tplc="A1A4A8DC">
      <w:start w:val="1"/>
      <w:numFmt w:val="bullet"/>
      <w:lvlText w:val="●"/>
      <w:lvlJc w:val="left"/>
      <w:pPr>
        <w:ind w:left="6480" w:hanging="360"/>
      </w:pPr>
    </w:lvl>
  </w:abstractNum>
  <w:num w:numId="1" w16cid:durableId="158977359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76A8"/>
    <w:rsid w:val="008318C5"/>
    <w:rsid w:val="009176A8"/>
    <w:rsid w:val="009D1F48"/>
    <w:rsid w:val="00ED42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CA3C5A"/>
  <w15:docId w15:val="{5C6390AE-306D-4A4D-A13A-6AF3B2DCBD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20" w:after="200"/>
      <w:outlineLvl w:val="0"/>
    </w:pPr>
    <w:rPr>
      <w:b/>
      <w:bCs/>
      <w:color w:val="000000"/>
      <w:sz w:val="30"/>
      <w:szCs w:val="30"/>
    </w:rPr>
  </w:style>
  <w:style w:type="paragraph" w:styleId="Ttulo2">
    <w:name w:val="heading 2"/>
    <w:uiPriority w:val="9"/>
    <w:unhideWhenUsed/>
    <w:qFormat/>
    <w:pPr>
      <w:spacing w:before="260" w:after="140"/>
      <w:outlineLvl w:val="1"/>
    </w:pPr>
    <w:rPr>
      <w:b/>
      <w:bCs/>
      <w:color w:val="000000"/>
      <w:sz w:val="26"/>
      <w:szCs w:val="26"/>
    </w:rPr>
  </w:style>
  <w:style w:type="paragraph" w:styleId="Ttulo3">
    <w:name w:val="heading 3"/>
    <w:uiPriority w:val="9"/>
    <w:unhideWhenUsed/>
    <w:qFormat/>
    <w:pPr>
      <w:spacing w:before="200" w:after="120"/>
      <w:outlineLvl w:val="2"/>
    </w:pPr>
    <w:rPr>
      <w:b/>
      <w:bCs/>
      <w:color w:val="000000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9D1F48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9D1F48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9D1F48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1367</Words>
  <Characters>7524</Characters>
  <Application>Microsoft Office Word</Application>
  <DocSecurity>0</DocSecurity>
  <Lines>62</Lines>
  <Paragraphs>17</Paragraphs>
  <ScaleCrop>false</ScaleCrop>
  <Company/>
  <LinksUpToDate>false</LinksUpToDate>
  <CharactersWithSpaces>8874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 Vistas del Dashboard - SafeAnalytics EC</dc:title>
  <dc:creator>SafeAnalytics EC</dc:creator>
  <cp:lastModifiedBy>GUTIERREZ LOOR WALTHER JAVIER</cp:lastModifiedBy>
  <cp:revision>2</cp:revision>
  <dcterms:created xsi:type="dcterms:W3CDTF">2026-07-12T21:07:00Z</dcterms:created>
  <dcterms:modified xsi:type="dcterms:W3CDTF">2026-07-12T21:07:00Z</dcterms:modified>
</cp:coreProperties>
</file>