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0585F" w14:textId="37BE2BC3" w:rsidR="00AC6B9D" w:rsidRDefault="008B5D3E">
      <w:r>
        <w:t>Global Inflation</w:t>
      </w:r>
      <w:r w:rsidR="00B5760B">
        <w:t xml:space="preserve"> Rates f</w:t>
      </w:r>
      <w:r w:rsidR="00281211">
        <w:t>rom 2002 to 2022 by Continent</w:t>
      </w:r>
      <w:r>
        <w:t xml:space="preserve">: </w:t>
      </w:r>
      <w:r w:rsidR="00AC6B9D">
        <w:t>Question</w:t>
      </w:r>
      <w:r>
        <w:t>s</w:t>
      </w:r>
    </w:p>
    <w:p w14:paraId="0408F6F8" w14:textId="4E81FDE4" w:rsidR="00832448" w:rsidRPr="00832448" w:rsidRDefault="00832448" w:rsidP="00832448">
      <w:pPr>
        <w:rPr>
          <w:b/>
          <w:bCs/>
        </w:rPr>
      </w:pPr>
      <w:r w:rsidRPr="00832448">
        <w:rPr>
          <w:b/>
          <w:bCs/>
        </w:rPr>
        <w:t xml:space="preserve">               </w:t>
      </w:r>
      <w:r w:rsidRPr="00B5760B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Descriptive Analysis</w:t>
      </w:r>
      <w:r w:rsidRPr="00832448">
        <w:rPr>
          <w:b/>
          <w:bCs/>
        </w:rPr>
        <w:t xml:space="preserve">: </w:t>
      </w:r>
    </w:p>
    <w:p w14:paraId="66A4B127" w14:textId="733E6825" w:rsidR="00AC6B9D" w:rsidRDefault="008B5D3E" w:rsidP="00832448">
      <w:pPr>
        <w:pStyle w:val="ListParagraph"/>
        <w:numPr>
          <w:ilvl w:val="0"/>
          <w:numId w:val="2"/>
        </w:numPr>
      </w:pPr>
      <w:r>
        <w:t>What is the average, median, range, standard deviation, variance of the global inflation rates across the world?</w:t>
      </w:r>
    </w:p>
    <w:p w14:paraId="6FEE4F08" w14:textId="5133FBCF" w:rsidR="00832448" w:rsidRPr="00832448" w:rsidRDefault="00832448" w:rsidP="00832448">
      <w:pPr>
        <w:pStyle w:val="ListParagraph"/>
        <w:numPr>
          <w:ilvl w:val="0"/>
          <w:numId w:val="2"/>
        </w:numPr>
      </w:pPr>
      <w:r w:rsidRPr="00832448">
        <w:rPr>
          <w:rFonts w:ascii="Arial" w:hAnsi="Arial" w:cs="Arial"/>
          <w:color w:val="1D1C1D"/>
          <w:sz w:val="23"/>
          <w:szCs w:val="23"/>
          <w:shd w:val="clear" w:color="auto" w:fill="F8F8F8"/>
        </w:rPr>
        <w:t>What sectors are most vulnerable to inflationary pressures globally?</w:t>
      </w:r>
    </w:p>
    <w:p w14:paraId="15BE7F13" w14:textId="6BBB5512" w:rsidR="00832448" w:rsidRPr="00B5760B" w:rsidRDefault="00832448" w:rsidP="00832448">
      <w:pPr>
        <w:pStyle w:val="ListParagraph"/>
        <w:numPr>
          <w:ilvl w:val="0"/>
          <w:numId w:val="2"/>
        </w:numPr>
      </w:pPr>
      <w:r w:rsidRPr="00832448">
        <w:rPr>
          <w:rFonts w:ascii="Arial" w:hAnsi="Arial" w:cs="Arial"/>
          <w:color w:val="1D1C1D"/>
          <w:sz w:val="23"/>
          <w:szCs w:val="23"/>
          <w:shd w:val="clear" w:color="auto" w:fill="F8F8F8"/>
        </w:rPr>
        <w:t>What are the primary factors driving inflation in various regions?</w:t>
      </w:r>
    </w:p>
    <w:p w14:paraId="772B12CC" w14:textId="77777777" w:rsidR="00B5760B" w:rsidRPr="00B5760B" w:rsidRDefault="00B5760B" w:rsidP="00B5760B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B5760B">
        <w:rPr>
          <w:rFonts w:ascii="Arial" w:hAnsi="Arial" w:cs="Arial"/>
          <w:color w:val="1D1C1D"/>
          <w:sz w:val="23"/>
          <w:szCs w:val="23"/>
          <w:shd w:val="clear" w:color="auto" w:fill="F8F8F8"/>
        </w:rPr>
        <w:t>Are there any outliers in the dataset of global inflation rates?</w:t>
      </w:r>
    </w:p>
    <w:p w14:paraId="5BF5BDC3" w14:textId="38163D86" w:rsidR="00B5760B" w:rsidRPr="00B5760B" w:rsidRDefault="00B5760B" w:rsidP="00B5760B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B5760B">
        <w:rPr>
          <w:rFonts w:ascii="Arial" w:hAnsi="Arial" w:cs="Arial"/>
          <w:color w:val="1D1C1D"/>
          <w:sz w:val="23"/>
          <w:szCs w:val="23"/>
          <w:shd w:val="clear" w:color="auto" w:fill="F8F8F8"/>
        </w:rPr>
        <w:t>What is the distribution shape of global inflation rates (e.g., normal, skewed)?</w:t>
      </w:r>
    </w:p>
    <w:p w14:paraId="10B9F08D" w14:textId="5920CDA3" w:rsidR="00B5760B" w:rsidRPr="00B5760B" w:rsidRDefault="00B5760B" w:rsidP="00B5760B">
      <w:pPr>
        <w:pStyle w:val="ListParagraph"/>
        <w:numPr>
          <w:ilvl w:val="0"/>
          <w:numId w:val="2"/>
        </w:numPr>
      </w:pPr>
      <w:r w:rsidRPr="00B5760B">
        <w:rPr>
          <w:rFonts w:ascii="Arial" w:hAnsi="Arial" w:cs="Arial"/>
          <w:color w:val="1D1C1D"/>
          <w:sz w:val="23"/>
          <w:szCs w:val="23"/>
          <w:shd w:val="clear" w:color="auto" w:fill="F8F8F8"/>
        </w:rPr>
        <w:t>How might current economic conditions influence future inflation rates globally?</w:t>
      </w:r>
    </w:p>
    <w:p w14:paraId="0D2F809C" w14:textId="21FF078C" w:rsidR="00B5760B" w:rsidRPr="00B5760B" w:rsidRDefault="00B5760B" w:rsidP="00B5760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What sectors are most vulnerable to inflationary pressures globally?</w:t>
      </w:r>
    </w:p>
    <w:p w14:paraId="6229FE2D" w14:textId="1CAC5310" w:rsidR="00281211" w:rsidRDefault="00B5760B" w:rsidP="00281211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B5760B">
        <w:rPr>
          <w:rFonts w:ascii="Arial" w:hAnsi="Arial" w:cs="Arial"/>
          <w:color w:val="1D1C1D"/>
          <w:sz w:val="23"/>
          <w:szCs w:val="23"/>
          <w:shd w:val="clear" w:color="auto" w:fill="FFFFFF"/>
        </w:rPr>
        <w:t>What are the predicted inflation rates for different regions (e.g., Asia,</w:t>
      </w:r>
      <w:r w:rsidRPr="00B5760B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 xml:space="preserve"> </w:t>
      </w:r>
      <w:r w:rsidRPr="00B5760B">
        <w:rPr>
          <w:rFonts w:ascii="Arial" w:hAnsi="Arial" w:cs="Arial"/>
          <w:color w:val="1D1C1D"/>
          <w:sz w:val="23"/>
          <w:szCs w:val="23"/>
          <w:shd w:val="clear" w:color="auto" w:fill="FFFFFF"/>
        </w:rPr>
        <w:t>Europe, Africa) over the next few years?</w:t>
      </w:r>
    </w:p>
    <w:p w14:paraId="56B02A9F" w14:textId="77777777" w:rsidR="00281211" w:rsidRPr="00281211" w:rsidRDefault="00281211" w:rsidP="00281211">
      <w:pPr>
        <w:shd w:val="clear" w:color="auto" w:fill="F8F8F8"/>
        <w:spacing w:before="100" w:beforeAutospacing="1" w:after="0" w:line="240" w:lineRule="auto"/>
        <w:ind w:left="108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2994C87" w14:textId="263B3EB8" w:rsidR="00832448" w:rsidRDefault="00832448" w:rsidP="00832448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32448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Time Series Analysis: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4. </w:t>
      </w:r>
      <w:r w:rsidRPr="00832448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How has the global inflation rate changed over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the year </w:t>
      </w:r>
      <w:r w:rsidRPr="00832448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2002-2022? What are the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</w:t>
      </w:r>
      <w:r w:rsidRPr="00832448">
        <w:rPr>
          <w:rFonts w:ascii="Arial" w:hAnsi="Arial" w:cs="Arial"/>
          <w:color w:val="1D1C1D"/>
          <w:sz w:val="23"/>
          <w:szCs w:val="23"/>
          <w:shd w:val="clear" w:color="auto" w:fill="F8F8F8"/>
        </w:rPr>
        <w:t>trends in inflation rates for individual countries over time?</w:t>
      </w:r>
    </w:p>
    <w:p w14:paraId="77F7C57B" w14:textId="77777777" w:rsidR="00832448" w:rsidRDefault="00832448" w:rsidP="00832448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3BB0BF14" w14:textId="77777777" w:rsidR="00B5760B" w:rsidRDefault="00B5760B" w:rsidP="00832448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How did the COVID-19 pandemic change inflation rates around the world, and how did these changes differ between different regions and industries?</w:t>
      </w:r>
    </w:p>
    <w:p w14:paraId="606DE8FE" w14:textId="0B252725" w:rsidR="00832448" w:rsidRDefault="00832448" w:rsidP="00FB003C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281211">
        <w:rPr>
          <w:rFonts w:ascii="Arial" w:hAnsi="Arial" w:cs="Arial"/>
          <w:color w:val="1D1C1D"/>
          <w:sz w:val="23"/>
          <w:szCs w:val="23"/>
          <w:shd w:val="clear" w:color="auto" w:fill="FFFFFF"/>
        </w:rPr>
        <w:t>What factors (e.g., commodity prices, exchange rates, political stability) are significant predictors of inflation rates?</w:t>
      </w:r>
    </w:p>
    <w:p w14:paraId="6A9F8933" w14:textId="1F60AB96" w:rsidR="00281211" w:rsidRPr="00C93EF4" w:rsidRDefault="00281211" w:rsidP="00C93EF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281211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Which countries are predicted to have the highest and lowest inflation rates in the upcoming decade?</w:t>
      </w:r>
    </w:p>
    <w:p w14:paraId="628849CD" w14:textId="77777777" w:rsidR="00281211" w:rsidRDefault="00281211" w:rsidP="00281211">
      <w:pPr>
        <w:ind w:left="7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5CB0FC7E" w14:textId="209858B5" w:rsidR="00281211" w:rsidRDefault="00281211" w:rsidP="0028121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Overview and Purpose of Project</w:t>
      </w:r>
    </w:p>
    <w:p w14:paraId="43193413" w14:textId="28958983" w:rsidR="0048560B" w:rsidRDefault="009E4AF6" w:rsidP="00DB4B21">
      <w:pPr>
        <w:spacing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9E4AF6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Inflation, which measures how quickly prices for goods and services rise, ultimately reducing purchasing power, is a crucial economic indicator. Understanding global inflation trends offers valuable insights into economic stability</w:t>
      </w:r>
      <w:r w:rsidR="00520844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</w:t>
      </w:r>
      <w:r w:rsidRPr="009E4AF6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and the overall health of economies </w:t>
      </w:r>
      <w:r w:rsidR="00107DA4" w:rsidRPr="009E4AF6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worldwide. This</w:t>
      </w:r>
      <w:r w:rsidRPr="009E4AF6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project aims to </w:t>
      </w:r>
      <w:r w:rsidR="00BA16B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analyze and compare inflation trends across the continent</w:t>
      </w:r>
      <w:r w:rsidR="00BA0D5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for a </w:t>
      </w:r>
      <w:r w:rsidR="00B85E1B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20-year</w:t>
      </w:r>
      <w:r w:rsidR="00BA0D5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span</w:t>
      </w:r>
      <w:r w:rsidR="002C1FF4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, identify </w:t>
      </w:r>
      <w:r w:rsidRPr="009E4AF6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key drivers</w:t>
      </w:r>
      <w:r w:rsidR="00107DA4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, </w:t>
      </w:r>
      <w:r w:rsidRPr="009E4AF6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assess the impacts of these trends and explore potential policy responses. By doing so, we hope to provide a comprehensive understanding of inflation's role in the global economy and how it can be managed</w:t>
      </w:r>
      <w:r w:rsidR="0048560B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</w:t>
      </w:r>
      <w:r w:rsidRPr="009E4AF6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effectively.</w:t>
      </w:r>
    </w:p>
    <w:p w14:paraId="1749CAD4" w14:textId="77777777" w:rsidR="00CE55C9" w:rsidRDefault="00CE55C9" w:rsidP="00DB4B21">
      <w:pPr>
        <w:spacing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</w:p>
    <w:p w14:paraId="5CDDED05" w14:textId="4B079A4F" w:rsidR="0048560B" w:rsidRDefault="0048560B" w:rsidP="00DB4B21">
      <w:pPr>
        <w:spacing w:line="240" w:lineRule="auto"/>
        <w:rPr>
          <w:rStyle w:val="apple-converted-space"/>
          <w:rFonts w:ascii="-webkit-standard" w:hAnsi="-webkit-standard"/>
          <w:b/>
          <w:bCs/>
          <w:i/>
          <w:iCs/>
          <w:color w:val="000000"/>
          <w:sz w:val="27"/>
          <w:szCs w:val="27"/>
          <w:u w:val="single"/>
        </w:rPr>
      </w:pPr>
      <w:r w:rsidRPr="0048560B">
        <w:rPr>
          <w:rFonts w:ascii="-webkit-standard" w:hAnsi="-webkit-standard"/>
          <w:b/>
          <w:bCs/>
          <w:i/>
          <w:iCs/>
          <w:color w:val="000000"/>
          <w:sz w:val="27"/>
          <w:szCs w:val="27"/>
          <w:u w:val="single"/>
        </w:rPr>
        <w:t>why benefits of SQL for th</w:t>
      </w:r>
      <w:r>
        <w:rPr>
          <w:rFonts w:ascii="-webkit-standard" w:hAnsi="-webkit-standard"/>
          <w:b/>
          <w:bCs/>
          <w:i/>
          <w:iCs/>
          <w:color w:val="000000"/>
          <w:sz w:val="27"/>
          <w:szCs w:val="27"/>
          <w:u w:val="single"/>
        </w:rPr>
        <w:t xml:space="preserve">is </w:t>
      </w:r>
      <w:r w:rsidRPr="0048560B">
        <w:rPr>
          <w:rFonts w:ascii="-webkit-standard" w:hAnsi="-webkit-standard"/>
          <w:b/>
          <w:bCs/>
          <w:i/>
          <w:iCs/>
          <w:color w:val="000000"/>
          <w:sz w:val="27"/>
          <w:szCs w:val="27"/>
          <w:u w:val="single"/>
        </w:rPr>
        <w:t>project</w:t>
      </w:r>
      <w:r w:rsidRPr="0048560B">
        <w:rPr>
          <w:rStyle w:val="apple-converted-space"/>
          <w:rFonts w:ascii="-webkit-standard" w:hAnsi="-webkit-standard"/>
          <w:b/>
          <w:bCs/>
          <w:i/>
          <w:iCs/>
          <w:color w:val="000000"/>
          <w:sz w:val="27"/>
          <w:szCs w:val="27"/>
          <w:u w:val="single"/>
        </w:rPr>
        <w:t> </w:t>
      </w:r>
    </w:p>
    <w:p w14:paraId="76802140" w14:textId="690B0A18" w:rsidR="00CE55C9" w:rsidRPr="00CE55C9" w:rsidRDefault="00CE55C9" w:rsidP="00DB4B21">
      <w:pPr>
        <w:spacing w:line="240" w:lineRule="auto"/>
        <w:rPr>
          <w:rStyle w:val="apple-converted-space"/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  <w:r w:rsidRPr="00CE55C9">
        <w:rPr>
          <w:rFonts w:ascii="Times New Roman" w:hAnsi="Times New Roman" w:cs="Times New Roman"/>
          <w:color w:val="000000"/>
          <w:sz w:val="24"/>
          <w:szCs w:val="24"/>
        </w:rPr>
        <w:t>Using SQL for a project provides several benefits, enhancing data management, analysis, and visualization. Here are the key advantages:</w:t>
      </w:r>
    </w:p>
    <w:p w14:paraId="71E06912" w14:textId="1E441962" w:rsidR="0048560B" w:rsidRPr="00CE55C9" w:rsidRDefault="0048560B" w:rsidP="0048560B">
      <w:pPr>
        <w:pStyle w:val="NormalWeb"/>
        <w:rPr>
          <w:color w:val="000000"/>
        </w:rPr>
      </w:pPr>
      <w:r w:rsidRPr="00CE55C9">
        <w:rPr>
          <w:color w:val="000000"/>
        </w:rPr>
        <w:lastRenderedPageBreak/>
        <w:t xml:space="preserve">Using SQL for your global inflation rates project will streamline data management, facilitate complex analyses, and ensure data integrity, ultimately providing reliable insights into </w:t>
      </w:r>
      <w:r w:rsidR="00CE55C9">
        <w:rPr>
          <w:color w:val="000000"/>
        </w:rPr>
        <w:t xml:space="preserve">the dataset </w:t>
      </w:r>
      <w:r w:rsidRPr="00CE55C9">
        <w:rPr>
          <w:color w:val="000000"/>
        </w:rPr>
        <w:t>trends over the specified period.</w:t>
      </w:r>
      <w:r w:rsidR="00CE55C9" w:rsidRPr="00CE55C9">
        <w:rPr>
          <w:color w:val="000000"/>
        </w:rPr>
        <w:t xml:space="preserve"> </w:t>
      </w:r>
    </w:p>
    <w:p w14:paraId="65C4A509" w14:textId="564DE984" w:rsidR="0048560B" w:rsidRPr="00CE55C9" w:rsidRDefault="00CE55C9" w:rsidP="0048560B">
      <w:pPr>
        <w:pStyle w:val="NormalWeb"/>
        <w:rPr>
          <w:b/>
          <w:bCs/>
          <w:color w:val="000000"/>
        </w:rPr>
      </w:pPr>
      <w:r w:rsidRPr="00CE55C9">
        <w:rPr>
          <w:rFonts w:ascii="-webkit-standard" w:hAnsi="-webkit-standard"/>
          <w:b/>
          <w:bCs/>
          <w:color w:val="000000"/>
          <w:sz w:val="27"/>
          <w:szCs w:val="27"/>
        </w:rPr>
        <w:t>Here are the key advantages:</w:t>
      </w:r>
    </w:p>
    <w:p w14:paraId="3FDDFBEC" w14:textId="4BB9B427" w:rsidR="0048560B" w:rsidRPr="0048560B" w:rsidRDefault="0048560B" w:rsidP="0048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1-</w:t>
      </w:r>
      <w:r w:rsidRPr="00485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8560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Complex Queries:</w:t>
      </w:r>
    </w:p>
    <w:p w14:paraId="1A42B982" w14:textId="3A32D767" w:rsidR="00CE55C9" w:rsidRDefault="0048560B" w:rsidP="00CE55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6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Aggregations and Joins</w:t>
      </w:r>
      <w:r w:rsidRPr="00485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SQL supports complex queries involving aggregations (average inflation rates per year, continent-wise analysis) and joins (combining data from multiple tables like countries, continents, and inflation rates)</w:t>
      </w:r>
      <w:r w:rsidR="000B47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21F1FD" w14:textId="77777777" w:rsidR="00CE55C9" w:rsidRPr="00CE55C9" w:rsidRDefault="00CE55C9" w:rsidP="00CE55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72E7D5" w14:textId="6C12DF1B" w:rsidR="0048560B" w:rsidRPr="000B476D" w:rsidRDefault="00CE55C9" w:rsidP="00DB4B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55C9">
        <w:rPr>
          <w:rStyle w:val="Strong"/>
          <w:rFonts w:ascii="Times New Roman" w:hAnsi="Times New Roman" w:cs="Times New Roman"/>
          <w:color w:val="000000"/>
          <w:sz w:val="24"/>
          <w:szCs w:val="24"/>
        </w:rPr>
        <w:t>Declarative Syntax</w:t>
      </w:r>
      <w:r w:rsidRPr="00CE55C9">
        <w:rPr>
          <w:rFonts w:ascii="Times New Roman" w:hAnsi="Times New Roman" w:cs="Times New Roman"/>
          <w:color w:val="000000"/>
          <w:sz w:val="24"/>
          <w:szCs w:val="24"/>
        </w:rPr>
        <w:t xml:space="preserve">: SQL's declarative syntax makes it easy to write, read, and maintain queries, enabling users to focus on what data to retrieve rather than how to retrieve </w:t>
      </w:r>
      <w:r w:rsidR="000B476D" w:rsidRPr="00CE55C9">
        <w:rPr>
          <w:rFonts w:ascii="Times New Roman" w:hAnsi="Times New Roman" w:cs="Times New Roman"/>
          <w:color w:val="000000"/>
          <w:sz w:val="24"/>
          <w:szCs w:val="24"/>
        </w:rPr>
        <w:t>it</w:t>
      </w:r>
      <w:r w:rsidR="000B476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562E8CD" w14:textId="77777777" w:rsidR="000B476D" w:rsidRDefault="000B476D" w:rsidP="000B476D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958B0B" w14:textId="69A20E2A" w:rsidR="000B476D" w:rsidRPr="000B476D" w:rsidRDefault="000B476D" w:rsidP="000B47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76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0B47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Structured</w:t>
      </w:r>
      <w:r w:rsidRPr="000B47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Storage</w:t>
      </w:r>
      <w:r w:rsidRPr="000B47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SQL databases store data in a structured format, making it easier to organize and manage information related to different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dataset.</w:t>
      </w:r>
    </w:p>
    <w:p w14:paraId="0919CF0D" w14:textId="1451BE62" w:rsidR="000B476D" w:rsidRDefault="000B476D" w:rsidP="000B47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          </w:t>
      </w:r>
      <w:r w:rsidRPr="000B476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0B47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Advanced</w:t>
      </w:r>
      <w:r w:rsidRPr="000B47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Query Capabilities</w:t>
      </w:r>
      <w:r w:rsidRPr="000B47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SQL supports complex queries, allowing for sophisticated data analysis such as aggregations, filtering, and grouping. This is essential for calculating average inflation rates, identifying trends, and comparing data across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databases</w:t>
      </w:r>
      <w:r w:rsidRPr="000B47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7AF71B" w14:textId="77777777" w:rsidR="000B476D" w:rsidRDefault="000B476D" w:rsidP="000B47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FBD8DE" w14:textId="40350E10" w:rsidR="000B476D" w:rsidRPr="000B476D" w:rsidRDefault="000B476D" w:rsidP="000B4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B47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By leveraging SQL, you can efficiently manage, analyze, and </w:t>
      </w:r>
      <w:r w:rsidRPr="000B47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visualize data,</w:t>
      </w:r>
      <w:r w:rsidRPr="000B47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ensuring accurate, reliable, and insightful outcomes for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our </w:t>
      </w:r>
      <w:r w:rsidRPr="000B47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project.</w:t>
      </w:r>
    </w:p>
    <w:p w14:paraId="1FD7C15E" w14:textId="77777777" w:rsidR="000B476D" w:rsidRPr="000B476D" w:rsidRDefault="000B476D" w:rsidP="000B47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FC840D" w14:textId="2475563F" w:rsidR="000B476D" w:rsidRPr="00CE55C9" w:rsidRDefault="000B476D" w:rsidP="000B47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04A8B5" w14:textId="77777777" w:rsidR="0048560B" w:rsidRDefault="0048560B" w:rsidP="00DB4B21">
      <w:pPr>
        <w:spacing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</w:p>
    <w:p w14:paraId="3E7DF8E2" w14:textId="77777777" w:rsidR="0048560B" w:rsidRPr="00DB4B21" w:rsidRDefault="0048560B" w:rsidP="00DB4B21">
      <w:pPr>
        <w:spacing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</w:p>
    <w:p w14:paraId="74BD1449" w14:textId="2899A538" w:rsidR="004463F2" w:rsidRDefault="001C0C53" w:rsidP="0028121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Team Member Tasks- Love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Lorissa</w:t>
      </w:r>
      <w:r w:rsidR="004463F2"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 w:rsidR="00EF7751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&amp;</w:t>
      </w:r>
      <w:r w:rsidR="004463F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Kim </w:t>
      </w:r>
      <w:proofErr w:type="spellStart"/>
      <w:r w:rsidR="00C93EF4">
        <w:rPr>
          <w:rFonts w:ascii="Arial" w:hAnsi="Arial" w:cs="Arial"/>
          <w:color w:val="1D1C1D"/>
          <w:sz w:val="23"/>
          <w:szCs w:val="23"/>
          <w:shd w:val="clear" w:color="auto" w:fill="F8F8F8"/>
        </w:rPr>
        <w:t>Aissa</w:t>
      </w:r>
      <w:proofErr w:type="spellEnd"/>
      <w:r w:rsidR="00C93EF4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EF7751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r w:rsidR="004463F2">
        <w:rPr>
          <w:rFonts w:ascii="Arial" w:hAnsi="Arial" w:cs="Arial"/>
          <w:color w:val="1D1C1D"/>
          <w:sz w:val="23"/>
          <w:szCs w:val="23"/>
          <w:shd w:val="clear" w:color="auto" w:fill="F8F8F8"/>
        </w:rPr>
        <w:t>Data organization</w:t>
      </w:r>
    </w:p>
    <w:p w14:paraId="503611BE" w14:textId="296419D4" w:rsidR="004463F2" w:rsidRDefault="004463F2" w:rsidP="0028121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                   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Powerpoint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creation</w:t>
      </w:r>
      <w:r w:rsidR="00EF7751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Liseth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Rubio</w:t>
      </w:r>
    </w:p>
    <w:p w14:paraId="35C221D5" w14:textId="75618916" w:rsidR="001C0C53" w:rsidRDefault="004463F2" w:rsidP="0028121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                    </w:t>
      </w:r>
      <w:r w:rsidR="00634E13">
        <w:rPr>
          <w:rFonts w:ascii="Arial" w:hAnsi="Arial" w:cs="Arial"/>
          <w:color w:val="1D1C1D"/>
          <w:sz w:val="23"/>
          <w:szCs w:val="23"/>
          <w:shd w:val="clear" w:color="auto" w:fill="F8F8F8"/>
        </w:rPr>
        <w:t>SQL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Derilee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Walters &amp;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Sacid</w:t>
      </w:r>
      <w:r w:rsidR="00DB4B21">
        <w:rPr>
          <w:rFonts w:ascii="Arial" w:hAnsi="Arial" w:cs="Arial"/>
          <w:color w:val="1D1C1D"/>
          <w:sz w:val="23"/>
          <w:szCs w:val="23"/>
          <w:shd w:val="clear" w:color="auto" w:fill="F8F8F8"/>
        </w:rPr>
        <w:t>e</w:t>
      </w:r>
      <w:proofErr w:type="spellEnd"/>
      <w:r w:rsidR="00C93EF4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Belair</w:t>
      </w:r>
    </w:p>
    <w:p w14:paraId="431855C7" w14:textId="09788D6C" w:rsidR="001C0C53" w:rsidRDefault="001C0C53" w:rsidP="00281211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References: </w:t>
      </w:r>
      <w:hyperlink r:id="rId7" w:history="1">
        <w:r>
          <w:rPr>
            <w:rStyle w:val="Hyperlink"/>
          </w:rPr>
          <w:t>Global Inflation Dataset - (1970~2022) (kaggle.com)</w:t>
        </w:r>
      </w:hyperlink>
      <w:r w:rsidR="00EF7751">
        <w:rPr>
          <w:rStyle w:val="Hyperlink"/>
        </w:rPr>
        <w:t xml:space="preserve"> </w:t>
      </w:r>
      <w:r w:rsidR="00EF7751">
        <w:rPr>
          <w:rStyle w:val="Hyperlink"/>
          <w:color w:val="000000" w:themeColor="text1"/>
          <w:u w:val="none"/>
        </w:rPr>
        <w:t xml:space="preserve">– Author: </w:t>
      </w:r>
      <w:proofErr w:type="spellStart"/>
      <w:r w:rsidR="00EF7751">
        <w:rPr>
          <w:rStyle w:val="Hyperlink"/>
          <w:color w:val="000000" w:themeColor="text1"/>
          <w:u w:val="none"/>
        </w:rPr>
        <w:t>Belayet</w:t>
      </w:r>
      <w:proofErr w:type="spellEnd"/>
      <w:r w:rsidR="00EF7751">
        <w:rPr>
          <w:rStyle w:val="Hyperlink"/>
          <w:color w:val="000000" w:themeColor="text1"/>
          <w:u w:val="none"/>
        </w:rPr>
        <w:t xml:space="preserve"> Hossain</w:t>
      </w:r>
    </w:p>
    <w:p w14:paraId="0E89E690" w14:textId="326268CD" w:rsidR="00281211" w:rsidRPr="00281211" w:rsidRDefault="001C0C53" w:rsidP="0028121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t xml:space="preserve"> </w:t>
      </w:r>
      <w:hyperlink r:id="rId8" w:history="1">
        <w:r>
          <w:rPr>
            <w:rStyle w:val="Hyperlink"/>
          </w:rPr>
          <w:t>country to continent (kaggle.com)</w:t>
        </w:r>
      </w:hyperlink>
    </w:p>
    <w:sectPr w:rsidR="00281211" w:rsidRPr="00281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132B8" w14:textId="77777777" w:rsidR="006C4D46" w:rsidRDefault="006C4D46" w:rsidP="0048560B">
      <w:pPr>
        <w:spacing w:after="0" w:line="240" w:lineRule="auto"/>
      </w:pPr>
      <w:r>
        <w:separator/>
      </w:r>
    </w:p>
  </w:endnote>
  <w:endnote w:type="continuationSeparator" w:id="0">
    <w:p w14:paraId="23CFAD93" w14:textId="77777777" w:rsidR="006C4D46" w:rsidRDefault="006C4D46" w:rsidP="00485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64FBB" w14:textId="77777777" w:rsidR="006C4D46" w:rsidRDefault="006C4D46" w:rsidP="0048560B">
      <w:pPr>
        <w:spacing w:after="0" w:line="240" w:lineRule="auto"/>
      </w:pPr>
      <w:r>
        <w:separator/>
      </w:r>
    </w:p>
  </w:footnote>
  <w:footnote w:type="continuationSeparator" w:id="0">
    <w:p w14:paraId="181C6A86" w14:textId="77777777" w:rsidR="006C4D46" w:rsidRDefault="006C4D46" w:rsidP="004856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679B"/>
    <w:multiLevelType w:val="multilevel"/>
    <w:tmpl w:val="03C04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930CBD"/>
    <w:multiLevelType w:val="multilevel"/>
    <w:tmpl w:val="DA660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A31FCE"/>
    <w:multiLevelType w:val="multilevel"/>
    <w:tmpl w:val="CC80E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F05078"/>
    <w:multiLevelType w:val="hybridMultilevel"/>
    <w:tmpl w:val="281E6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37B5D"/>
    <w:multiLevelType w:val="hybridMultilevel"/>
    <w:tmpl w:val="3D9C0D7C"/>
    <w:lvl w:ilvl="0" w:tplc="5308D0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4F12D1"/>
    <w:multiLevelType w:val="multilevel"/>
    <w:tmpl w:val="FF26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D4AC0"/>
    <w:multiLevelType w:val="multilevel"/>
    <w:tmpl w:val="EFF0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7520B0"/>
    <w:multiLevelType w:val="multilevel"/>
    <w:tmpl w:val="9320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842306"/>
    <w:multiLevelType w:val="multilevel"/>
    <w:tmpl w:val="9732F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9B27D2"/>
    <w:multiLevelType w:val="hybridMultilevel"/>
    <w:tmpl w:val="FAE82D9A"/>
    <w:lvl w:ilvl="0" w:tplc="03589E0E">
      <w:start w:val="5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1D1C1D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3328DD"/>
    <w:multiLevelType w:val="multilevel"/>
    <w:tmpl w:val="BF407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7104970">
    <w:abstractNumId w:val="3"/>
  </w:num>
  <w:num w:numId="2" w16cid:durableId="602999295">
    <w:abstractNumId w:val="4"/>
  </w:num>
  <w:num w:numId="3" w16cid:durableId="1221483015">
    <w:abstractNumId w:val="9"/>
  </w:num>
  <w:num w:numId="4" w16cid:durableId="245963616">
    <w:abstractNumId w:val="2"/>
  </w:num>
  <w:num w:numId="5" w16cid:durableId="404298805">
    <w:abstractNumId w:val="1"/>
  </w:num>
  <w:num w:numId="6" w16cid:durableId="610162817">
    <w:abstractNumId w:val="8"/>
  </w:num>
  <w:num w:numId="7" w16cid:durableId="576016455">
    <w:abstractNumId w:val="10"/>
  </w:num>
  <w:num w:numId="8" w16cid:durableId="238564044">
    <w:abstractNumId w:val="7"/>
  </w:num>
  <w:num w:numId="9" w16cid:durableId="526649007">
    <w:abstractNumId w:val="0"/>
  </w:num>
  <w:num w:numId="10" w16cid:durableId="1580597982">
    <w:abstractNumId w:val="6"/>
  </w:num>
  <w:num w:numId="11" w16cid:durableId="16163268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9D"/>
    <w:rsid w:val="000B476D"/>
    <w:rsid w:val="00107DA4"/>
    <w:rsid w:val="00126173"/>
    <w:rsid w:val="001778B3"/>
    <w:rsid w:val="001C0C53"/>
    <w:rsid w:val="00281211"/>
    <w:rsid w:val="002C1FF4"/>
    <w:rsid w:val="002D23DA"/>
    <w:rsid w:val="00376601"/>
    <w:rsid w:val="003B33F1"/>
    <w:rsid w:val="004463F2"/>
    <w:rsid w:val="0048560B"/>
    <w:rsid w:val="00520844"/>
    <w:rsid w:val="00557319"/>
    <w:rsid w:val="00634E13"/>
    <w:rsid w:val="006C4D46"/>
    <w:rsid w:val="007109D6"/>
    <w:rsid w:val="00832448"/>
    <w:rsid w:val="0089428A"/>
    <w:rsid w:val="008B5D3E"/>
    <w:rsid w:val="009E4AF6"/>
    <w:rsid w:val="00A31D59"/>
    <w:rsid w:val="00AC6B9D"/>
    <w:rsid w:val="00B5760B"/>
    <w:rsid w:val="00B85E1B"/>
    <w:rsid w:val="00BA0D53"/>
    <w:rsid w:val="00BA16B0"/>
    <w:rsid w:val="00C93EF4"/>
    <w:rsid w:val="00CE55C9"/>
    <w:rsid w:val="00DB4B21"/>
    <w:rsid w:val="00EF7751"/>
    <w:rsid w:val="00F6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27E3"/>
  <w15:chartTrackingRefBased/>
  <w15:docId w15:val="{2FF52EE6-488C-497B-85E3-AFCB4D2A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B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B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B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B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B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C0C5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8560B"/>
  </w:style>
  <w:style w:type="paragraph" w:styleId="NormalWeb">
    <w:name w:val="Normal (Web)"/>
    <w:basedOn w:val="Normal"/>
    <w:uiPriority w:val="99"/>
    <w:semiHidden/>
    <w:unhideWhenUsed/>
    <w:rsid w:val="00485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85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60B"/>
  </w:style>
  <w:style w:type="paragraph" w:styleId="Footer">
    <w:name w:val="footer"/>
    <w:basedOn w:val="Normal"/>
    <w:link w:val="FooterChar"/>
    <w:uiPriority w:val="99"/>
    <w:unhideWhenUsed/>
    <w:rsid w:val="00485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60B"/>
  </w:style>
  <w:style w:type="character" w:styleId="Strong">
    <w:name w:val="Strong"/>
    <w:basedOn w:val="DefaultParagraphFont"/>
    <w:uiPriority w:val="22"/>
    <w:qFormat/>
    <w:rsid w:val="0048560B"/>
    <w:rPr>
      <w:b/>
      <w:bCs/>
    </w:rPr>
  </w:style>
  <w:style w:type="character" w:customStyle="1" w:styleId="overflow-hidden">
    <w:name w:val="overflow-hidden"/>
    <w:basedOn w:val="DefaultParagraphFont"/>
    <w:rsid w:val="000B4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4494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06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42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44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412914">
                                          <w:marLeft w:val="-24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8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0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43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64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060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7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0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7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3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7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1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5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tatchaitya/country-to-contin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belayethossainds/global-inflation-dataset-212-country-1970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Derilee Walters</dc:creator>
  <cp:keywords/>
  <dc:description/>
  <cp:lastModifiedBy>IT_HSB support</cp:lastModifiedBy>
  <cp:revision>3</cp:revision>
  <dcterms:created xsi:type="dcterms:W3CDTF">2024-07-24T21:52:00Z</dcterms:created>
  <dcterms:modified xsi:type="dcterms:W3CDTF">2024-07-24T22:24:00Z</dcterms:modified>
</cp:coreProperties>
</file>