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FORM ‘A’</w:t>
        <w:br/>
        <w:t>MEDIATION APPLICATION FORM</w:t>
        <w:br/>
        <w:t>[REFER RULE 3(1)]</w:t>
        <w:br/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Mumbai District Legal Services Authority</w:t>
        <w:br/>
        <w:t>City Civil Court, Mumbai</w:t>
        <w:br/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DETAILS OF PARTIES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1. Name of Applicant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{{client_name}}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Registered Address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{{branch_address}}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Correspondence Branch Address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{{branch_address}}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Telephone No.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{{mobile}}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Mobile No.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Email ID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info@kslegal.co.in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2. Name of Opposite Party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{{customer_name}}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Registered Address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__________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Correspondence Address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__________</w:t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Telephone No.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Mobile No.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Email ID</w:t>
            </w:r>
          </w:p>
        </w:tc>
        <w:tc>
          <w:tcPr>
            <w:tcW w:type="dxa" w:w="432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DETAILS OF DISPUTE</w:t>
            </w:r>
          </w:p>
        </w:tc>
      </w:tr>
      <w:tr>
        <w:tc>
          <w:tcPr>
            <w:tcW w:type="dxa" w:w="864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THE COMM. COURTS (PRE-INSTITUTION SETTLEMENT) RULES, 2018</w:t>
            </w:r>
          </w:p>
        </w:tc>
      </w:tr>
      <w:tr>
        <w:tc>
          <w:tcPr>
            <w:tcW w:type="dxa" w:w="8640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