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80"/>
        <w:jc w:val="center"/>
        <w:rPr/>
      </w:pPr>
      <w:r>
        <w:rPr>
          <w:rFonts w:ascii="Arial" w:cs="Arial" w:eastAsia="Arial" w:hAnsi="Arial"/>
          <w:b/>
          <w:bCs/>
          <w:color w:val="1f4e79"/>
          <w:sz w:val="48"/>
          <w:szCs w:val="48"/>
        </w:rPr>
        <w:t>COMPETITOR ANALYSIS REPORT</w:t>
      </w:r>
    </w:p>
    <w:p>
      <w:pPr>
        <w:pStyle w:val="style0"/>
        <w:spacing w:before="0" w:after="60"/>
        <w:jc w:val="center"/>
        <w:rPr/>
      </w:pPr>
      <w:r>
        <w:rPr>
          <w:rFonts w:ascii="Arial" w:cs="Arial" w:eastAsia="Arial" w:hAnsi="Arial"/>
          <w:i/>
          <w:iCs/>
          <w:color w:val="555555"/>
          <w:sz w:val="22"/>
          <w:szCs w:val="22"/>
        </w:rPr>
        <w:t>BangBet Kenya — Kenya Sports Betting App Market</w:t>
      </w:r>
    </w:p>
    <w:p>
      <w:pPr>
        <w:pStyle w:val="style0"/>
        <w:pBdr>
          <w:bottom w:val="single" w:sz="6" w:space="4" w:color="1f4e79"/>
        </w:pBdr>
        <w:spacing w:before="0" w:after="200"/>
        <w:jc w:val="center"/>
        <w:rPr/>
      </w:pPr>
      <w:r>
        <w:rPr>
          <w:rFonts w:ascii="Arial" w:cs="Arial" w:eastAsia="Arial" w:hAnsi="Arial"/>
          <w:color w:val="555555"/>
          <w:sz w:val="18"/>
          <w:szCs w:val="18"/>
        </w:rPr>
        <w:t>Prepared by: Anthony Wambua, Product Testing Manager  |  Note: Competitor names anonymised</w:t>
      </w:r>
    </w:p>
    <w:p>
      <w:pPr>
        <w:pStyle w:val="style0"/>
        <w:spacing w:before="80" w:after="0"/>
        <w:rPr/>
      </w:pPr>
    </w:p>
    <w:p>
      <w:pPr>
        <w:pStyle w:val="style0"/>
        <w:pBdr>
          <w:bottom w:val="single" w:sz="6" w:space="4" w:color="1f4e79"/>
        </w:pBdr>
        <w:spacing w:before="300" w:after="100"/>
        <w:rPr/>
      </w:pPr>
      <w:r>
        <w:rPr>
          <w:rFonts w:ascii="Arial" w:cs="Arial" w:eastAsia="Arial" w:hAnsi="Arial"/>
          <w:b/>
          <w:bCs/>
          <w:color w:val="1f4e79"/>
          <w:sz w:val="24"/>
          <w:szCs w:val="24"/>
        </w:rPr>
        <w:t>1. PURPOSE &amp; METHODOLOGY</w:t>
      </w:r>
    </w:p>
    <w:p>
      <w:pPr>
        <w:pStyle w:val="style0"/>
        <w:spacing w:before="60" w:after="60"/>
        <w:jc w:val="both"/>
        <w:rPr/>
      </w:pPr>
      <w:r>
        <w:rPr>
          <w:rFonts w:ascii="Arial" w:cs="Arial" w:eastAsia="Arial" w:hAnsi="Arial"/>
          <w:color w:val="1a1a1a"/>
          <w:sz w:val="19"/>
          <w:szCs w:val="19"/>
        </w:rPr>
        <w:t>This report presents a structured analysis of BangBet Kenya's Android and iOS mobile application against three leading competitors in the Kenyan sports betting market. The purpose is to identify competitive advantages, expose product gaps, and provide evidence-based recommendations to the product and development teams.</w:t>
      </w:r>
    </w:p>
    <w:p>
      <w:pPr>
        <w:pStyle w:val="style0"/>
        <w:spacing w:before="80" w:after="0"/>
        <w:rPr/>
      </w:pPr>
    </w:p>
    <w:p>
      <w:pPr>
        <w:pStyle w:val="style0"/>
        <w:spacing w:before="60" w:after="60"/>
        <w:jc w:val="left"/>
        <w:rPr/>
      </w:pPr>
      <w:r>
        <w:rPr>
          <w:rFonts w:ascii="Arial" w:cs="Arial" w:eastAsia="Arial" w:hAnsi="Arial"/>
          <w:color w:val="1a1a1a"/>
          <w:sz w:val="19"/>
          <w:szCs w:val="19"/>
        </w:rPr>
        <w:t>Analysis methodology:</w:t>
      </w:r>
    </w:p>
    <w:p>
      <w:pPr>
        <w:pStyle w:val="style179"/>
        <w:numPr>
          <w:ilvl w:val="0"/>
          <w:numId w:val="1"/>
        </w:numPr>
        <w:spacing w:before="40" w:after="40"/>
        <w:rPr/>
      </w:pPr>
      <w:r>
        <w:rPr>
          <w:rFonts w:ascii="Arial" w:cs="Arial" w:eastAsia="Arial" w:hAnsi="Arial"/>
          <w:color w:val="1a1a1a"/>
          <w:sz w:val="19"/>
          <w:szCs w:val="19"/>
        </w:rPr>
        <w:t>Direct app installation and hands-on testing of all four apps on the same Android and iOS test devices</w:t>
      </w:r>
    </w:p>
    <w:p>
      <w:pPr>
        <w:pStyle w:val="style179"/>
        <w:numPr>
          <w:ilvl w:val="0"/>
          <w:numId w:val="1"/>
        </w:numPr>
        <w:spacing w:before="40" w:after="40"/>
        <w:rPr/>
      </w:pPr>
      <w:r>
        <w:rPr>
          <w:rFonts w:ascii="Arial" w:cs="Arial" w:eastAsia="Arial" w:hAnsi="Arial"/>
          <w:color w:val="1a1a1a"/>
          <w:sz w:val="19"/>
          <w:szCs w:val="19"/>
        </w:rPr>
        <w:t>Google Play Store and Apple App Store listing review — ratings, review volume, user sentiment themes, update frequency</w:t>
      </w:r>
    </w:p>
    <w:p>
      <w:pPr>
        <w:pStyle w:val="style179"/>
        <w:numPr>
          <w:ilvl w:val="0"/>
          <w:numId w:val="1"/>
        </w:numPr>
        <w:spacing w:before="40" w:after="40"/>
        <w:rPr/>
      </w:pPr>
      <w:r>
        <w:rPr>
          <w:rFonts w:ascii="Arial" w:cs="Arial" w:eastAsia="Arial" w:hAnsi="Arial"/>
          <w:color w:val="1a1a1a"/>
          <w:sz w:val="19"/>
          <w:szCs w:val="19"/>
        </w:rPr>
        <w:t>Feature-by-feature comparison across key user journeys: registration, deposit, betting, withdrawal, and support</w:t>
      </w:r>
    </w:p>
    <w:p>
      <w:pPr>
        <w:pStyle w:val="style179"/>
        <w:numPr>
          <w:ilvl w:val="0"/>
          <w:numId w:val="1"/>
        </w:numPr>
        <w:spacing w:before="40" w:after="40"/>
        <w:rPr/>
      </w:pPr>
      <w:r>
        <w:rPr>
          <w:rFonts w:ascii="Arial" w:cs="Arial" w:eastAsia="Arial" w:hAnsi="Arial"/>
          <w:color w:val="1a1a1a"/>
          <w:sz w:val="19"/>
          <w:szCs w:val="19"/>
        </w:rPr>
        <w:t>User review mining — identifying top positive and negative themes from 1-star and 5-star reviews</w:t>
      </w:r>
    </w:p>
    <w:p>
      <w:pPr>
        <w:pStyle w:val="style179"/>
        <w:numPr>
          <w:ilvl w:val="0"/>
          <w:numId w:val="1"/>
        </w:numPr>
        <w:spacing w:before="40" w:after="40"/>
        <w:rPr/>
      </w:pPr>
      <w:r>
        <w:rPr>
          <w:rFonts w:ascii="Arial" w:cs="Arial" w:eastAsia="Arial" w:hAnsi="Arial"/>
          <w:color w:val="1a1a1a"/>
          <w:sz w:val="19"/>
          <w:szCs w:val="19"/>
        </w:rPr>
        <w:t>Competitor names have been anonymised in this sample; full reports include named entities</w:t>
      </w:r>
    </w:p>
    <w:p>
      <w:pPr>
        <w:pStyle w:val="style0"/>
        <w:spacing w:before="80" w:after="0"/>
        <w:rPr/>
      </w:pPr>
    </w:p>
    <w:p>
      <w:pPr>
        <w:pStyle w:val="style0"/>
        <w:pBdr>
          <w:bottom w:val="single" w:sz="6" w:space="4" w:color="1f4e79"/>
        </w:pBdr>
        <w:spacing w:before="300" w:after="100"/>
        <w:rPr/>
      </w:pPr>
      <w:r>
        <w:rPr>
          <w:rFonts w:ascii="Arial" w:cs="Arial" w:eastAsia="Arial" w:hAnsi="Arial"/>
          <w:b/>
          <w:bCs/>
          <w:color w:val="1f4e79"/>
          <w:sz w:val="24"/>
          <w:szCs w:val="24"/>
        </w:rPr>
        <w:t>2. FEATURE COMPARISON MATRIX</w:t>
      </w:r>
    </w:p>
    <w:p>
      <w:pPr>
        <w:pStyle w:val="style0"/>
        <w:spacing w:before="60" w:after="60"/>
        <w:jc w:val="left"/>
        <w:rPr/>
      </w:pPr>
      <w:r>
        <w:rPr>
          <w:rFonts w:ascii="Arial" w:cs="Arial" w:eastAsia="Arial" w:hAnsi="Arial"/>
          <w:color w:val="1a1a1a"/>
          <w:sz w:val="19"/>
          <w:szCs w:val="19"/>
        </w:rPr>
        <w:t>The table below scores each app across 20 product, UX, and technical criteria observed during hands-on testing.</w:t>
      </w:r>
    </w:p>
    <w:p>
      <w:pPr>
        <w:pStyle w:val="style0"/>
        <w:spacing w:before="80" w:after="0"/>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1550"/>
        <w:gridCol w:w="1550"/>
        <w:gridCol w:w="1550"/>
        <w:gridCol w:w="1550"/>
      </w:tblGrid>
      <w:tr>
        <w:trPr/>
        <w:tc>
          <w:tcPr>
            <w:tcW w:w="28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pPr>
              <w:pStyle w:val="style0"/>
              <w:jc w:val="center"/>
              <w:rPr/>
            </w:pPr>
            <w:r>
              <w:rPr>
                <w:rFonts w:ascii="Arial" w:cs="Arial" w:eastAsia="Arial" w:hAnsi="Arial"/>
                <w:b/>
                <w:bCs/>
                <w:color w:val="ffffff"/>
                <w:sz w:val="18"/>
                <w:szCs w:val="18"/>
              </w:rPr>
              <w:t>Feature / Criterion</w:t>
            </w:r>
          </w:p>
        </w:tc>
        <w:tc>
          <w:tcPr>
            <w:tcW w:w="155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pPr>
              <w:pStyle w:val="style0"/>
              <w:jc w:val="center"/>
              <w:rPr/>
            </w:pPr>
            <w:r>
              <w:rPr>
                <w:rFonts w:ascii="Arial" w:cs="Arial" w:eastAsia="Arial" w:hAnsi="Arial"/>
                <w:b/>
                <w:bCs/>
                <w:color w:val="ffffff"/>
                <w:sz w:val="18"/>
                <w:szCs w:val="18"/>
              </w:rPr>
              <w:t>BangBet Kenya</w:t>
            </w:r>
          </w:p>
        </w:tc>
        <w:tc>
          <w:tcPr>
            <w:tcW w:w="1550"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vAlign w:val="center"/>
          </w:tcPr>
          <w:p>
            <w:pPr>
              <w:pStyle w:val="style0"/>
              <w:jc w:val="center"/>
              <w:rPr/>
            </w:pPr>
            <w:r>
              <w:rPr>
                <w:rFonts w:ascii="Arial" w:cs="Arial" w:eastAsia="Arial" w:hAnsi="Arial"/>
                <w:b/>
                <w:bCs/>
                <w:color w:val="ffffff"/>
                <w:sz w:val="18"/>
                <w:szCs w:val="18"/>
              </w:rPr>
              <w:t>Competitor A</w:t>
            </w:r>
          </w:p>
        </w:tc>
        <w:tc>
          <w:tcPr>
            <w:tcW w:w="1550"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vAlign w:val="center"/>
          </w:tcPr>
          <w:p>
            <w:pPr>
              <w:pStyle w:val="style0"/>
              <w:jc w:val="center"/>
              <w:rPr/>
            </w:pPr>
            <w:r>
              <w:rPr>
                <w:rFonts w:ascii="Arial" w:cs="Arial" w:eastAsia="Arial" w:hAnsi="Arial"/>
                <w:b/>
                <w:bCs/>
                <w:color w:val="ffffff"/>
                <w:sz w:val="18"/>
                <w:szCs w:val="18"/>
              </w:rPr>
              <w:t>Competitor B</w:t>
            </w:r>
          </w:p>
        </w:tc>
        <w:tc>
          <w:tcPr>
            <w:tcW w:w="1550"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vAlign w:val="center"/>
          </w:tcPr>
          <w:p>
            <w:pPr>
              <w:pStyle w:val="style0"/>
              <w:jc w:val="center"/>
              <w:rPr/>
            </w:pPr>
            <w:r>
              <w:rPr>
                <w:rFonts w:ascii="Arial" w:cs="Arial" w:eastAsia="Arial" w:hAnsi="Arial"/>
                <w:b/>
                <w:bCs/>
                <w:color w:val="ffffff"/>
                <w:sz w:val="18"/>
                <w:szCs w:val="18"/>
              </w:rPr>
              <w:t>Competitor C</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App Store Rating</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4.2 ★</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4.0 ★</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3.7 ★</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3.5 ★</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Registration Flow</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Simple — 3 steps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Simple — 3 steps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Moderate — 5 steps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Complex — 6+ steps</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KYC Verification</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On withdrawal (not upfront)</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On withdrawal</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Required upfront</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Required upfront</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M-Pesa Deposit Speed</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&lt; 10 seconds (STK push)</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&lt; 10 seconds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&lt; 15 seconds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15–30 seconds</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Minimum Deposit (KES)</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lang w:val="en-US"/>
              </w:rPr>
              <w:t>1</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50</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100</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100</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Minimum Withdrawal (KES)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100</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100</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200</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500</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Live Betting</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Yes — wide coverage</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Yes — wide coverage</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Yes — limited markets</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Yes</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Cash Out Feature</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Yes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Yes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Yes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No</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Crash Game</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Yes</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Yes</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No</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No</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Virtual Sports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Yes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No</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Yes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No</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Odds Format Options</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Decimal only</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Decimal &amp; Fractional</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Decimal only</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Decimal only</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In-App Live Streaming</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No</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No</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Yes (select matches)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No</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Promotions Visibility</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Home screen banner</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Home screen banner</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Dedicated promo tab</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Minimal</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Push Notifications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left"/>
              <w:rPr/>
            </w:pPr>
            <w:r>
              <w:rPr>
                <w:rFonts w:ascii="Arial" w:cs="Arial" w:eastAsia="Arial" w:hAnsi="Arial"/>
                <w:b w:val="false"/>
                <w:bCs w:val="false"/>
                <w:color w:val="1a1a1a"/>
                <w:sz w:val="18"/>
                <w:szCs w:val="18"/>
                <w:lang w:val="en-US"/>
              </w:rPr>
              <w:t>P</w:t>
            </w:r>
            <w:r>
              <w:rPr>
                <w:rFonts w:ascii="Arial" w:cs="Arial" w:eastAsia="Arial" w:hAnsi="Arial"/>
                <w:b w:val="false"/>
                <w:bCs w:val="false"/>
                <w:color w:val="1a1a1a"/>
                <w:sz w:val="18"/>
                <w:szCs w:val="18"/>
              </w:rPr>
              <w:t>romos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Bet results, promos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Bet results only</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Promos only</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Dark Mode</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No</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Yes</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No</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No</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App Size (Android APK)</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w:t>
            </w:r>
            <w:r>
              <w:rPr>
                <w:rFonts w:ascii="Arial" w:cs="Arial" w:eastAsia="Arial" w:hAnsi="Arial"/>
                <w:b w:val="false"/>
                <w:bCs w:val="false"/>
                <w:color w:val="1a1a1a"/>
                <w:sz w:val="18"/>
                <w:szCs w:val="18"/>
                <w:lang w:val="en-US"/>
              </w:rPr>
              <w:t>1</w:t>
            </w:r>
            <w:r>
              <w:rPr>
                <w:rFonts w:ascii="Arial" w:cs="Arial" w:eastAsia="Arial" w:hAnsi="Arial"/>
                <w:b w:val="false"/>
                <w:bCs w:val="false"/>
                <w:color w:val="1a1a1a"/>
                <w:sz w:val="18"/>
                <w:szCs w:val="18"/>
              </w:rPr>
              <w:t>2 MB</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w:t>
            </w:r>
            <w:r>
              <w:rPr>
                <w:rFonts w:ascii="Arial" w:cs="Arial" w:eastAsia="Arial" w:hAnsi="Arial"/>
                <w:b w:val="false"/>
                <w:bCs w:val="false"/>
                <w:color w:val="1a1a1a"/>
                <w:sz w:val="18"/>
                <w:szCs w:val="18"/>
                <w:lang w:val="en-US"/>
              </w:rPr>
              <w:t>2</w:t>
            </w:r>
            <w:r>
              <w:rPr>
                <w:rFonts w:ascii="Arial" w:cs="Arial" w:eastAsia="Arial" w:hAnsi="Arial"/>
                <w:b w:val="false"/>
                <w:bCs w:val="false"/>
                <w:color w:val="1a1a1a"/>
                <w:sz w:val="18"/>
                <w:szCs w:val="18"/>
              </w:rPr>
              <w:t>5 MB</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~68 MB</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~38 MB</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Crash Stability</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Stable</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Stable</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Occasional crashes reported</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Stable</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Offline Behaviour</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Meaningful error shown</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Blank screen</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Meaningful error shown</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App freezes</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Customer Support Access</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 xml:space="preserve">In-app chat + </w:t>
            </w:r>
            <w:r>
              <w:rPr>
                <w:rFonts w:ascii="Arial" w:cs="Arial" w:eastAsia="Arial" w:hAnsi="Arial"/>
                <w:b w:val="false"/>
                <w:bCs w:val="false"/>
                <w:color w:val="1a1a1a"/>
                <w:sz w:val="18"/>
                <w:szCs w:val="18"/>
                <w:lang w:val="en-US"/>
              </w:rPr>
              <w:t>Call</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In-app chat only</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Email only</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Phone only</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Responsible Gambling Tools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Deposit limits, self-exclusion</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Deposit limits only</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Self-exclusion only</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None visible</w:t>
            </w:r>
          </w:p>
        </w:tc>
      </w:tr>
    </w:tbl>
    <w:p>
      <w:pPr>
        <w:pStyle w:val="style0"/>
        <w:spacing w:before="80" w:after="0"/>
        <w:rPr/>
      </w:pPr>
    </w:p>
    <w:p>
      <w:pPr>
        <w:pStyle w:val="style0"/>
        <w:pBdr>
          <w:bottom w:val="single" w:sz="6" w:space="4" w:color="1f4e79"/>
        </w:pBdr>
        <w:spacing w:before="300" w:after="100"/>
        <w:rPr/>
      </w:pPr>
      <w:r>
        <w:rPr>
          <w:rFonts w:ascii="Arial" w:cs="Arial" w:eastAsia="Arial" w:hAnsi="Arial"/>
          <w:b/>
          <w:bCs/>
          <w:color w:val="1f4e79"/>
          <w:sz w:val="24"/>
          <w:szCs w:val="24"/>
        </w:rPr>
        <w:t>3. APP STORE LISTING ANALYSIS</w:t>
      </w:r>
    </w:p>
    <w:p>
      <w:pPr>
        <w:pStyle w:val="style0"/>
        <w:spacing w:before="60" w:after="60"/>
        <w:jc w:val="left"/>
        <w:rPr/>
      </w:pPr>
      <w:r>
        <w:rPr>
          <w:rFonts w:ascii="Arial" w:cs="Arial" w:eastAsia="Arial" w:hAnsi="Arial"/>
          <w:color w:val="1a1a1a"/>
          <w:sz w:val="19"/>
          <w:szCs w:val="19"/>
        </w:rPr>
        <w:t>Store listing data provides an independent signal of user satisfaction and brand health separate from internal metrics.</w:t>
      </w:r>
    </w:p>
    <w:p>
      <w:pPr>
        <w:pStyle w:val="style0"/>
        <w:spacing w:before="80" w:after="0"/>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1550"/>
        <w:gridCol w:w="1550"/>
        <w:gridCol w:w="1550"/>
        <w:gridCol w:w="1550"/>
      </w:tblGrid>
      <w:tr>
        <w:trPr/>
        <w:tc>
          <w:tcPr>
            <w:tcW w:w="28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pPr>
              <w:pStyle w:val="style0"/>
              <w:jc w:val="center"/>
              <w:rPr/>
            </w:pPr>
            <w:r>
              <w:rPr>
                <w:rFonts w:ascii="Arial" w:cs="Arial" w:eastAsia="Arial" w:hAnsi="Arial"/>
                <w:b/>
                <w:bCs/>
                <w:color w:val="ffffff"/>
                <w:sz w:val="18"/>
                <w:szCs w:val="18"/>
              </w:rPr>
              <w:t>Store Metric</w:t>
            </w:r>
          </w:p>
        </w:tc>
        <w:tc>
          <w:tcPr>
            <w:tcW w:w="155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20" w:type="dxa"/>
              <w:bottom w:w="80" w:type="dxa"/>
              <w:right w:w="120" w:type="dxa"/>
            </w:tcMar>
            <w:vAlign w:val="center"/>
          </w:tcPr>
          <w:p>
            <w:pPr>
              <w:pStyle w:val="style0"/>
              <w:jc w:val="center"/>
              <w:rPr/>
            </w:pPr>
            <w:r>
              <w:rPr>
                <w:rFonts w:ascii="Arial" w:cs="Arial" w:eastAsia="Arial" w:hAnsi="Arial"/>
                <w:b/>
                <w:bCs/>
                <w:color w:val="ffffff"/>
                <w:sz w:val="18"/>
                <w:szCs w:val="18"/>
              </w:rPr>
              <w:t>BangBet Kenya</w:t>
            </w:r>
          </w:p>
        </w:tc>
        <w:tc>
          <w:tcPr>
            <w:tcW w:w="1550"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vAlign w:val="center"/>
          </w:tcPr>
          <w:p>
            <w:pPr>
              <w:pStyle w:val="style0"/>
              <w:jc w:val="center"/>
              <w:rPr/>
            </w:pPr>
            <w:r>
              <w:rPr>
                <w:rFonts w:ascii="Arial" w:cs="Arial" w:eastAsia="Arial" w:hAnsi="Arial"/>
                <w:b/>
                <w:bCs/>
                <w:color w:val="ffffff"/>
                <w:sz w:val="18"/>
                <w:szCs w:val="18"/>
              </w:rPr>
              <w:t>Competitor A</w:t>
            </w:r>
          </w:p>
        </w:tc>
        <w:tc>
          <w:tcPr>
            <w:tcW w:w="1550"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vAlign w:val="center"/>
          </w:tcPr>
          <w:p>
            <w:pPr>
              <w:pStyle w:val="style0"/>
              <w:jc w:val="center"/>
              <w:rPr/>
            </w:pPr>
            <w:r>
              <w:rPr>
                <w:rFonts w:ascii="Arial" w:cs="Arial" w:eastAsia="Arial" w:hAnsi="Arial"/>
                <w:b/>
                <w:bCs/>
                <w:color w:val="ffffff"/>
                <w:sz w:val="18"/>
                <w:szCs w:val="18"/>
              </w:rPr>
              <w:t>Competitor B</w:t>
            </w:r>
          </w:p>
        </w:tc>
        <w:tc>
          <w:tcPr>
            <w:tcW w:w="1550" w:type="dxa"/>
            <w:tcBorders>
              <w:top w:val="single" w:sz="4" w:space="0" w:color="bdd7ee"/>
              <w:left w:val="single" w:sz="4" w:space="0" w:color="bdd7ee"/>
              <w:bottom w:val="single" w:sz="4" w:space="0" w:color="bdd7ee"/>
              <w:right w:val="single" w:sz="4" w:space="0" w:color="bdd7ee"/>
            </w:tcBorders>
            <w:shd w:val="clear" w:color="auto" w:fill="2e75b6"/>
            <w:tcMar>
              <w:top w:w="80" w:type="dxa"/>
              <w:left w:w="120" w:type="dxa"/>
              <w:bottom w:w="80" w:type="dxa"/>
              <w:right w:w="120" w:type="dxa"/>
            </w:tcMar>
            <w:vAlign w:val="center"/>
          </w:tcPr>
          <w:p>
            <w:pPr>
              <w:pStyle w:val="style0"/>
              <w:jc w:val="center"/>
              <w:rPr/>
            </w:pPr>
            <w:r>
              <w:rPr>
                <w:rFonts w:ascii="Arial" w:cs="Arial" w:eastAsia="Arial" w:hAnsi="Arial"/>
                <w:b/>
                <w:bCs/>
                <w:color w:val="ffffff"/>
                <w:sz w:val="18"/>
                <w:szCs w:val="18"/>
              </w:rPr>
              <w:t>Competitor C</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Google Play — Total Reviews</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12,400+</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8,200+</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21,000+</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4,100+</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Play Store — 5-star %</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~58%</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~52%</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~48%</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~44%</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Play Store — 1-star %</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~18%</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~22%</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~26%</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~30%</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Common 1-star theme</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Withdrawal delays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Login issues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Crash reports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Poor odds</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App Store (iOS) — Rating</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4.1 ★</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3.9 ★</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3.6 ★</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3.4 ★</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ebf3fb"/>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Last App Update</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Within 30 days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Within 30 days</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60+ days ago</w:t>
            </w:r>
          </w:p>
        </w:tc>
        <w:tc>
          <w:tcPr>
            <w:tcW w:w="1550" w:type="dxa"/>
            <w:tcBorders>
              <w:top w:val="single" w:sz="4" w:space="0" w:color="bdd7ee"/>
              <w:left w:val="single" w:sz="4" w:space="0" w:color="bdd7ee"/>
              <w:bottom w:val="single" w:sz="4" w:space="0" w:color="bdd7ee"/>
              <w:right w:val="single" w:sz="4" w:space="0" w:color="bdd7ee"/>
            </w:tcBorders>
            <w:shd w:val="clear" w:color="auto" w:fill="f5fa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90+ days ago</w:t>
            </w:r>
          </w:p>
        </w:tc>
      </w:tr>
      <w:tr>
        <w:tblPrEx/>
        <w:trPr/>
        <w:tc>
          <w:tcPr>
            <w:tcW w:w="28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20" w:type="dxa"/>
              <w:bottom w:w="80" w:type="dxa"/>
              <w:right w:w="120" w:type="dxa"/>
            </w:tcMar>
            <w:vAlign w:val="center"/>
          </w:tcPr>
          <w:p>
            <w:pPr>
              <w:pStyle w:val="style0"/>
              <w:jc w:val="left"/>
              <w:rPr/>
            </w:pPr>
            <w:r>
              <w:rPr>
                <w:rFonts w:ascii="Arial" w:cs="Arial" w:eastAsia="Arial" w:hAnsi="Arial"/>
                <w:b/>
                <w:bCs/>
                <w:color w:val="1f4e79"/>
                <w:sz w:val="18"/>
                <w:szCs w:val="18"/>
              </w:rPr>
              <w:t>Developer Response to Reviews</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Consistent</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Occasional</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Rare</w:t>
            </w:r>
          </w:p>
        </w:tc>
        <w:tc>
          <w:tcPr>
            <w:tcW w:w="155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20" w:type="dxa"/>
              <w:bottom w:w="80" w:type="dxa"/>
              <w:right w:w="120" w:type="dxa"/>
            </w:tcMar>
            <w:vAlign w:val="center"/>
          </w:tcPr>
          <w:p>
            <w:pPr>
              <w:pStyle w:val="style0"/>
              <w:jc w:val="center"/>
              <w:rPr/>
            </w:pPr>
            <w:r>
              <w:rPr>
                <w:rFonts w:ascii="Arial" w:cs="Arial" w:eastAsia="Arial" w:hAnsi="Arial"/>
                <w:b w:val="false"/>
                <w:bCs w:val="false"/>
                <w:color w:val="1a1a1a"/>
                <w:sz w:val="18"/>
                <w:szCs w:val="18"/>
              </w:rPr>
              <w:t>None observed</w:t>
            </w:r>
          </w:p>
        </w:tc>
      </w:tr>
    </w:tbl>
    <w:p>
      <w:pPr>
        <w:pStyle w:val="style0"/>
        <w:spacing w:before="80" w:after="0"/>
        <w:rPr/>
      </w:pPr>
    </w:p>
    <w:p>
      <w:pPr>
        <w:pStyle w:val="style0"/>
        <w:spacing w:before="200" w:after="80"/>
        <w:rPr/>
      </w:pPr>
      <w:r>
        <w:rPr>
          <w:rFonts w:ascii="Arial" w:cs="Arial" w:eastAsia="Arial" w:hAnsi="Arial"/>
          <w:b/>
          <w:bCs/>
          <w:color w:val="2e75b6"/>
          <w:sz w:val="20"/>
          <w:szCs w:val="20"/>
        </w:rPr>
        <w:t>Key Insights from Store Reviews</w:t>
      </w:r>
    </w:p>
    <w:p>
      <w:pPr>
        <w:pStyle w:val="style179"/>
        <w:numPr>
          <w:ilvl w:val="0"/>
          <w:numId w:val="1"/>
        </w:numPr>
        <w:spacing w:before="40" w:after="40"/>
        <w:rPr/>
      </w:pPr>
      <w:r>
        <w:rPr>
          <w:rFonts w:ascii="Arial" w:cs="Arial" w:eastAsia="Arial" w:hAnsi="Arial"/>
          <w:color w:val="1a1a1a"/>
          <w:sz w:val="19"/>
          <w:szCs w:val="19"/>
        </w:rPr>
        <w:t>BangBet Kenya's top 1-star complaint is withdrawal delays — this is also the most actionable single improvement as it directly impacts user trust and retention.</w:t>
      </w:r>
    </w:p>
    <w:p>
      <w:pPr>
        <w:pStyle w:val="style179"/>
        <w:numPr>
          <w:ilvl w:val="0"/>
          <w:numId w:val="1"/>
        </w:numPr>
        <w:spacing w:before="40" w:after="40"/>
        <w:rPr/>
      </w:pPr>
      <w:r>
        <w:rPr>
          <w:rFonts w:ascii="Arial" w:cs="Arial" w:eastAsia="Arial" w:hAnsi="Arial"/>
          <w:color w:val="1a1a1a"/>
          <w:sz w:val="19"/>
          <w:szCs w:val="19"/>
        </w:rPr>
        <w:t>Competitor B's large review base (21,000+) reflects longer market presence, but their 26% 1-star rate and crash reports represent a credible vulnerability BangBet can exploit.</w:t>
      </w:r>
    </w:p>
    <w:p>
      <w:pPr>
        <w:pStyle w:val="style179"/>
        <w:numPr>
          <w:ilvl w:val="0"/>
          <w:numId w:val="1"/>
        </w:numPr>
        <w:spacing w:before="40" w:after="40"/>
        <w:rPr/>
      </w:pPr>
      <w:r>
        <w:rPr>
          <w:rFonts w:ascii="Arial" w:cs="Arial" w:eastAsia="Arial" w:hAnsi="Arial"/>
          <w:color w:val="1a1a1a"/>
          <w:sz w:val="19"/>
          <w:szCs w:val="19"/>
        </w:rPr>
        <w:t>BangBet's developer response pattern is the strongest of the four — this is a low-effort, high-impact trust signal that should be maintained and accelerated.</w:t>
      </w:r>
    </w:p>
    <w:p>
      <w:pPr>
        <w:pStyle w:val="style179"/>
        <w:numPr>
          <w:ilvl w:val="0"/>
          <w:numId w:val="1"/>
        </w:numPr>
        <w:spacing w:before="40" w:after="40"/>
        <w:rPr/>
      </w:pPr>
      <w:r>
        <w:rPr>
          <w:rFonts w:ascii="Arial" w:cs="Arial" w:eastAsia="Arial" w:hAnsi="Arial"/>
          <w:color w:val="1a1a1a"/>
          <w:sz w:val="19"/>
          <w:szCs w:val="19"/>
        </w:rPr>
        <w:t>Competitor A is the most direct threat: similar features, slightly higher review volume, and a dark mode advantage on UI.</w:t>
      </w:r>
    </w:p>
    <w:p>
      <w:pPr>
        <w:pStyle w:val="style0"/>
        <w:spacing w:before="80" w:after="0"/>
        <w:rPr/>
      </w:pPr>
    </w:p>
    <w:p>
      <w:pPr>
        <w:pStyle w:val="style0"/>
        <w:pBdr>
          <w:bottom w:val="single" w:sz="6" w:space="4" w:color="1f4e79"/>
        </w:pBdr>
        <w:spacing w:before="300" w:after="100"/>
        <w:rPr/>
      </w:pPr>
      <w:r>
        <w:rPr>
          <w:rFonts w:ascii="Arial" w:cs="Arial" w:eastAsia="Arial" w:hAnsi="Arial"/>
          <w:b/>
          <w:bCs/>
          <w:color w:val="1f4e79"/>
          <w:sz w:val="24"/>
          <w:szCs w:val="24"/>
        </w:rPr>
        <w:t>4. UX &amp; STABILITY OBSERVATIONS</w:t>
      </w:r>
    </w:p>
    <w:p>
      <w:pPr>
        <w:pStyle w:val="style0"/>
        <w:spacing w:before="200" w:after="80"/>
        <w:rPr/>
      </w:pPr>
      <w:r>
        <w:rPr>
          <w:rFonts w:ascii="Arial" w:cs="Arial" w:eastAsia="Arial" w:hAnsi="Arial"/>
          <w:b/>
          <w:bCs/>
          <w:color w:val="2e75b6"/>
          <w:sz w:val="20"/>
          <w:szCs w:val="20"/>
        </w:rPr>
        <w:t>4.1 Onboarding &amp; Registration</w:t>
      </w:r>
    </w:p>
    <w:p>
      <w:pPr>
        <w:pStyle w:val="style179"/>
        <w:numPr>
          <w:ilvl w:val="0"/>
          <w:numId w:val="1"/>
        </w:numPr>
        <w:spacing w:before="40" w:after="40"/>
        <w:rPr/>
      </w:pPr>
      <w:r>
        <w:rPr>
          <w:rFonts w:ascii="Arial" w:cs="Arial" w:eastAsia="Arial" w:hAnsi="Arial"/>
          <w:color w:val="1a1a1a"/>
          <w:sz w:val="19"/>
          <w:szCs w:val="19"/>
        </w:rPr>
        <w:t>BangBet and Competitor A both offer the smoothest registration flows (3 steps). Competitors B and C requiring KYC upfront creates friction that likely increases drop-off rates.</w:t>
      </w:r>
    </w:p>
    <w:p>
      <w:pPr>
        <w:pStyle w:val="style179"/>
        <w:numPr>
          <w:ilvl w:val="0"/>
          <w:numId w:val="1"/>
        </w:numPr>
        <w:spacing w:before="40" w:after="40"/>
        <w:rPr/>
      </w:pPr>
      <w:r>
        <w:rPr>
          <w:rFonts w:ascii="Arial" w:cs="Arial" w:eastAsia="Arial" w:hAnsi="Arial"/>
          <w:color w:val="1a1a1a"/>
          <w:sz w:val="19"/>
          <w:szCs w:val="19"/>
        </w:rPr>
        <w:t>Recommendation: Maintain the current lightweight registration approach; monitor competitors for any shift to upfront KYC driven by regulatory pressure.</w:t>
      </w:r>
    </w:p>
    <w:p>
      <w:pPr>
        <w:pStyle w:val="style0"/>
        <w:spacing w:before="80" w:after="0"/>
        <w:rPr/>
      </w:pPr>
    </w:p>
    <w:p>
      <w:pPr>
        <w:pStyle w:val="style0"/>
        <w:spacing w:before="200" w:after="80"/>
        <w:rPr/>
      </w:pPr>
      <w:r>
        <w:rPr>
          <w:rFonts w:ascii="Arial" w:cs="Arial" w:eastAsia="Arial" w:hAnsi="Arial"/>
          <w:b/>
          <w:bCs/>
          <w:color w:val="2e75b6"/>
          <w:sz w:val="20"/>
          <w:szCs w:val="20"/>
        </w:rPr>
        <w:t>4.2 Payment Experience</w:t>
      </w:r>
    </w:p>
    <w:p>
      <w:pPr>
        <w:pStyle w:val="style179"/>
        <w:numPr>
          <w:ilvl w:val="0"/>
          <w:numId w:val="1"/>
        </w:numPr>
        <w:spacing w:before="40" w:after="40"/>
        <w:rPr/>
      </w:pPr>
      <w:r>
        <w:rPr>
          <w:rFonts w:ascii="Arial" w:cs="Arial" w:eastAsia="Arial" w:hAnsi="Arial"/>
          <w:color w:val="1a1a1a"/>
          <w:sz w:val="19"/>
          <w:szCs w:val="19"/>
        </w:rPr>
        <w:t>BangBet's M-Pesa STK push speed (&lt; 10 seconds) matches Competitor A and outperforms B and C. This is a critical competitive parity metric — any regression here would be immediately felt by users.</w:t>
      </w:r>
    </w:p>
    <w:p>
      <w:pPr>
        <w:pStyle w:val="style179"/>
        <w:numPr>
          <w:ilvl w:val="0"/>
          <w:numId w:val="1"/>
        </w:numPr>
        <w:spacing w:before="40" w:after="40"/>
        <w:rPr/>
      </w:pPr>
      <w:r>
        <w:rPr>
          <w:rFonts w:ascii="Arial" w:cs="Arial" w:eastAsia="Arial" w:hAnsi="Arial"/>
          <w:color w:val="1a1a1a"/>
          <w:sz w:val="19"/>
          <w:szCs w:val="19"/>
        </w:rPr>
        <w:t>BangBet's KES 50 minimum deposit is a genuine differentiator for value-conscious users. Competitor B and C's KES 100 minimum creates a barrier.</w:t>
      </w:r>
    </w:p>
    <w:p>
      <w:pPr>
        <w:pStyle w:val="style179"/>
        <w:numPr>
          <w:ilvl w:val="0"/>
          <w:numId w:val="1"/>
        </w:numPr>
        <w:spacing w:before="40" w:after="40"/>
        <w:rPr/>
      </w:pPr>
      <w:r>
        <w:rPr>
          <w:rFonts w:ascii="Arial" w:cs="Arial" w:eastAsia="Arial" w:hAnsi="Arial"/>
          <w:color w:val="1a1a1a"/>
          <w:sz w:val="19"/>
          <w:szCs w:val="19"/>
        </w:rPr>
        <w:t>Withdrawal speed remains BangBet's biggest UX vulnerability and the most cited complaint in store reviews. This is a clear product priority.</w:t>
      </w:r>
    </w:p>
    <w:p>
      <w:pPr>
        <w:pStyle w:val="style0"/>
        <w:spacing w:before="80" w:after="0"/>
        <w:rPr/>
      </w:pPr>
    </w:p>
    <w:p>
      <w:pPr>
        <w:pStyle w:val="style0"/>
        <w:spacing w:before="200" w:after="80"/>
        <w:rPr/>
      </w:pPr>
      <w:r>
        <w:rPr>
          <w:rFonts w:ascii="Arial" w:cs="Arial" w:eastAsia="Arial" w:hAnsi="Arial"/>
          <w:b/>
          <w:bCs/>
          <w:color w:val="2e75b6"/>
          <w:sz w:val="20"/>
          <w:szCs w:val="20"/>
        </w:rPr>
        <w:t>4.3 App Stability</w:t>
      </w:r>
    </w:p>
    <w:p>
      <w:pPr>
        <w:pStyle w:val="style179"/>
        <w:numPr>
          <w:ilvl w:val="0"/>
          <w:numId w:val="1"/>
        </w:numPr>
        <w:spacing w:before="40" w:after="40"/>
        <w:rPr/>
      </w:pPr>
      <w:r>
        <w:rPr>
          <w:rFonts w:ascii="Arial" w:cs="Arial" w:eastAsia="Arial" w:hAnsi="Arial"/>
          <w:color w:val="1a1a1a"/>
          <w:sz w:val="19"/>
          <w:szCs w:val="19"/>
        </w:rPr>
        <w:t>BangBet and Competitor A are the most stable of the four apps — no significant crash patterns observed during testing.</w:t>
      </w:r>
    </w:p>
    <w:p>
      <w:pPr>
        <w:pStyle w:val="style179"/>
        <w:numPr>
          <w:ilvl w:val="0"/>
          <w:numId w:val="1"/>
        </w:numPr>
        <w:spacing w:before="40" w:after="40"/>
        <w:rPr/>
      </w:pPr>
      <w:r>
        <w:rPr>
          <w:rFonts w:ascii="Arial" w:cs="Arial" w:eastAsia="Arial" w:hAnsi="Arial"/>
          <w:color w:val="1a1a1a"/>
          <w:sz w:val="19"/>
          <w:szCs w:val="19"/>
        </w:rPr>
        <w:t>Competitor B shows intermittent crash behaviour on Android 14, confirmed by multiple recent Play Store reviews. This creates a short-term opportunity to capture dissatisfied users.</w:t>
      </w:r>
    </w:p>
    <w:p>
      <w:pPr>
        <w:pStyle w:val="style179"/>
        <w:numPr>
          <w:ilvl w:val="0"/>
          <w:numId w:val="1"/>
        </w:numPr>
        <w:spacing w:before="40" w:after="40"/>
        <w:rPr/>
      </w:pPr>
      <w:r>
        <w:rPr>
          <w:rFonts w:ascii="Arial" w:cs="Arial" w:eastAsia="Arial" w:hAnsi="Arial"/>
          <w:color w:val="1a1a1a"/>
          <w:sz w:val="19"/>
          <w:szCs w:val="19"/>
        </w:rPr>
        <w:t>BangBet's offline behaviour (meaningful error message) is superior to Competitor A (blank screen) and Competitor C (freeze). This should be highlighted in user communications.</w:t>
      </w:r>
    </w:p>
    <w:p>
      <w:pPr>
        <w:pStyle w:val="style0"/>
        <w:spacing w:before="80" w:after="0"/>
        <w:rPr/>
      </w:pPr>
    </w:p>
    <w:p>
      <w:pPr>
        <w:pStyle w:val="style0"/>
        <w:pBdr>
          <w:bottom w:val="single" w:sz="6" w:space="4" w:color="1f4e79"/>
        </w:pBdr>
        <w:spacing w:before="300" w:after="100"/>
        <w:rPr/>
      </w:pPr>
      <w:r>
        <w:rPr>
          <w:rFonts w:ascii="Arial" w:cs="Arial" w:eastAsia="Arial" w:hAnsi="Arial"/>
          <w:b/>
          <w:bCs/>
          <w:color w:val="1f4e79"/>
          <w:sz w:val="24"/>
          <w:szCs w:val="24"/>
        </w:rPr>
        <w:t>5. SWOT ANALYSIS — BANGBET KENYA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00"/>
        <w:gridCol w:w="4500"/>
      </w:tblGrid>
      <w:tr>
        <w:trPr/>
        <w:tc>
          <w:tcPr>
            <w:tcW w:w="4500" w:type="dxa"/>
            <w:tcBorders>
              <w:top w:val="single" w:sz="4" w:space="0" w:color="bdd7ee"/>
              <w:left w:val="single" w:sz="4" w:space="0" w:color="bdd7ee"/>
              <w:bottom w:val="single" w:sz="4" w:space="0" w:color="bdd7ee"/>
              <w:right w:val="single" w:sz="4" w:space="0" w:color="bdd7ee"/>
            </w:tcBorders>
            <w:shd w:val="clear" w:color="auto" w:fill="e2efda"/>
            <w:tcMar>
              <w:top w:w="80" w:type="dxa"/>
              <w:left w:w="120" w:type="dxa"/>
              <w:bottom w:w="80" w:type="dxa"/>
              <w:right w:w="120" w:type="dxa"/>
            </w:tcMar>
          </w:tcPr>
          <w:p>
            <w:pPr>
              <w:pStyle w:val="style0"/>
              <w:rPr/>
            </w:pPr>
            <w:r>
              <w:rPr>
                <w:rFonts w:ascii="Arial" w:cs="Arial" w:eastAsia="Arial" w:hAnsi="Arial"/>
                <w:b/>
                <w:bCs/>
                <w:color w:val="1f4e79"/>
                <w:sz w:val="20"/>
                <w:szCs w:val="20"/>
              </w:rPr>
              <w:t>STRENGTHS</w:t>
            </w:r>
          </w:p>
        </w:tc>
        <w:tc>
          <w:tcPr>
            <w:tcW w:w="4500" w:type="dxa"/>
            <w:tcBorders>
              <w:top w:val="single" w:sz="4" w:space="0" w:color="bdd7ee"/>
              <w:left w:val="single" w:sz="4" w:space="0" w:color="bdd7ee"/>
              <w:bottom w:val="single" w:sz="4" w:space="0" w:color="bdd7ee"/>
              <w:right w:val="single" w:sz="4" w:space="0" w:color="bdd7ee"/>
            </w:tcBorders>
            <w:shd w:val="clear" w:color="auto" w:fill="fce4d6"/>
            <w:tcMar>
              <w:top w:w="80" w:type="dxa"/>
              <w:left w:w="120" w:type="dxa"/>
              <w:bottom w:w="80" w:type="dxa"/>
              <w:right w:w="120" w:type="dxa"/>
            </w:tcMar>
          </w:tcPr>
          <w:p>
            <w:pPr>
              <w:pStyle w:val="style0"/>
              <w:rPr/>
            </w:pPr>
            <w:r>
              <w:rPr>
                <w:rFonts w:ascii="Arial" w:cs="Arial" w:eastAsia="Arial" w:hAnsi="Arial"/>
                <w:b/>
                <w:bCs/>
                <w:color w:val="1f4e79"/>
                <w:sz w:val="20"/>
                <w:szCs w:val="20"/>
              </w:rPr>
              <w:t>WEAKNESSES</w:t>
            </w:r>
          </w:p>
        </w:tc>
      </w:tr>
      <w:tr>
        <w:tblPrEx/>
        <w:trPr/>
        <w:tc>
          <w:tcPr>
            <w:tcW w:w="4500" w:type="dxa"/>
            <w:tcBorders>
              <w:top w:val="single" w:sz="4" w:space="0" w:color="bdd7ee"/>
              <w:left w:val="single" w:sz="4" w:space="0" w:color="bdd7ee"/>
              <w:bottom w:val="single" w:sz="4" w:space="0" w:color="bdd7ee"/>
              <w:right w:val="single" w:sz="4" w:space="0" w:color="bdd7ee"/>
            </w:tcBorders>
            <w:shd w:val="clear" w:color="auto" w:fill="e2efda"/>
            <w:tcMar>
              <w:top w:w="100" w:type="dxa"/>
              <w:left w:w="140" w:type="dxa"/>
              <w:bottom w:w="100" w:type="dxa"/>
              <w:right w:w="140" w:type="dxa"/>
            </w:tcMar>
          </w:tcPr>
          <w:p>
            <w:pPr>
              <w:pStyle w:val="style179"/>
              <w:numPr>
                <w:ilvl w:val="0"/>
                <w:numId w:val="1"/>
              </w:numPr>
              <w:spacing w:before="40" w:after="40"/>
              <w:rPr/>
            </w:pPr>
            <w:r>
              <w:rPr>
                <w:rFonts w:ascii="Arial" w:cs="Arial" w:eastAsia="Arial" w:hAnsi="Arial"/>
                <w:color w:val="1a1a1a"/>
                <w:sz w:val="18"/>
                <w:szCs w:val="18"/>
              </w:rPr>
              <w:t>Fast M-Pesa STK push (&lt; 10s) — best-in-class payment speed</w:t>
            </w:r>
          </w:p>
          <w:p>
            <w:pPr>
              <w:pStyle w:val="style179"/>
              <w:numPr>
                <w:ilvl w:val="0"/>
                <w:numId w:val="1"/>
              </w:numPr>
              <w:spacing w:before="40" w:after="40"/>
              <w:rPr/>
            </w:pPr>
            <w:r>
              <w:rPr>
                <w:rFonts w:ascii="Arial" w:cs="Arial" w:eastAsia="Arial" w:hAnsi="Arial"/>
                <w:color w:val="1a1a1a"/>
                <w:sz w:val="18"/>
                <w:szCs w:val="18"/>
              </w:rPr>
              <w:t>Low minimum deposit (KES 50) — accessible to wide user base</w:t>
            </w:r>
          </w:p>
          <w:p>
            <w:pPr>
              <w:pStyle w:val="style179"/>
              <w:numPr>
                <w:ilvl w:val="0"/>
                <w:numId w:val="1"/>
              </w:numPr>
              <w:spacing w:before="40" w:after="40"/>
              <w:rPr/>
            </w:pPr>
            <w:r>
              <w:rPr>
                <w:rFonts w:ascii="Arial" w:cs="Arial" w:eastAsia="Arial" w:hAnsi="Arial"/>
                <w:color w:val="1a1a1a"/>
                <w:sz w:val="18"/>
                <w:szCs w:val="18"/>
              </w:rPr>
              <w:t>Crash game offering differentiates from Competitor B and C</w:t>
            </w:r>
          </w:p>
          <w:p>
            <w:pPr>
              <w:pStyle w:val="style179"/>
              <w:numPr>
                <w:ilvl w:val="0"/>
                <w:numId w:val="1"/>
              </w:numPr>
              <w:spacing w:before="40" w:after="40"/>
              <w:rPr/>
            </w:pPr>
            <w:r>
              <w:rPr>
                <w:rFonts w:ascii="Arial" w:cs="Arial" w:eastAsia="Arial" w:hAnsi="Arial"/>
                <w:color w:val="1a1a1a"/>
                <w:sz w:val="18"/>
                <w:szCs w:val="18"/>
              </w:rPr>
              <w:t>Consistent developer response to store reviews — builds trust</w:t>
            </w:r>
          </w:p>
          <w:p>
            <w:pPr>
              <w:pStyle w:val="style179"/>
              <w:numPr>
                <w:ilvl w:val="0"/>
                <w:numId w:val="1"/>
              </w:numPr>
              <w:spacing w:before="40" w:after="40"/>
              <w:rPr/>
            </w:pPr>
            <w:r>
              <w:rPr>
                <w:rFonts w:ascii="Arial" w:cs="Arial" w:eastAsia="Arial" w:hAnsi="Arial"/>
                <w:color w:val="1a1a1a"/>
                <w:sz w:val="18"/>
                <w:szCs w:val="18"/>
              </w:rPr>
              <w:t>Smaller APK size (42MB) — less friction for download on limited storage devices</w:t>
            </w:r>
          </w:p>
        </w:tc>
        <w:tc>
          <w:tcPr>
            <w:tcW w:w="4500" w:type="dxa"/>
            <w:tcBorders>
              <w:top w:val="single" w:sz="4" w:space="0" w:color="bdd7ee"/>
              <w:left w:val="single" w:sz="4" w:space="0" w:color="bdd7ee"/>
              <w:bottom w:val="single" w:sz="4" w:space="0" w:color="bdd7ee"/>
              <w:right w:val="single" w:sz="4" w:space="0" w:color="bdd7ee"/>
            </w:tcBorders>
            <w:shd w:val="clear" w:color="auto" w:fill="fce4d6"/>
            <w:tcMar>
              <w:top w:w="100" w:type="dxa"/>
              <w:left w:w="140" w:type="dxa"/>
              <w:bottom w:w="100" w:type="dxa"/>
              <w:right w:w="140" w:type="dxa"/>
            </w:tcMar>
          </w:tcPr>
          <w:p>
            <w:pPr>
              <w:pStyle w:val="style179"/>
              <w:numPr>
                <w:ilvl w:val="0"/>
                <w:numId w:val="1"/>
              </w:numPr>
              <w:spacing w:before="40" w:after="40"/>
              <w:rPr/>
            </w:pPr>
            <w:r>
              <w:rPr>
                <w:rFonts w:ascii="Arial" w:cs="Arial" w:eastAsia="Arial" w:hAnsi="Arial"/>
                <w:color w:val="1a1a1a"/>
                <w:sz w:val="18"/>
                <w:szCs w:val="18"/>
              </w:rPr>
              <w:t>No dark mode — behind Competitor A on UI preferences</w:t>
            </w:r>
          </w:p>
          <w:p>
            <w:pPr>
              <w:pStyle w:val="style179"/>
              <w:numPr>
                <w:ilvl w:val="0"/>
                <w:numId w:val="1"/>
              </w:numPr>
              <w:spacing w:before="40" w:after="40"/>
              <w:rPr/>
            </w:pPr>
            <w:r>
              <w:rPr>
                <w:rFonts w:ascii="Arial" w:cs="Arial" w:eastAsia="Arial" w:hAnsi="Arial"/>
                <w:color w:val="1a1a1a"/>
                <w:sz w:val="18"/>
                <w:szCs w:val="18"/>
              </w:rPr>
              <w:t>No in-app live streaming — Competitor B has an edge here</w:t>
            </w:r>
          </w:p>
          <w:p>
            <w:pPr>
              <w:pStyle w:val="style179"/>
              <w:numPr>
                <w:ilvl w:val="0"/>
                <w:numId w:val="1"/>
              </w:numPr>
              <w:spacing w:before="40" w:after="40"/>
              <w:rPr/>
            </w:pPr>
            <w:r>
              <w:rPr>
                <w:rFonts w:ascii="Arial" w:cs="Arial" w:eastAsia="Arial" w:hAnsi="Arial"/>
                <w:color w:val="1a1a1a"/>
                <w:sz w:val="18"/>
                <w:szCs w:val="18"/>
              </w:rPr>
              <w:t>Odds shown in decimal only — limiting for users who prefer other formats</w:t>
            </w:r>
          </w:p>
          <w:p>
            <w:pPr>
              <w:pStyle w:val="style179"/>
              <w:numPr>
                <w:ilvl w:val="0"/>
                <w:numId w:val="1"/>
              </w:numPr>
              <w:spacing w:before="40" w:after="40"/>
              <w:rPr/>
            </w:pPr>
            <w:r>
              <w:rPr>
                <w:rFonts w:ascii="Arial" w:cs="Arial" w:eastAsia="Arial" w:hAnsi="Arial"/>
                <w:color w:val="1a1a1a"/>
                <w:sz w:val="18"/>
                <w:szCs w:val="18"/>
              </w:rPr>
              <w:t>Withdrawal delays are the top 1-star review driver — reputational risk</w:t>
            </w:r>
          </w:p>
        </w:tc>
      </w:tr>
      <w:tr>
        <w:tblPrEx/>
        <w:trPr/>
        <w:tc>
          <w:tcPr>
            <w:tcW w:w="4500" w:type="dxa"/>
            <w:tcBorders>
              <w:top w:val="single" w:sz="4" w:space="0" w:color="bdd7ee"/>
              <w:left w:val="single" w:sz="4" w:space="0" w:color="bdd7ee"/>
              <w:bottom w:val="single" w:sz="4" w:space="0" w:color="bdd7ee"/>
              <w:right w:val="single" w:sz="4" w:space="0" w:color="bdd7ee"/>
            </w:tcBorders>
            <w:shd w:val="clear" w:color="auto" w:fill="d6e4f0"/>
            <w:tcMar>
              <w:top w:w="80" w:type="dxa"/>
              <w:left w:w="120" w:type="dxa"/>
              <w:bottom w:w="80" w:type="dxa"/>
              <w:right w:w="120" w:type="dxa"/>
            </w:tcMar>
          </w:tcPr>
          <w:p>
            <w:pPr>
              <w:pStyle w:val="style0"/>
              <w:rPr/>
            </w:pPr>
            <w:r>
              <w:rPr>
                <w:rFonts w:ascii="Arial" w:cs="Arial" w:eastAsia="Arial" w:hAnsi="Arial"/>
                <w:b/>
                <w:bCs/>
                <w:color w:val="1f4e79"/>
                <w:sz w:val="20"/>
                <w:szCs w:val="20"/>
              </w:rPr>
              <w:t>OPPORTUNITIES</w:t>
            </w:r>
          </w:p>
        </w:tc>
        <w:tc>
          <w:tcPr>
            <w:tcW w:w="4500" w:type="dxa"/>
            <w:tcBorders>
              <w:top w:val="single" w:sz="4" w:space="0" w:color="bdd7ee"/>
              <w:left w:val="single" w:sz="4" w:space="0" w:color="bdd7ee"/>
              <w:bottom w:val="single" w:sz="4" w:space="0" w:color="bdd7ee"/>
              <w:right w:val="single" w:sz="4" w:space="0" w:color="bdd7ee"/>
            </w:tcBorders>
            <w:shd w:val="clear" w:color="auto" w:fill="fff2cc"/>
            <w:tcMar>
              <w:top w:w="80" w:type="dxa"/>
              <w:left w:w="120" w:type="dxa"/>
              <w:bottom w:w="80" w:type="dxa"/>
              <w:right w:w="120" w:type="dxa"/>
            </w:tcMar>
          </w:tcPr>
          <w:p>
            <w:pPr>
              <w:pStyle w:val="style0"/>
              <w:rPr/>
            </w:pPr>
            <w:r>
              <w:rPr>
                <w:rFonts w:ascii="Arial" w:cs="Arial" w:eastAsia="Arial" w:hAnsi="Arial"/>
                <w:b/>
                <w:bCs/>
                <w:color w:val="1f4e79"/>
                <w:sz w:val="20"/>
                <w:szCs w:val="20"/>
              </w:rPr>
              <w:t>THREATS</w:t>
            </w:r>
          </w:p>
        </w:tc>
      </w:tr>
      <w:tr>
        <w:tblPrEx/>
        <w:trPr/>
        <w:tc>
          <w:tcPr>
            <w:tcW w:w="4500" w:type="dxa"/>
            <w:tcBorders>
              <w:top w:val="single" w:sz="4" w:space="0" w:color="bdd7ee"/>
              <w:left w:val="single" w:sz="4" w:space="0" w:color="bdd7ee"/>
              <w:bottom w:val="single" w:sz="4" w:space="0" w:color="bdd7ee"/>
              <w:right w:val="single" w:sz="4" w:space="0" w:color="bdd7ee"/>
            </w:tcBorders>
            <w:shd w:val="clear" w:color="auto" w:fill="d6e4f0"/>
            <w:tcMar>
              <w:top w:w="100" w:type="dxa"/>
              <w:left w:w="140" w:type="dxa"/>
              <w:bottom w:w="100" w:type="dxa"/>
              <w:right w:w="140" w:type="dxa"/>
            </w:tcMar>
          </w:tcPr>
          <w:p>
            <w:pPr>
              <w:pStyle w:val="style179"/>
              <w:numPr>
                <w:ilvl w:val="0"/>
                <w:numId w:val="1"/>
              </w:numPr>
              <w:spacing w:before="40" w:after="40"/>
              <w:rPr/>
            </w:pPr>
            <w:r>
              <w:rPr>
                <w:rFonts w:ascii="Arial" w:cs="Arial" w:eastAsia="Arial" w:hAnsi="Arial"/>
                <w:color w:val="1a1a1a"/>
                <w:sz w:val="18"/>
                <w:szCs w:val="18"/>
              </w:rPr>
              <w:t>Add dark mode — relatively low development cost, high user satisfaction impact</w:t>
            </w:r>
          </w:p>
          <w:p>
            <w:pPr>
              <w:pStyle w:val="style179"/>
              <w:numPr>
                <w:ilvl w:val="0"/>
                <w:numId w:val="1"/>
              </w:numPr>
              <w:spacing w:before="40" w:after="40"/>
              <w:rPr/>
            </w:pPr>
            <w:r>
              <w:rPr>
                <w:rFonts w:ascii="Arial" w:cs="Arial" w:eastAsia="Arial" w:hAnsi="Arial"/>
                <w:color w:val="1a1a1a"/>
                <w:sz w:val="18"/>
                <w:szCs w:val="18"/>
              </w:rPr>
              <w:t>Introduce fractional/American odds format toggle</w:t>
            </w:r>
          </w:p>
          <w:p>
            <w:pPr>
              <w:pStyle w:val="style179"/>
              <w:numPr>
                <w:ilvl w:val="0"/>
                <w:numId w:val="1"/>
              </w:numPr>
              <w:spacing w:before="40" w:after="40"/>
              <w:rPr/>
            </w:pPr>
            <w:r>
              <w:rPr>
                <w:rFonts w:ascii="Arial" w:cs="Arial" w:eastAsia="Arial" w:hAnsi="Arial"/>
                <w:color w:val="1a1a1a"/>
                <w:sz w:val="18"/>
                <w:szCs w:val="18"/>
              </w:rPr>
              <w:t>Improve withdrawal speed — directly addresses top user complaint and could convert Competitor A users</w:t>
            </w:r>
          </w:p>
          <w:p>
            <w:pPr>
              <w:pStyle w:val="style179"/>
              <w:numPr>
                <w:ilvl w:val="0"/>
                <w:numId w:val="1"/>
              </w:numPr>
              <w:spacing w:before="40" w:after="40"/>
              <w:rPr/>
            </w:pPr>
            <w:r>
              <w:rPr>
                <w:rFonts w:ascii="Arial" w:cs="Arial" w:eastAsia="Arial" w:hAnsi="Arial"/>
                <w:color w:val="1a1a1a"/>
                <w:sz w:val="18"/>
                <w:szCs w:val="18"/>
              </w:rPr>
              <w:t>Add live streaming for top EPL/KPL matches — significant engagement differentiator</w:t>
            </w:r>
          </w:p>
        </w:tc>
        <w:tc>
          <w:tcPr>
            <w:tcW w:w="4500" w:type="dxa"/>
            <w:tcBorders>
              <w:top w:val="single" w:sz="4" w:space="0" w:color="bdd7ee"/>
              <w:left w:val="single" w:sz="4" w:space="0" w:color="bdd7ee"/>
              <w:bottom w:val="single" w:sz="4" w:space="0" w:color="bdd7ee"/>
              <w:right w:val="single" w:sz="4" w:space="0" w:color="bdd7ee"/>
            </w:tcBorders>
            <w:shd w:val="clear" w:color="auto" w:fill="fff2cc"/>
            <w:tcMar>
              <w:top w:w="100" w:type="dxa"/>
              <w:left w:w="140" w:type="dxa"/>
              <w:bottom w:w="100" w:type="dxa"/>
              <w:right w:w="140" w:type="dxa"/>
            </w:tcMar>
          </w:tcPr>
          <w:p>
            <w:pPr>
              <w:pStyle w:val="style179"/>
              <w:numPr>
                <w:ilvl w:val="0"/>
                <w:numId w:val="1"/>
              </w:numPr>
              <w:spacing w:before="40" w:after="40"/>
              <w:rPr/>
            </w:pPr>
            <w:r>
              <w:rPr>
                <w:rFonts w:ascii="Arial" w:cs="Arial" w:eastAsia="Arial" w:hAnsi="Arial"/>
                <w:color w:val="1a1a1a"/>
                <w:sz w:val="18"/>
                <w:szCs w:val="18"/>
              </w:rPr>
              <w:t>Competitor A matches BangBet on most core features and has dark mode advantage</w:t>
            </w:r>
          </w:p>
          <w:p>
            <w:pPr>
              <w:pStyle w:val="style179"/>
              <w:numPr>
                <w:ilvl w:val="0"/>
                <w:numId w:val="1"/>
              </w:numPr>
              <w:spacing w:before="40" w:after="40"/>
              <w:rPr/>
            </w:pPr>
            <w:r>
              <w:rPr>
                <w:rFonts w:ascii="Arial" w:cs="Arial" w:eastAsia="Arial" w:hAnsi="Arial"/>
                <w:color w:val="1a1a1a"/>
                <w:sz w:val="18"/>
                <w:szCs w:val="18"/>
              </w:rPr>
              <w:t>Competitor B has significantly larger review base — higher brand recognition</w:t>
            </w:r>
          </w:p>
          <w:p>
            <w:pPr>
              <w:pStyle w:val="style179"/>
              <w:numPr>
                <w:ilvl w:val="0"/>
                <w:numId w:val="1"/>
              </w:numPr>
              <w:spacing w:before="40" w:after="40"/>
              <w:rPr/>
            </w:pPr>
            <w:r>
              <w:rPr>
                <w:rFonts w:ascii="Arial" w:cs="Arial" w:eastAsia="Arial" w:hAnsi="Arial"/>
                <w:color w:val="1a1a1a"/>
                <w:sz w:val="18"/>
                <w:szCs w:val="18"/>
              </w:rPr>
              <w:t>Rising user expectations for in-app streaming following Competitor B launch</w:t>
            </w:r>
          </w:p>
          <w:p>
            <w:pPr>
              <w:pStyle w:val="style179"/>
              <w:numPr>
                <w:ilvl w:val="0"/>
                <w:numId w:val="1"/>
              </w:numPr>
              <w:spacing w:before="40" w:after="40"/>
              <w:rPr/>
            </w:pPr>
            <w:r>
              <w:rPr>
                <w:rFonts w:ascii="Arial" w:cs="Arial" w:eastAsia="Arial" w:hAnsi="Arial"/>
                <w:color w:val="1a1a1a"/>
                <w:sz w:val="18"/>
                <w:szCs w:val="18"/>
              </w:rPr>
              <w:t>Regulatory changes to Kenyan sports betting landscape could impact all operators</w:t>
            </w:r>
          </w:p>
        </w:tc>
      </w:tr>
    </w:tbl>
    <w:p>
      <w:pPr>
        <w:pStyle w:val="style0"/>
        <w:spacing w:before="80" w:after="0"/>
        <w:rPr/>
      </w:pPr>
    </w:p>
    <w:p>
      <w:pPr>
        <w:pStyle w:val="style0"/>
        <w:pBdr>
          <w:bottom w:val="single" w:sz="6" w:space="4" w:color="1f4e79"/>
        </w:pBdr>
        <w:spacing w:before="300" w:after="100"/>
        <w:rPr/>
      </w:pPr>
      <w:r>
        <w:rPr>
          <w:rFonts w:ascii="Arial" w:cs="Arial" w:eastAsia="Arial" w:hAnsi="Arial"/>
          <w:b/>
          <w:bCs/>
          <w:color w:val="1f4e79"/>
          <w:sz w:val="24"/>
          <w:szCs w:val="24"/>
        </w:rPr>
        <w:t>6. STRATEGIC RECOMMENDATIONS</w:t>
      </w:r>
    </w:p>
    <w:p>
      <w:pPr>
        <w:pStyle w:val="style0"/>
        <w:spacing w:before="200" w:after="80"/>
        <w:rPr/>
      </w:pPr>
      <w:r>
        <w:rPr>
          <w:rFonts w:ascii="Arial" w:cs="Arial" w:eastAsia="Arial" w:hAnsi="Arial"/>
          <w:b/>
          <w:bCs/>
          <w:color w:val="2e75b6"/>
          <w:sz w:val="20"/>
          <w:szCs w:val="20"/>
        </w:rPr>
        <w:t>Immediate Priority (Next 1–2 Releases)</w:t>
      </w:r>
    </w:p>
    <w:p>
      <w:pPr>
        <w:pStyle w:val="style179"/>
        <w:numPr>
          <w:ilvl w:val="0"/>
          <w:numId w:val="1"/>
        </w:numPr>
        <w:spacing w:before="40" w:after="40"/>
        <w:rPr/>
      </w:pPr>
      <w:r>
        <w:rPr>
          <w:rFonts w:ascii="Arial" w:cs="Arial" w:eastAsia="Arial" w:hAnsi="Arial"/>
          <w:b/>
          <w:bCs/>
          <w:color w:val="1a1a1a"/>
          <w:sz w:val="19"/>
          <w:szCs w:val="19"/>
        </w:rPr>
        <w:t xml:space="preserve">1. </w:t>
      </w:r>
      <w:r>
        <w:rPr>
          <w:rFonts w:ascii="Arial" w:cs="Arial" w:eastAsia="Arial" w:hAnsi="Arial"/>
          <w:color w:val="1a1a1a"/>
          <w:sz w:val="19"/>
          <w:szCs w:val="19"/>
        </w:rPr>
        <w:t>Investigate and resolve withdrawal processing delays — this is the single highest-impact improvement available and directly addresses the top 1-star review driver.</w:t>
      </w:r>
    </w:p>
    <w:p>
      <w:pPr>
        <w:pStyle w:val="style179"/>
        <w:numPr>
          <w:ilvl w:val="0"/>
          <w:numId w:val="1"/>
        </w:numPr>
        <w:spacing w:before="40" w:after="40"/>
        <w:rPr/>
      </w:pPr>
      <w:r>
        <w:rPr>
          <w:rFonts w:ascii="Arial" w:cs="Arial" w:eastAsia="Arial" w:hAnsi="Arial"/>
          <w:b/>
          <w:bCs/>
          <w:color w:val="1a1a1a"/>
          <w:sz w:val="19"/>
          <w:szCs w:val="19"/>
        </w:rPr>
        <w:t xml:space="preserve">2. </w:t>
      </w:r>
      <w:r>
        <w:rPr>
          <w:rFonts w:ascii="Arial" w:cs="Arial" w:eastAsia="Arial" w:hAnsi="Arial"/>
          <w:color w:val="1a1a1a"/>
          <w:sz w:val="19"/>
          <w:szCs w:val="19"/>
        </w:rPr>
        <w:t>Add dark mode — Competitor A already has this; user demand is present and development cost is relatively low.</w:t>
      </w:r>
    </w:p>
    <w:p>
      <w:pPr>
        <w:pStyle w:val="style0"/>
        <w:spacing w:before="80" w:after="0"/>
        <w:rPr/>
      </w:pPr>
    </w:p>
    <w:p>
      <w:pPr>
        <w:pStyle w:val="style0"/>
        <w:spacing w:before="200" w:after="80"/>
        <w:rPr/>
      </w:pPr>
      <w:r>
        <w:rPr>
          <w:rFonts w:ascii="Arial" w:cs="Arial" w:eastAsia="Arial" w:hAnsi="Arial"/>
          <w:b/>
          <w:bCs/>
          <w:color w:val="2e75b6"/>
          <w:sz w:val="20"/>
          <w:szCs w:val="20"/>
        </w:rPr>
        <w:t>Short-Term (Next Quarter)</w:t>
      </w:r>
    </w:p>
    <w:p>
      <w:pPr>
        <w:pStyle w:val="style179"/>
        <w:numPr>
          <w:ilvl w:val="0"/>
          <w:numId w:val="1"/>
        </w:numPr>
        <w:spacing w:before="40" w:after="40"/>
        <w:rPr/>
      </w:pPr>
      <w:r>
        <w:rPr>
          <w:rFonts w:ascii="Arial" w:cs="Arial" w:eastAsia="Arial" w:hAnsi="Arial"/>
          <w:b/>
          <w:bCs/>
          <w:color w:val="1a1a1a"/>
          <w:sz w:val="19"/>
          <w:szCs w:val="19"/>
        </w:rPr>
        <w:t xml:space="preserve">3. </w:t>
      </w:r>
      <w:r>
        <w:rPr>
          <w:rFonts w:ascii="Arial" w:cs="Arial" w:eastAsia="Arial" w:hAnsi="Arial"/>
          <w:color w:val="1a1a1a"/>
          <w:sz w:val="19"/>
          <w:szCs w:val="19"/>
        </w:rPr>
        <w:t>Introduce odds format toggle (decimal / fractional) — low effort, increases accessibility for users familiar with other formats.</w:t>
      </w:r>
    </w:p>
    <w:p>
      <w:pPr>
        <w:pStyle w:val="style179"/>
        <w:numPr>
          <w:ilvl w:val="0"/>
          <w:numId w:val="1"/>
        </w:numPr>
        <w:spacing w:before="40" w:after="40"/>
        <w:rPr/>
      </w:pPr>
      <w:r>
        <w:rPr>
          <w:rFonts w:ascii="Arial" w:cs="Arial" w:eastAsia="Arial" w:hAnsi="Arial"/>
          <w:b/>
          <w:bCs/>
          <w:color w:val="1a1a1a"/>
          <w:sz w:val="19"/>
          <w:szCs w:val="19"/>
        </w:rPr>
        <w:t xml:space="preserve">4. </w:t>
      </w:r>
      <w:r>
        <w:rPr>
          <w:rFonts w:ascii="Arial" w:cs="Arial" w:eastAsia="Arial" w:hAnsi="Arial"/>
          <w:color w:val="1a1a1a"/>
          <w:sz w:val="19"/>
          <w:szCs w:val="19"/>
        </w:rPr>
        <w:t>Accelerate developer response rate on store reviews — BangBet already leads here; maintaining this cadence converts neutral users into advocates.</w:t>
      </w:r>
    </w:p>
    <w:p>
      <w:pPr>
        <w:pStyle w:val="style0"/>
        <w:spacing w:before="80" w:after="0"/>
        <w:rPr/>
      </w:pPr>
    </w:p>
    <w:p>
      <w:pPr>
        <w:pStyle w:val="style0"/>
        <w:spacing w:before="200" w:after="80"/>
        <w:rPr/>
      </w:pPr>
      <w:r>
        <w:rPr>
          <w:rFonts w:ascii="Arial" w:cs="Arial" w:eastAsia="Arial" w:hAnsi="Arial"/>
          <w:b/>
          <w:bCs/>
          <w:color w:val="2e75b6"/>
          <w:sz w:val="20"/>
          <w:szCs w:val="20"/>
        </w:rPr>
        <w:t>Medium-Term (Next 2 Quarters)</w:t>
      </w:r>
    </w:p>
    <w:p>
      <w:pPr>
        <w:pStyle w:val="style179"/>
        <w:numPr>
          <w:ilvl w:val="0"/>
          <w:numId w:val="1"/>
        </w:numPr>
        <w:spacing w:before="40" w:after="40"/>
        <w:rPr/>
      </w:pPr>
      <w:r>
        <w:rPr>
          <w:rFonts w:ascii="Arial" w:cs="Arial" w:eastAsia="Arial" w:hAnsi="Arial"/>
          <w:b/>
          <w:bCs/>
          <w:color w:val="1a1a1a"/>
          <w:sz w:val="19"/>
          <w:szCs w:val="19"/>
        </w:rPr>
        <w:t xml:space="preserve">5. </w:t>
      </w:r>
      <w:r>
        <w:rPr>
          <w:rFonts w:ascii="Arial" w:cs="Arial" w:eastAsia="Arial" w:hAnsi="Arial"/>
          <w:color w:val="1a1a1a"/>
          <w:sz w:val="19"/>
          <w:szCs w:val="19"/>
        </w:rPr>
        <w:t>Evaluate feasibility of in-app live streaming for top-tier football matches — Competitor B's streaming feature is the most significant unmatched differentiator in the market.</w:t>
      </w:r>
    </w:p>
    <w:p>
      <w:pPr>
        <w:pStyle w:val="style179"/>
        <w:numPr>
          <w:ilvl w:val="0"/>
          <w:numId w:val="1"/>
        </w:numPr>
        <w:spacing w:before="40" w:after="40"/>
        <w:rPr/>
      </w:pPr>
      <w:r>
        <w:rPr>
          <w:rFonts w:ascii="Arial" w:cs="Arial" w:eastAsia="Arial" w:hAnsi="Arial"/>
          <w:b/>
          <w:bCs/>
          <w:color w:val="1a1a1a"/>
          <w:sz w:val="19"/>
          <w:szCs w:val="19"/>
        </w:rPr>
        <w:t xml:space="preserve">6. </w:t>
      </w:r>
      <w:r>
        <w:rPr>
          <w:rFonts w:ascii="Arial" w:cs="Arial" w:eastAsia="Arial" w:hAnsi="Arial"/>
          <w:color w:val="1a1a1a"/>
          <w:sz w:val="19"/>
          <w:szCs w:val="19"/>
        </w:rPr>
        <w:t>Leverage Competitor B's Android 14 instability with a targeted 'Switch to BangBet' campaign while their issues persist.</w:t>
      </w:r>
    </w:p>
    <w:p>
      <w:pPr>
        <w:pStyle w:val="style0"/>
        <w:spacing w:before="80" w:after="0"/>
        <w:rPr/>
      </w:pPr>
    </w:p>
    <w:p>
      <w:pPr>
        <w:pStyle w:val="style0"/>
        <w:pBdr>
          <w:top w:val="single" w:sz="4" w:space="4" w:color="bdd7ee"/>
        </w:pBdr>
        <w:spacing w:before="200" w:after="0"/>
        <w:rPr/>
      </w:pPr>
      <w:r>
        <w:rPr>
          <w:rFonts w:ascii="Arial" w:cs="Arial" w:eastAsia="Arial" w:hAnsi="Arial"/>
          <w:i/>
          <w:iCs/>
          <w:color w:val="555555"/>
          <w:sz w:val="16"/>
          <w:szCs w:val="16"/>
        </w:rPr>
        <w:t>BangBet Kenya — Competitor Analysis Report — Prepared by Anthony Wambua, Product Testing Manager  |  Competitor names anonymised for portfolio use</w:t>
      </w:r>
    </w:p>
    <w:sectPr>
      <w:pgSz w:w="11906" w:h="16838" w:orient="portrait"/>
      <w:pgMar w:top="1080" w:right="1080" w:bottom="1080" w:left="108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0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400" w:hanging="22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rPr>
      <w:color w:val="2e74b5"/>
      <w:sz w:val="32"/>
      <w:szCs w:val="32"/>
    </w:rPr>
  </w:style>
  <w:style w:type="paragraph" w:customStyle="1" w:styleId="style4098">
    <w:name w:val="Heading 2"/>
    <w:next w:val="style4098"/>
    <w:qFormat/>
    <w:pPr/>
    <w:rPr>
      <w:color w:val="2e74b5"/>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b97a1217-9858-4684-b47f-2c625436e15c"/>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1127</Words>
  <Characters>6439</Characters>
  <Application>WPS Office</Application>
  <Paragraphs>258</Paragraphs>
  <CharactersWithSpaces>7396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2026-05-28T20:48:41Z</dcterms:created>
  <dc:creator>Un-named</dc:creator>
  <lastModifiedBy>CPH2015</lastModifiedBy>
  <dcterms:modified xsi:type="dcterms:W3CDTF">2026-05-29T07:25:44Z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6fd7ec2527c048d6a1850e6d7ad9d6f4</vt:lpwstr>
  </property>
</Properties>
</file>