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xuk14369dhtk" w:id="0"/>
      <w:bookmarkEnd w:id="0"/>
      <w:r w:rsidDel="00000000" w:rsidR="00000000" w:rsidRPr="00000000">
        <w:rPr>
          <w:u w:val="single"/>
          <w:rtl w:val="0"/>
        </w:rPr>
        <w:t xml:space="preserve">RoastNSizzle Financial Report covering Sept - Oct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business operated at a financial loss of KES (92,470) for the period of Oct 10 to Nov 10, which is a far wider loss than the KES (74,502) recorded in the prior period.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loss can be attributed to increased new non business expenses involving vehicle maintenance,new car tires and entertainment expenditure which added a cumulative total of KES 15,355 of new expenses.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 Orange bars denote Expenses whilst blue bars denote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Recurrent expenditure also increased especially for Fuel,spices,potatoes,labour,packaging and cooking oil which each rose by 67%,62%,52%,543%,45% and 49% respectively.The sharp increase in labour costs (543%) can be directly attributed to the addition of an extra to assist with day to day labour activities,while the (52%) increase in potatoes costs can be directly attributed to increased market prices for the commodity.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increased costs in some recurrent expenditure items was offset by decreases in some recurrent items including riders,pork,groceries,facebook advertising and buns by 33%,16%,23%,40% and 5% respectively with the reductions in rider costs (33%) being attributed to a new pricing model involving using a flat per km rate (set at 15 KES per km) and adding a multiplier to that of 1.5x resulting in us using a demand based model that is far more beneficial for both parties involved. The reductions in pork (16%),buns (6%) and groceries (23%) can be attributed to us sourcing from cheaper producers on a per unit cost basis, with the decrease in facebook ads (40%) attributed to reduced ad and content creation spending overall.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decrease in revenue can directly be attributed to reduced marketing spend,thus resulting in fewer client acquisitions than the previous month. On a lighter note we observed an increase in customer reorders from our existing client base with the majority of our sales coming from less than 30% of our established customer base as can be observed from the graphs below.</w:t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Month 2 individual customer orders sorted by frequency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Month 2 individual customer spend sorted by total spend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Thus from the above revenues generated totaling KES 81,612 for the period October 10 - November 10, the total amount unlocked for this month will be KES 68,010 representing 68% of target revenue of KES 120,000 unlocked.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