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jc w:val="left"/>
      </w:pPr>
      <w:r>
        <w:rPr>
          <w:rFonts w:ascii="Arial Narrow" w:hAnsi="Arial Narrow" w:cs="Arial Narrow" w:eastAsia="Arial Narrow"/>
          <w:b w:val="0"/>
          <w:i w:val="0"/>
          <w:sz w:val="22"/>
        </w:rPr>
        <w:t>STRATEGIEPAPIER: DIGITALE TRANSFORMATION</w:t>
      </w:r>
    </w:p>
    <w:p>
      <w:pPr>
        <w:pStyle w:val="Heading2"/>
        <w:spacing w:before="360" w:after="160"/>
        <w:jc w:val="left"/>
      </w:pPr>
      <w:r>
        <w:rPr>
          <w:rFonts w:ascii="Arial Narrow" w:hAnsi="Arial Narrow" w:cs="Arial Narrow" w:eastAsia="Arial Narrow"/>
          <w:b w:val="0"/>
          <w:i w:val="0"/>
          <w:sz w:val="22"/>
        </w:rPr>
        <w:t>AgroPark Nekrasovo – Analyse, Strategie und Implementierungsroadmap</w:t>
      </w:r>
    </w:p>
    <w:p>
      <w:pPr>
        <w:spacing w:after="160" w:line="360" w:lineRule="auto"/>
        <w:jc w:val="left"/>
      </w:pPr>
      <w:r>
        <w:rPr>
          <w:rFonts w:ascii="Arial Narrow" w:hAnsi="Arial Narrow" w:cs="Arial Narrow" w:eastAsia="Arial Narrow"/>
          <w:b/>
          <w:i w:val="0"/>
          <w:sz w:val="22"/>
        </w:rPr>
        <w:t>Vertraulich – Nur fur den internen Gebrauch bestimmt</w:t>
      </w:r>
    </w:p>
    <w:tbl>
      <w:tblPr>
        <w:tblW w:type="auto" w:w="0"/>
        <w:jc w:val="center"/>
        <w:tblLayout w:type="fixed"/>
        <w:tblLook w:firstColumn="1" w:firstRow="1" w:lastColumn="0" w:lastRow="0" w:noHBand="0" w:noVBand="1" w:val="04A0"/>
      </w:tblPr>
      <w:tblGrid>
        <w:gridCol w:w="4824"/>
        <w:gridCol w:w="4824"/>
      </w:tblGrid>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i w:val="0"/>
                <w:sz w:val="22"/>
              </w:rPr>
              <w:t>Auftraggeber</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AgroPark Nekrasovo, Kaliningrader Oblast</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Ersteller</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Digitale Transformationsberatung</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i w:val="0"/>
                <w:sz w:val="22"/>
              </w:rPr>
              <w:t>Stand</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Juni 2026</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Version</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2.0 (Final)</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i w:val="0"/>
                <w:sz w:val="22"/>
              </w:rPr>
              <w:t>Seiten</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42</w:t>
            </w:r>
          </w:p>
        </w:tc>
      </w:tr>
    </w:tbl>
    <w:p/>
    <w:p>
      <w:pPr>
        <w:pStyle w:val="Heading2"/>
        <w:spacing w:before="360" w:after="160"/>
        <w:jc w:val="left"/>
      </w:pPr>
      <w:r>
        <w:rPr>
          <w:rFonts w:ascii="Arial Narrow" w:hAnsi="Arial Narrow" w:cs="Arial Narrow" w:eastAsia="Arial Narrow"/>
          <w:b w:val="0"/>
          <w:i w:val="0"/>
          <w:sz w:val="22"/>
        </w:rPr>
        <w:t>Inhaltsverzeichnis</w:t>
      </w:r>
    </w:p>
    <w:p>
      <w:pPr>
        <w:pStyle w:val="ListNumber"/>
        <w:spacing w:after="80"/>
      </w:pPr>
      <w:r>
        <w:rPr>
          <w:rFonts w:ascii="Arial Narrow" w:hAnsi="Arial Narrow" w:cs="Arial Narrow" w:eastAsia="Arial Narrow"/>
          <w:b w:val="0"/>
          <w:i w:val="0"/>
          <w:sz w:val="22"/>
        </w:rPr>
        <w:t>Executive Summary</w:t>
      </w:r>
    </w:p>
    <w:p>
      <w:pPr>
        <w:pStyle w:val="ListNumber"/>
        <w:spacing w:after="80"/>
      </w:pPr>
      <w:r>
        <w:rPr>
          <w:rFonts w:ascii="Arial Narrow" w:hAnsi="Arial Narrow" w:cs="Arial Narrow" w:eastAsia="Arial Narrow"/>
          <w:b w:val="0"/>
          <w:i w:val="0"/>
          <w:sz w:val="22"/>
        </w:rPr>
        <w:t>Methodik &amp; Analyserahmen</w:t>
      </w:r>
    </w:p>
    <w:p>
      <w:pPr>
        <w:pStyle w:val="ListNumber"/>
        <w:spacing w:after="80"/>
      </w:pPr>
      <w:r>
        <w:rPr>
          <w:rFonts w:ascii="Arial Narrow" w:hAnsi="Arial Narrow" w:cs="Arial Narrow" w:eastAsia="Arial Narrow"/>
          <w:b w:val="0"/>
          <w:i w:val="0"/>
          <w:sz w:val="22"/>
        </w:rPr>
        <w:t>Kundenprofil &amp; Geschaftsmodellanalyse</w:t>
      </w:r>
    </w:p>
    <w:p>
      <w:pPr>
        <w:pStyle w:val="ListNumber"/>
        <w:spacing w:after="80"/>
      </w:pPr>
      <w:r>
        <w:rPr>
          <w:rFonts w:ascii="Arial Narrow" w:hAnsi="Arial Narrow" w:cs="Arial Narrow" w:eastAsia="Arial Narrow"/>
          <w:b w:val="0"/>
          <w:i w:val="0"/>
          <w:sz w:val="22"/>
        </w:rPr>
        <w:t>Marktanalyse &amp; Wettbewerbslandschaft</w:t>
      </w:r>
    </w:p>
    <w:p>
      <w:pPr>
        <w:pStyle w:val="ListNumber"/>
        <w:spacing w:after="80"/>
      </w:pPr>
      <w:r>
        <w:rPr>
          <w:rFonts w:ascii="Arial Narrow" w:hAnsi="Arial Narrow" w:cs="Arial Narrow" w:eastAsia="Arial Narrow"/>
          <w:b w:val="0"/>
          <w:i w:val="0"/>
          <w:sz w:val="22"/>
        </w:rPr>
        <w:t>Technologie-Trendanalyse (Juni 2026)</w:t>
      </w:r>
    </w:p>
    <w:p>
      <w:pPr>
        <w:pStyle w:val="ListNumber"/>
        <w:spacing w:after="80"/>
      </w:pPr>
      <w:r>
        <w:rPr>
          <w:rFonts w:ascii="Arial Narrow" w:hAnsi="Arial Narrow" w:cs="Arial Narrow" w:eastAsia="Arial Narrow"/>
          <w:b w:val="0"/>
          <w:i w:val="0"/>
          <w:sz w:val="22"/>
        </w:rPr>
        <w:t>KI-Automatisierung &amp; Prozessoptimierung</w:t>
      </w:r>
    </w:p>
    <w:p>
      <w:pPr>
        <w:pStyle w:val="ListNumber"/>
        <w:spacing w:after="80"/>
      </w:pPr>
      <w:r>
        <w:rPr>
          <w:rFonts w:ascii="Arial Narrow" w:hAnsi="Arial Narrow" w:cs="Arial Narrow" w:eastAsia="Arial Narrow"/>
          <w:b w:val="0"/>
          <w:i w:val="0"/>
          <w:sz w:val="22"/>
        </w:rPr>
        <w:t>Marketingstrategie: SEO × GEO × AEO</w:t>
      </w:r>
    </w:p>
    <w:p>
      <w:pPr>
        <w:pStyle w:val="ListNumber"/>
        <w:spacing w:after="80"/>
      </w:pPr>
      <w:r>
        <w:rPr>
          <w:rFonts w:ascii="Arial Narrow" w:hAnsi="Arial Narrow" w:cs="Arial Narrow" w:eastAsia="Arial Narrow"/>
          <w:b w:val="0"/>
          <w:i w:val="0"/>
          <w:sz w:val="22"/>
        </w:rPr>
        <w:t>Technologiearchitektur &amp; Systemdesign</w:t>
      </w:r>
    </w:p>
    <w:p>
      <w:pPr>
        <w:pStyle w:val="ListNumber"/>
        <w:spacing w:after="80"/>
      </w:pPr>
      <w:r>
        <w:rPr>
          <w:rFonts w:ascii="Arial Narrow" w:hAnsi="Arial Narrow" w:cs="Arial Narrow" w:eastAsia="Arial Narrow"/>
          <w:b w:val="0"/>
          <w:i w:val="0"/>
          <w:sz w:val="22"/>
        </w:rPr>
        <w:t>Finanzmodell &amp; Investitionsrahmen</w:t>
      </w:r>
    </w:p>
    <w:p>
      <w:pPr>
        <w:pStyle w:val="ListNumber"/>
        <w:spacing w:after="80"/>
      </w:pPr>
      <w:r>
        <w:rPr>
          <w:rFonts w:ascii="Arial Narrow" w:hAnsi="Arial Narrow" w:cs="Arial Narrow" w:eastAsia="Arial Narrow"/>
          <w:b w:val="0"/>
          <w:i w:val="0"/>
          <w:sz w:val="22"/>
        </w:rPr>
        <w:t>Implementierungsroadmap (4 Phasen)</w:t>
      </w:r>
    </w:p>
    <w:p>
      <w:pPr>
        <w:pStyle w:val="ListNumber"/>
        <w:spacing w:after="80"/>
      </w:pPr>
      <w:r>
        <w:rPr>
          <w:rFonts w:ascii="Arial Narrow" w:hAnsi="Arial Narrow" w:cs="Arial Narrow" w:eastAsia="Arial Narrow"/>
          <w:b w:val="0"/>
          <w:i w:val="0"/>
          <w:sz w:val="22"/>
        </w:rPr>
        <w:t>Risikoanalyse &amp; Minderungsmassnahmen</w:t>
      </w:r>
    </w:p>
    <w:p>
      <w:pPr>
        <w:pStyle w:val="ListNumber"/>
        <w:spacing w:after="80"/>
      </w:pPr>
      <w:r>
        <w:rPr>
          <w:rFonts w:ascii="Arial Narrow" w:hAnsi="Arial Narrow" w:cs="Arial Narrow" w:eastAsia="Arial Narrow"/>
          <w:b w:val="0"/>
          <w:i w:val="0"/>
          <w:sz w:val="22"/>
        </w:rPr>
        <w:t>Zukunftsperspektive: IoT &amp; Smart Farm</w:t>
      </w:r>
    </w:p>
    <w:p>
      <w:pPr>
        <w:pStyle w:val="ListNumber"/>
        <w:spacing w:after="80"/>
      </w:pPr>
      <w:r>
        <w:rPr>
          <w:rFonts w:ascii="Arial Narrow" w:hAnsi="Arial Narrow" w:cs="Arial Narrow" w:eastAsia="Arial Narrow"/>
          <w:b w:val="0"/>
          <w:i w:val="0"/>
          <w:sz w:val="22"/>
        </w:rPr>
        <w:t>Empfehlungen &amp; nachste Schritte</w:t>
      </w:r>
    </w:p>
    <w:p>
      <w:pPr>
        <w:pStyle w:val="ListNumber"/>
        <w:spacing w:after="80"/>
      </w:pPr>
      <w:r>
        <w:rPr>
          <w:rFonts w:ascii="Arial Narrow" w:hAnsi="Arial Narrow" w:cs="Arial Narrow" w:eastAsia="Arial Narrow"/>
          <w:b w:val="0"/>
          <w:i w:val="0"/>
          <w:sz w:val="22"/>
        </w:rPr>
        <w:t>Anlagen &amp; Quellenverzeichnis</w:t>
      </w:r>
    </w:p>
    <w:p>
      <w:pPr>
        <w:pStyle w:val="Heading2"/>
        <w:spacing w:before="360" w:after="160"/>
        <w:jc w:val="left"/>
      </w:pPr>
      <w:r>
        <w:rPr>
          <w:rFonts w:ascii="Arial Narrow" w:hAnsi="Arial Narrow" w:cs="Arial Narrow" w:eastAsia="Arial Narrow"/>
          <w:b w:val="0"/>
          <w:i w:val="0"/>
          <w:sz w:val="22"/>
        </w:rPr>
        <w:t>1. Executive Summary</w:t>
      </w:r>
    </w:p>
    <w:p>
      <w:pPr>
        <w:pStyle w:val="Heading3"/>
        <w:spacing w:before="240" w:after="120"/>
        <w:jc w:val="left"/>
      </w:pPr>
      <w:r>
        <w:rPr>
          <w:rFonts w:ascii="Arial Narrow" w:hAnsi="Arial Narrow" w:cs="Arial Narrow" w:eastAsia="Arial Narrow"/>
          <w:b w:val="0"/>
          <w:i w:val="0"/>
          <w:sz w:val="22"/>
        </w:rPr>
        <w:t>1.1 Kontext</w:t>
      </w:r>
    </w:p>
    <w:p>
      <w:pPr>
        <w:spacing w:after="160" w:line="360" w:lineRule="auto"/>
        <w:jc w:val="left"/>
      </w:pPr>
      <w:r>
        <w:rPr>
          <w:rFonts w:ascii="Arial Narrow" w:hAnsi="Arial Narrow" w:cs="Arial Narrow" w:eastAsia="Arial Narrow"/>
          <w:b w:val="0"/>
          <w:i w:val="0"/>
          <w:sz w:val="22"/>
        </w:rPr>
        <w:t>AgroPark Nekrasovo (im Folgenden "AgroPark" oder "der Mandant") betreibt ein saisonales Agritourismus- und Bildungsunterhaltungszentrum in der Kaliningrader Oblast, Russland. Der Park generiert Umsatz uber sieben Einnahmestrome und bedient vier primare Kundensegmente. Die vorliegende Analyse wurde im Juni 2026 durchgefuhrt und bewertet die digitale Reife des Unternehmens, identifiziert Effizienzhebel und empfiehlt eine phasierte Technologieinvestition.</w:t>
      </w:r>
    </w:p>
    <w:p>
      <w:pPr>
        <w:pStyle w:val="Heading3"/>
        <w:spacing w:before="240" w:after="120"/>
        <w:jc w:val="left"/>
      </w:pPr>
      <w:r>
        <w:rPr>
          <w:rFonts w:ascii="Arial Narrow" w:hAnsi="Arial Narrow" w:cs="Arial Narrow" w:eastAsia="Arial Narrow"/>
          <w:b w:val="0"/>
          <w:i w:val="0"/>
          <w:sz w:val="22"/>
        </w:rPr>
        <w:t>1.2 Kernergebnisse</w:t>
      </w:r>
    </w:p>
    <w:p>
      <w:pPr>
        <w:spacing w:after="160" w:line="360" w:lineRule="auto"/>
        <w:jc w:val="left"/>
      </w:pPr>
      <w:r>
        <w:rPr>
          <w:rFonts w:ascii="Arial Narrow" w:hAnsi="Arial Narrow" w:cs="Arial Narrow" w:eastAsia="Arial Narrow"/>
          <w:b w:val="0"/>
          <w:i w:val="0"/>
          <w:sz w:val="22"/>
        </w:rPr>
        <w:t>Unsere Analyse kommt zu folgenden Schlussfolgerungen:</w:t>
      </w:r>
    </w:p>
    <w:p>
      <w:pPr>
        <w:pStyle w:val="ListNumber"/>
        <w:spacing w:after="80"/>
      </w:pPr>
      <w:r>
        <w:rPr>
          <w:rFonts w:ascii="Arial Narrow" w:hAnsi="Arial Narrow" w:cs="Arial Narrow" w:eastAsia="Arial Narrow"/>
          <w:b/>
          <w:i w:val="0"/>
          <w:sz w:val="22"/>
        </w:rPr>
        <w:t>Die aktuelle digitale Infrastruktur unterstutzt das Wachstumspotenzial nicht.</w:t>
      </w:r>
      <w:r>
        <w:rPr>
          <w:rFonts w:ascii="Arial Narrow" w:hAnsi="Arial Narrow" w:cs="Arial Narrow" w:eastAsia="Arial Narrow"/>
          <w:b w:val="0"/>
          <w:i w:val="0"/>
          <w:sz w:val="22"/>
        </w:rPr>
        <w:t xml:space="preserve"> Die Website ist statisch, Buchungen erfolgen manuell via Telegram, und es existiert keine integrierte Kundenbeziehungsfuhrung. Der digitale Reifegrad wird auf 35/100 geschatzt – deutlich unter dem Branchendurchschnitt von 62/100.</w:t>
      </w:r>
    </w:p>
    <w:p>
      <w:pPr>
        <w:pStyle w:val="ListNumber"/>
        <w:spacing w:after="80"/>
      </w:pPr>
      <w:r>
        <w:rPr>
          <w:rFonts w:ascii="Arial Narrow" w:hAnsi="Arial Narrow" w:cs="Arial Narrow" w:eastAsia="Arial Narrow"/>
          <w:b/>
          <w:i w:val="0"/>
          <w:sz w:val="22"/>
        </w:rPr>
        <w:t>Der Markt erzwingt Digitalisierung.</w:t>
      </w:r>
      <w:r>
        <w:rPr>
          <w:rFonts w:ascii="Arial Narrow" w:hAnsi="Arial Narrow" w:cs="Arial Narrow" w:eastAsia="Arial Narrow"/>
          <w:b w:val="0"/>
          <w:i w:val="0"/>
          <w:sz w:val="22"/>
        </w:rPr>
        <w:t xml:space="preserve"> 50% aller Agritourismus-Buchungen erfolgen inzwischen online. Wettbewerber wie Lyman Orchards (USA) und Great Canadian Farm Tour setzen VR-Touren und KI-Chatbots als Standard ein. Nicht-Investition bedeutet Marktanteilsverlust.</w:t>
      </w:r>
    </w:p>
    <w:p>
      <w:pPr>
        <w:pStyle w:val="ListNumber"/>
        <w:spacing w:after="80"/>
      </w:pPr>
      <w:r>
        <w:rPr>
          <w:rFonts w:ascii="Arial Narrow" w:hAnsi="Arial Narrow" w:cs="Arial Narrow" w:eastAsia="Arial Narrow"/>
          <w:b/>
          <w:i w:val="0"/>
          <w:sz w:val="22"/>
        </w:rPr>
        <w:t>Die hochste Rendite erzielt sich durch die Kombination aus KI-Chatbot + Website-Relaunch + SEO/GEO/AEO-Optimierung.</w:t>
      </w:r>
      <w:r>
        <w:rPr>
          <w:rFonts w:ascii="Arial Narrow" w:hAnsi="Arial Narrow" w:cs="Arial Narrow" w:eastAsia="Arial Narrow"/>
          <w:b w:val="0"/>
          <w:i w:val="0"/>
          <w:sz w:val="22"/>
        </w:rPr>
        <w:t xml:space="preserve"> Diese drei Massnahmen adressieren gleichzeitig den grossten operativen Schmerzpunkt (manueller Buchungsprozess), die grosste Sichtbarkeitslucke und den schnellsten messbaren Impact.</w:t>
      </w:r>
    </w:p>
    <w:p>
      <w:pPr>
        <w:pStyle w:val="ListNumber"/>
        <w:spacing w:after="80"/>
      </w:pPr>
      <w:r>
        <w:rPr>
          <w:rFonts w:ascii="Arial Narrow" w:hAnsi="Arial Narrow" w:cs="Arial Narrow" w:eastAsia="Arial Narrow"/>
          <w:b/>
          <w:i w:val="0"/>
          <w:sz w:val="22"/>
        </w:rPr>
        <w:t>Break-even wird innerhalb von 4–8 Monaten erwartet.</w:t>
      </w:r>
      <w:r>
        <w:rPr>
          <w:rFonts w:ascii="Arial Narrow" w:hAnsi="Arial Narrow" w:cs="Arial Narrow" w:eastAsia="Arial Narrow"/>
          <w:b w:val="0"/>
          <w:i w:val="0"/>
          <w:sz w:val="22"/>
        </w:rPr>
        <w:t xml:space="preserve"> Basierend auf unserem Finanzmodell (siehe Kapitel 9) amortisiert sich die Investition durch erhohte Buchungskonversion (+200%), reduzierten Verwaltungsaufwand (-70%) und gesteigerten Umsatz pro Besucher (+33%).</w:t>
      </w:r>
    </w:p>
    <w:p>
      <w:pPr>
        <w:pStyle w:val="Heading3"/>
        <w:spacing w:before="240" w:after="120"/>
        <w:jc w:val="left"/>
      </w:pPr>
      <w:r>
        <w:rPr>
          <w:rFonts w:ascii="Arial Narrow" w:hAnsi="Arial Narrow" w:cs="Arial Narrow" w:eastAsia="Arial Narrow"/>
          <w:b w:val="0"/>
          <w:i w:val="0"/>
          <w:sz w:val="22"/>
        </w:rPr>
        <w:t>1.3 Investitionsempfehlung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Phase</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Zeitraum</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Investition</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Schwerpunkt</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Phase 1</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Monat 1–2</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19.000–22.000 $</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KI-Chatbot, Website-Relaunch, Online-Booking, SEO-Grundlage</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Phase 2</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Monat 3–5</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8.000–12.000 $</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Eventmanagement, AEO/GEO, Content-Marketing, CRM</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Phase 3</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Monat 6–9</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5.000–10.000 $</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VR-Touren, Mitgliedschaftsprogramm, Mehrsprachigkeit</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i w:val="0"/>
                <w:sz w:val="22"/>
              </w:rPr>
              <w:t>Gesamt</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i w:val="0"/>
                <w:sz w:val="22"/>
              </w:rPr>
              <w:t>9 Monate</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i w:val="0"/>
                <w:sz w:val="22"/>
              </w:rPr>
              <w:t>32.000–44.000 $</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i w:val="0"/>
                <w:sz w:val="22"/>
              </w:rPr>
              <w:t>Vollstandige digitale Transformation</w:t>
            </w:r>
          </w:p>
        </w:tc>
      </w:tr>
    </w:tbl>
    <w:p/>
    <w:p>
      <w:pPr>
        <w:spacing w:after="200"/>
        <w:ind w:left="360"/>
        <w:jc w:val="left"/>
      </w:pPr>
    </w:p>
    <w:tbl>
      <w:tblPr>
        <w:tblW w:type="auto" w:w="0"/>
        <w:jc w:val="left"/>
        <w:tblLayout w:type="fixed"/>
        <w:tblLook w:firstColumn="1" w:firstRow="1" w:lastColumn="0" w:lastRow="0" w:noHBand="0" w:noVBand="1" w:val="04A0"/>
      </w:tblPr>
      <w:tblGrid>
        <w:gridCol w:w="9648"/>
      </w:tblGrid>
      <w:tr>
        <w:tc>
          <w:tcPr>
            <w:tcW w:type="dxa" w:w="8640"/>
            <w:vAlign w:val="center"/>
            <w:shd w:fill="F5F5F0"/>
            <w:tcBorders>
              <w:top w:val="single" w:sz="8" w:space="0" w:color="D4A373"/>
              <w:left w:val="single" w:sz="8" w:space="0" w:color="D4A373"/>
              <w:bottom w:val="single" w:sz="8" w:space="0" w:color="D4A373"/>
              <w:right w:val="single" w:sz="8" w:space="0" w:color="D4A373"/>
            </w:tcBorders>
          </w:tcPr>
          <w:p>
            <w:pPr>
              <w:jc w:val="left"/>
            </w:pPr>
            <w:r>
              <w:rPr>
                <w:rFonts w:ascii="Arial Narrow" w:hAnsi="Arial Narrow" w:cs="Arial Narrow" w:eastAsia="Arial Narrow"/>
                <w:b w:val="0"/>
                <w:i/>
                <w:color w:val="2C2C2C"/>
                <w:sz w:val="22"/>
              </w:rPr>
              <w:t>**Hinweis:** Phase 4 (IoT-Sensoren, Smart Farm Demonstration) wird als separater Erweiterungsbaustein konzipiert und ist nicht Teil des aktuellen Budgetrahmens. Eine detaillierte Konzeptionsunterlage liegt bei Bedarf vor.</w:t>
            </w:r>
          </w:p>
        </w:tc>
      </w:tr>
    </w:tbl>
    <w:p>
      <w:pPr>
        <w:pStyle w:val="Heading2"/>
        <w:spacing w:before="360" w:after="160"/>
        <w:jc w:val="left"/>
      </w:pPr>
      <w:r>
        <w:rPr>
          <w:rFonts w:ascii="Arial Narrow" w:hAnsi="Arial Narrow" w:cs="Arial Narrow" w:eastAsia="Arial Narrow"/>
          <w:b w:val="0"/>
          <w:i w:val="0"/>
          <w:sz w:val="22"/>
        </w:rPr>
        <w:t>2. Methodik &amp; Analyserahmen</w:t>
      </w:r>
    </w:p>
    <w:p>
      <w:pPr>
        <w:pStyle w:val="Heading3"/>
        <w:spacing w:before="240" w:after="120"/>
        <w:jc w:val="left"/>
      </w:pPr>
      <w:r>
        <w:rPr>
          <w:rFonts w:ascii="Arial Narrow" w:hAnsi="Arial Narrow" w:cs="Arial Narrow" w:eastAsia="Arial Narrow"/>
          <w:b w:val="0"/>
          <w:i w:val="0"/>
          <w:sz w:val="22"/>
        </w:rPr>
        <w:t>2.1 Analysemethode</w:t>
      </w:r>
    </w:p>
    <w:p>
      <w:pPr>
        <w:spacing w:after="160" w:line="360" w:lineRule="auto"/>
        <w:jc w:val="left"/>
      </w:pPr>
      <w:r>
        <w:rPr>
          <w:rFonts w:ascii="Arial Narrow" w:hAnsi="Arial Narrow" w:cs="Arial Narrow" w:eastAsia="Arial Narrow"/>
          <w:b w:val="0"/>
          <w:i w:val="0"/>
          <w:sz w:val="22"/>
        </w:rPr>
        <w:t>Diese Studie basiert auf einem dreistufigen Analyserahmen:</w:t>
      </w:r>
    </w:p>
    <w:p>
      <w:pPr>
        <w:spacing w:after="160" w:line="360" w:lineRule="auto"/>
        <w:jc w:val="left"/>
      </w:pPr>
      <w:r>
        <w:rPr>
          <w:rFonts w:ascii="Arial Narrow" w:hAnsi="Arial Narrow" w:cs="Arial Narrow" w:eastAsia="Arial Narrow"/>
          <w:b/>
          <w:i w:val="0"/>
          <w:sz w:val="22"/>
        </w:rPr>
        <w:t>Stufe 1: Primarforschung.</w:t>
      </w:r>
      <w:r>
        <w:rPr>
          <w:rFonts w:ascii="Arial Narrow" w:hAnsi="Arial Narrow" w:cs="Arial Narrow" w:eastAsia="Arial Narrow"/>
          <w:b w:val="0"/>
          <w:i w:val="0"/>
          <w:sz w:val="22"/>
        </w:rPr>
        <w:t xml:space="preserve"> Website-Audit des Mandanten, Social-Media-Analyse (VKontakte, Telegram), Bewertungsanalyse auf Zoon und Google Maps, direkte Beobachtung der Buchungsprozesse.</w:t>
      </w:r>
    </w:p>
    <w:p>
      <w:pPr>
        <w:spacing w:after="160" w:line="360" w:lineRule="auto"/>
        <w:jc w:val="left"/>
      </w:pPr>
      <w:r>
        <w:rPr>
          <w:rFonts w:ascii="Arial Narrow" w:hAnsi="Arial Narrow" w:cs="Arial Narrow" w:eastAsia="Arial Narrow"/>
          <w:b/>
          <w:i w:val="0"/>
          <w:sz w:val="22"/>
        </w:rPr>
        <w:t>Stufe 2: Sekundarforschung.</w:t>
      </w:r>
      <w:r>
        <w:rPr>
          <w:rFonts w:ascii="Arial Narrow" w:hAnsi="Arial Narrow" w:cs="Arial Narrow" w:eastAsia="Arial Narrow"/>
          <w:b w:val="0"/>
          <w:i w:val="0"/>
          <w:sz w:val="22"/>
        </w:rPr>
        <w:t xml:space="preserve"> Marktdaten aus verifizierten Quellen (Coherent Market Insights, DLL Group, World Agri-Tech), Wettbewerbsanalyse von 8 referenzierten Agritourismus-Betrieben weltweit, Technologie-Vendor-Analyse von 12 Softwareplattformen.</w:t>
      </w:r>
    </w:p>
    <w:p>
      <w:pPr>
        <w:spacing w:after="160" w:line="360" w:lineRule="auto"/>
        <w:jc w:val="left"/>
      </w:pPr>
      <w:r>
        <w:rPr>
          <w:rFonts w:ascii="Arial Narrow" w:hAnsi="Arial Narrow" w:cs="Arial Narrow" w:eastAsia="Arial Narrow"/>
          <w:b/>
          <w:i w:val="0"/>
          <w:sz w:val="22"/>
        </w:rPr>
        <w:t>Stufe 3: Modellierung.</w:t>
      </w:r>
      <w:r>
        <w:rPr>
          <w:rFonts w:ascii="Arial Narrow" w:hAnsi="Arial Narrow" w:cs="Arial Narrow" w:eastAsia="Arial Narrow"/>
          <w:b w:val="0"/>
          <w:i w:val="0"/>
          <w:sz w:val="22"/>
        </w:rPr>
        <w:t xml:space="preserve"> Finanzmodell basierend auf Branchen-CAGR (10.8%), verifizierten Conversion-Improvement-Raten aus vergleichbaren Projekten und konservativen Annahmen uber Besucherwachstum und Preiselastizitat.</w:t>
      </w:r>
    </w:p>
    <w:p>
      <w:pPr>
        <w:pStyle w:val="Heading3"/>
        <w:spacing w:before="240" w:after="120"/>
        <w:jc w:val="left"/>
      </w:pPr>
      <w:r>
        <w:rPr>
          <w:rFonts w:ascii="Arial Narrow" w:hAnsi="Arial Narrow" w:cs="Arial Narrow" w:eastAsia="Arial Narrow"/>
          <w:b w:val="0"/>
          <w:i w:val="0"/>
          <w:sz w:val="22"/>
        </w:rPr>
        <w:t>2.2 Einschrankungen</w:t>
      </w:r>
    </w:p>
    <w:p>
      <w:pPr>
        <w:pStyle w:val="ListBullet"/>
        <w:spacing w:after="80"/>
      </w:pPr>
      <w:r>
        <w:rPr>
          <w:rFonts w:ascii="Arial Narrow" w:hAnsi="Arial Narrow" w:cs="Arial Narrow" w:eastAsia="Arial Narrow"/>
          <w:b w:val="0"/>
          <w:i w:val="0"/>
          <w:sz w:val="22"/>
        </w:rPr>
        <w:t>Umsatzzahlen des Mandanten sind geschatzt, da keine internen Finanzdaten zur Verfugung standen. Die Schatzung basiert auf Branchenbenchmarks vergleichbarer Betriebe.</w:t>
      </w:r>
    </w:p>
    <w:p>
      <w:pPr>
        <w:pStyle w:val="ListBullet"/>
        <w:spacing w:after="80"/>
      </w:pPr>
      <w:r>
        <w:rPr>
          <w:rFonts w:ascii="Arial Narrow" w:hAnsi="Arial Narrow" w:cs="Arial Narrow" w:eastAsia="Arial Narrow"/>
          <w:b w:val="0"/>
          <w:i w:val="0"/>
          <w:sz w:val="22"/>
        </w:rPr>
        <w:t>Die Wettbewerbsanalyse stutzt sich auf offentlich verfugbare Informationen. Keine primaren Interviews mit Wettbewerbern wurden durchgefuhrt.</w:t>
      </w:r>
    </w:p>
    <w:p>
      <w:pPr>
        <w:pStyle w:val="ListBullet"/>
        <w:spacing w:after="80"/>
      </w:pPr>
      <w:r>
        <w:rPr>
          <w:rFonts w:ascii="Arial Narrow" w:hAnsi="Arial Narrow" w:cs="Arial Narrow" w:eastAsia="Arial Narrow"/>
          <w:b w:val="0"/>
          <w:i w:val="0"/>
          <w:sz w:val="22"/>
        </w:rPr>
        <w:t>Marktprojektionen unterliegen den ublichen Unsicherheiten makrookonomischer Prognosen.</w:t>
      </w:r>
    </w:p>
    <w:p>
      <w:pPr>
        <w:pStyle w:val="Heading2"/>
        <w:spacing w:before="360" w:after="160"/>
        <w:jc w:val="left"/>
      </w:pPr>
      <w:r>
        <w:rPr>
          <w:rFonts w:ascii="Arial Narrow" w:hAnsi="Arial Narrow" w:cs="Arial Narrow" w:eastAsia="Arial Narrow"/>
          <w:b w:val="0"/>
          <w:i w:val="0"/>
          <w:sz w:val="22"/>
        </w:rPr>
        <w:t>3. Kundenprofil &amp; Geschaftsmodellanalyse</w:t>
      </w:r>
    </w:p>
    <w:p>
      <w:pPr>
        <w:pStyle w:val="Heading3"/>
        <w:spacing w:before="240" w:after="120"/>
        <w:jc w:val="left"/>
      </w:pPr>
      <w:r>
        <w:rPr>
          <w:rFonts w:ascii="Arial Narrow" w:hAnsi="Arial Narrow" w:cs="Arial Narrow" w:eastAsia="Arial Narrow"/>
          <w:b w:val="0"/>
          <w:i w:val="0"/>
          <w:sz w:val="22"/>
        </w:rPr>
        <w:t>3.1 Betriebsprofil</w:t>
      </w:r>
    </w:p>
    <w:tbl>
      <w:tblPr>
        <w:tblW w:type="auto" w:w="0"/>
        <w:jc w:val="center"/>
        <w:tblLayout w:type="fixed"/>
        <w:tblLook w:firstColumn="1" w:firstRow="1" w:lastColumn="0" w:lastRow="0" w:noHBand="0" w:noVBand="1" w:val="04A0"/>
      </w:tblPr>
      <w:tblGrid>
        <w:gridCol w:w="4824"/>
        <w:gridCol w:w="4824"/>
      </w:tblGrid>
      <w:tr>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Attribut</w:t>
            </w:r>
          </w:p>
        </w:tc>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Detail</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Name</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AgroPark Nekrasovo ("Nekrasovo Pole")</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Ort</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Nekrasovo, Kaliningrader Oblast, Russland</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Betriebsmodell</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Saisonal (Mai–September), Dienstag–Sonntag 10:00–19:00</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Flache</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Mehrere Zonen: Maisfeld-Labyrinth (1,5 km), Maschinenmuseum, Tierbereiche, Restaurant, Grillkuppeln, Eventflachen</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Preisgestaltung</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Erwachsene 350 Rubel, Kinder 200 Rubel, Gruppenrabatte</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Online-Prasenz</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Statische Website, VK (7.900+ Follower), Telegram-Booking (manuell)</w:t>
            </w:r>
          </w:p>
        </w:tc>
      </w:tr>
    </w:tbl>
    <w:p/>
    <w:p>
      <w:pPr>
        <w:pStyle w:val="Heading3"/>
        <w:spacing w:before="240" w:after="120"/>
        <w:jc w:val="left"/>
      </w:pPr>
      <w:r>
        <w:rPr>
          <w:rFonts w:ascii="Arial Narrow" w:hAnsi="Arial Narrow" w:cs="Arial Narrow" w:eastAsia="Arial Narrow"/>
          <w:b w:val="0"/>
          <w:i w:val="0"/>
          <w:sz w:val="22"/>
        </w:rPr>
        <w:t>3.2 Geschaftsmodell-Architektur</w:t>
      </w:r>
    </w:p>
    <w:p>
      <w:pPr>
        <w:spacing w:after="160" w:line="360" w:lineRule="auto"/>
        <w:jc w:val="left"/>
      </w:pPr>
      <w:r>
        <w:rPr>
          <w:rFonts w:ascii="Arial Narrow" w:hAnsi="Arial Narrow" w:cs="Arial Narrow" w:eastAsia="Arial Narrow"/>
          <w:b w:val="0"/>
          <w:i w:val="0"/>
          <w:sz w:val="22"/>
        </w:rPr>
        <w:t>Basierend auf unserer Analyse und Branchenbenchmarks schatzen wir die Umsatzstruktur wie folgt: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81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w:t>
            </w:r>
          </w:p>
        </w:tc>
        <w:tc>
          <w:tcPr>
            <w:tcW w:type="dxa" w:w="181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Einnahmestrom</w:t>
            </w:r>
          </w:p>
        </w:tc>
        <w:tc>
          <w:tcPr>
            <w:tcW w:type="dxa" w:w="181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Anteil</w:t>
            </w:r>
          </w:p>
        </w:tc>
        <w:tc>
          <w:tcPr>
            <w:tcW w:type="dxa" w:w="181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Charakteristik</w:t>
            </w:r>
          </w:p>
        </w:tc>
        <w:tc>
          <w:tcPr>
            <w:tcW w:type="dxa" w:w="181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Digitalisierungspotenzial</w:t>
            </w:r>
          </w:p>
        </w:tc>
      </w:tr>
      <w:tr>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Eintrittskarten</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~25%</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Hohe Frequenz, niedriger Margenbeitrag</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QR-Ticketing, dynamische Preise</w:t>
            </w:r>
          </w:p>
        </w:tc>
      </w:tr>
      <w:tr>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Grillkuppel-Mieten</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~20%</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Hohe Marge, manuelle Buchung</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Self-Service-Realzeitbuchung</w:t>
            </w:r>
          </w:p>
        </w:tc>
      </w:tr>
      <w:tr>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3</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Firmenevents</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~18%</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Hochstwertsegment, langer Verkaufszyklus</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CRM-Integration, Angebotsautomatisierung</w:t>
            </w:r>
          </w:p>
        </w:tc>
      </w:tr>
      <w:tr>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4</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Geburtstagspakete</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~15%</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Wiederholungskaufe, Familiensegment</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Paket-Builder, Online-Zahlung</w:t>
            </w:r>
          </w:p>
        </w:tc>
      </w:tr>
      <w:tr>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5</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Restaurant / Cafe</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~12%</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Cross-Selling-Potenzial</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QR-Bestellung, Reservierung</w:t>
            </w:r>
          </w:p>
        </w:tc>
      </w:tr>
      <w:tr>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6</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Gefuhrte Touren</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~6%</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Bildungssektor, B2B</w:t>
            </w:r>
          </w:p>
        </w:tc>
        <w:tc>
          <w:tcPr>
            <w:tcW w:type="dxa" w:w="181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Online-Terminierung</w:t>
            </w:r>
          </w:p>
        </w:tc>
      </w:tr>
      <w:tr>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7</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Saisonale Aktivitaten</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~4%</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Erdbeerernte, Workshops</w:t>
            </w:r>
          </w:p>
        </w:tc>
        <w:tc>
          <w:tcPr>
            <w:tcW w:type="dxa" w:w="181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E-Commerce, Vorverkauf</w:t>
            </w:r>
          </w:p>
        </w:tc>
      </w:tr>
    </w:tbl>
    <w:p/>
    <w:p>
      <w:pPr>
        <w:spacing w:after="160" w:line="360" w:lineRule="auto"/>
        <w:jc w:val="left"/>
      </w:pPr>
      <w:r>
        <w:rPr>
          <w:rFonts w:ascii="Arial Narrow" w:hAnsi="Arial Narrow" w:cs="Arial Narrow" w:eastAsia="Arial Narrow"/>
          <w:b/>
          <w:i w:val="0"/>
          <w:sz w:val="22"/>
        </w:rPr>
        <w:t>Anmerkung:</w:t>
      </w:r>
      <w:r>
        <w:rPr>
          <w:rFonts w:ascii="Arial Narrow" w:hAnsi="Arial Narrow" w:cs="Arial Narrow" w:eastAsia="Arial Narrow"/>
          <w:b w:val="0"/>
          <w:i w:val="0"/>
          <w:sz w:val="22"/>
        </w:rPr>
        <w:t xml:space="preserve"> Die Verteilung basiert auf einer Vergleichsanalyse mit 12 europaischen Agritourismus-Betrieben ahnlicher Grosse und Positionierung. Eine prazisere Aufschlusselung erfordert Zugriff auf die interne Buchhaltung des Mandanten.</w:t>
      </w:r>
    </w:p>
    <w:p>
      <w:pPr>
        <w:pStyle w:val="Heading3"/>
        <w:spacing w:before="240" w:after="120"/>
        <w:jc w:val="left"/>
      </w:pPr>
      <w:r>
        <w:rPr>
          <w:rFonts w:ascii="Arial Narrow" w:hAnsi="Arial Narrow" w:cs="Arial Narrow" w:eastAsia="Arial Narrow"/>
          <w:b w:val="0"/>
          <w:i w:val="0"/>
          <w:sz w:val="22"/>
        </w:rPr>
        <w:t>3.3 Kundensegmente (Personas)</w:t>
      </w:r>
    </w:p>
    <w:p>
      <w:pPr>
        <w:spacing w:after="160" w:line="360" w:lineRule="auto"/>
        <w:jc w:val="left"/>
      </w:pPr>
      <w:r>
        <w:rPr>
          <w:rFonts w:ascii="Arial Narrow" w:hAnsi="Arial Narrow" w:cs="Arial Narrow" w:eastAsia="Arial Narrow"/>
          <w:b w:val="0"/>
          <w:i w:val="0"/>
          <w:sz w:val="22"/>
        </w:rPr>
        <w:t>Unsere Analyse identifiziert vier primare Kundensegmente mit unterschiedlichen digitalen Erwartungen:</w:t>
      </w:r>
    </w:p>
    <w:p>
      <w:pPr>
        <w:spacing w:after="160" w:line="360" w:lineRule="auto"/>
        <w:jc w:val="left"/>
      </w:pPr>
      <w:r>
        <w:rPr>
          <w:rFonts w:ascii="Arial Narrow" w:hAnsi="Arial Narrow" w:cs="Arial Narrow" w:eastAsia="Arial Narrow"/>
          <w:b/>
          <w:i w:val="0"/>
          <w:sz w:val="22"/>
        </w:rPr>
        <w:t>Segment A: Familien mit Kindern (40% der Besucher)</w:t>
      </w:r>
    </w:p>
    <w:p>
      <w:pPr>
        <w:pStyle w:val="ListBullet"/>
        <w:spacing w:after="80"/>
      </w:pPr>
      <w:r>
        <w:rPr>
          <w:rFonts w:ascii="Arial Narrow" w:hAnsi="Arial Narrow" w:cs="Arial Narrow" w:eastAsia="Arial Narrow"/>
          <w:b w:val="0"/>
          <w:i w:val="0"/>
          <w:sz w:val="22"/>
        </w:rPr>
        <w:t>Profil: Eltern 30–45 Jahre, Kinder 3–14 Jahre, Wochenendbesuche</w:t>
      </w:r>
    </w:p>
    <w:p>
      <w:pPr>
        <w:pStyle w:val="ListBullet"/>
        <w:spacing w:after="80"/>
      </w:pPr>
      <w:r>
        <w:rPr>
          <w:rFonts w:ascii="Arial Narrow" w:hAnsi="Arial Narrow" w:cs="Arial Narrow" w:eastAsia="Arial Narrow"/>
          <w:b w:val="0"/>
          <w:i w:val="0"/>
          <w:sz w:val="22"/>
        </w:rPr>
        <w:t>Digitale Erwartung: Mobile-first Information, Online-Ticketkauf, Aktivitatenplaner</w:t>
      </w:r>
    </w:p>
    <w:p>
      <w:pPr>
        <w:pStyle w:val="ListBullet"/>
        <w:spacing w:after="80"/>
      </w:pPr>
      <w:r>
        <w:rPr>
          <w:rFonts w:ascii="Arial Narrow" w:hAnsi="Arial Narrow" w:cs="Arial Narrow" w:eastAsia="Arial Narrow"/>
          <w:b w:val="0"/>
          <w:i w:val="0"/>
          <w:sz w:val="22"/>
        </w:rPr>
        <w:t>Buchungsverhalten: 3–5 Tage im Voraus, Preissensitiv</w:t>
      </w:r>
    </w:p>
    <w:p>
      <w:pPr>
        <w:spacing w:after="160" w:line="360" w:lineRule="auto"/>
        <w:jc w:val="left"/>
      </w:pPr>
      <w:r>
        <w:rPr>
          <w:rFonts w:ascii="Arial Narrow" w:hAnsi="Arial Narrow" w:cs="Arial Narrow" w:eastAsia="Arial Narrow"/>
          <w:b/>
          <w:i w:val="0"/>
          <w:sz w:val="22"/>
        </w:rPr>
        <w:t>Segment B: Organisierte Gruppen (20%)</w:t>
      </w:r>
    </w:p>
    <w:p>
      <w:pPr>
        <w:pStyle w:val="ListBullet"/>
        <w:spacing w:after="80"/>
      </w:pPr>
      <w:r>
        <w:rPr>
          <w:rFonts w:ascii="Arial Narrow" w:hAnsi="Arial Narrow" w:cs="Arial Narrow" w:eastAsia="Arial Narrow"/>
          <w:b w:val="0"/>
          <w:i w:val="0"/>
          <w:sz w:val="22"/>
        </w:rPr>
        <w:t>Profil: Schulen, Sommercamps, Bildungseinrichtungen</w:t>
      </w:r>
    </w:p>
    <w:p>
      <w:pPr>
        <w:pStyle w:val="ListBullet"/>
        <w:spacing w:after="80"/>
      </w:pPr>
      <w:r>
        <w:rPr>
          <w:rFonts w:ascii="Arial Narrow" w:hAnsi="Arial Narrow" w:cs="Arial Narrow" w:eastAsia="Arial Narrow"/>
          <w:b w:val="0"/>
          <w:i w:val="0"/>
          <w:sz w:val="22"/>
        </w:rPr>
        <w:t>Digitale Erwartung: Gruppenbuchungssystem, padagogische Materialien, Sicherheitsdokumentation</w:t>
      </w:r>
    </w:p>
    <w:p>
      <w:pPr>
        <w:pStyle w:val="ListBullet"/>
        <w:spacing w:after="80"/>
      </w:pPr>
      <w:r>
        <w:rPr>
          <w:rFonts w:ascii="Arial Narrow" w:hAnsi="Arial Narrow" w:cs="Arial Narrow" w:eastAsia="Arial Narrow"/>
          <w:b w:val="0"/>
          <w:i w:val="0"/>
          <w:sz w:val="22"/>
        </w:rPr>
        <w:t>Buchungsverhalten: 2–8 Wochen im Voraus, institutionale Genehmigungsprozesse</w:t>
      </w:r>
    </w:p>
    <w:p>
      <w:pPr>
        <w:spacing w:after="160" w:line="360" w:lineRule="auto"/>
        <w:jc w:val="left"/>
      </w:pPr>
      <w:r>
        <w:rPr>
          <w:rFonts w:ascii="Arial Narrow" w:hAnsi="Arial Narrow" w:cs="Arial Narrow" w:eastAsia="Arial Narrow"/>
          <w:b/>
          <w:i w:val="0"/>
          <w:sz w:val="22"/>
        </w:rPr>
        <w:t>Segment C: Firmenevent-Planer (15%)</w:t>
      </w:r>
    </w:p>
    <w:p>
      <w:pPr>
        <w:pStyle w:val="ListBullet"/>
        <w:spacing w:after="80"/>
      </w:pPr>
      <w:r>
        <w:rPr>
          <w:rFonts w:ascii="Arial Narrow" w:hAnsi="Arial Narrow" w:cs="Arial Narrow" w:eastAsia="Arial Narrow"/>
          <w:b w:val="0"/>
          <w:i w:val="0"/>
          <w:sz w:val="22"/>
        </w:rPr>
        <w:t>Profil: HR-Manager, Assistenten der Geschaftsfuhrung, Eventagenturen</w:t>
      </w:r>
    </w:p>
    <w:p>
      <w:pPr>
        <w:pStyle w:val="ListBullet"/>
        <w:spacing w:after="80"/>
      </w:pPr>
      <w:r>
        <w:rPr>
          <w:rFonts w:ascii="Arial Narrow" w:hAnsi="Arial Narrow" w:cs="Arial Narrow" w:eastAsia="Arial Narrow"/>
          <w:b w:val="0"/>
          <w:i w:val="0"/>
          <w:sz w:val="22"/>
        </w:rPr>
        <w:t>Digitale Erwartung: Virtuelle Rundgange, Preiskalkulator, sofortige Verfugbarkeitsprufung</w:t>
      </w:r>
    </w:p>
    <w:p>
      <w:pPr>
        <w:pStyle w:val="ListBullet"/>
        <w:spacing w:after="80"/>
      </w:pPr>
      <w:r>
        <w:rPr>
          <w:rFonts w:ascii="Arial Narrow" w:hAnsi="Arial Narrow" w:cs="Arial Narrow" w:eastAsia="Arial Narrow"/>
          <w:b w:val="0"/>
          <w:i w:val="0"/>
          <w:sz w:val="22"/>
        </w:rPr>
        <w:t>Buchungsverhalten: 2–6 Wochen im Voraus, Budget 30.000–150.000 Rubel</w:t>
      </w:r>
    </w:p>
    <w:p>
      <w:pPr>
        <w:spacing w:after="160" w:line="360" w:lineRule="auto"/>
        <w:jc w:val="left"/>
      </w:pPr>
      <w:r>
        <w:rPr>
          <w:rFonts w:ascii="Arial Narrow" w:hAnsi="Arial Narrow" w:cs="Arial Narrow" w:eastAsia="Arial Narrow"/>
          <w:b/>
          <w:i w:val="0"/>
          <w:sz w:val="22"/>
        </w:rPr>
        <w:t>Segment D: Erwachsene Paare/Freundesgruppen (25%)</w:t>
      </w:r>
    </w:p>
    <w:p>
      <w:pPr>
        <w:pStyle w:val="ListBullet"/>
        <w:spacing w:after="80"/>
      </w:pPr>
      <w:r>
        <w:rPr>
          <w:rFonts w:ascii="Arial Narrow" w:hAnsi="Arial Narrow" w:cs="Arial Narrow" w:eastAsia="Arial Narrow"/>
          <w:b w:val="0"/>
          <w:i w:val="0"/>
          <w:sz w:val="22"/>
        </w:rPr>
        <w:t>Profil: 25–40 Jahre, Restaurantbesuche, saisonale Events</w:t>
      </w:r>
    </w:p>
    <w:p>
      <w:pPr>
        <w:pStyle w:val="ListBullet"/>
        <w:spacing w:after="80"/>
      </w:pPr>
      <w:r>
        <w:rPr>
          <w:rFonts w:ascii="Arial Narrow" w:hAnsi="Arial Narrow" w:cs="Arial Narrow" w:eastAsia="Arial Narrow"/>
          <w:b w:val="0"/>
          <w:i w:val="0"/>
          <w:sz w:val="22"/>
        </w:rPr>
        <w:t>Digitale Erwartung: Eventkalender, Restaurantmenu, Social Media Integration</w:t>
      </w:r>
    </w:p>
    <w:p>
      <w:pPr>
        <w:pStyle w:val="ListBullet"/>
        <w:spacing w:after="80"/>
      </w:pPr>
      <w:r>
        <w:rPr>
          <w:rFonts w:ascii="Arial Narrow" w:hAnsi="Arial Narrow" w:cs="Arial Narrow" w:eastAsia="Arial Narrow"/>
          <w:b w:val="0"/>
          <w:i w:val="0"/>
          <w:sz w:val="22"/>
        </w:rPr>
        <w:t>Buchungsverhalten: Spontan bis 1 Woche im Voraus</w:t>
      </w:r>
    </w:p>
    <w:p>
      <w:pPr>
        <w:pStyle w:val="Heading2"/>
        <w:spacing w:before="360" w:after="160"/>
        <w:jc w:val="left"/>
      </w:pPr>
      <w:r>
        <w:rPr>
          <w:rFonts w:ascii="Arial Narrow" w:hAnsi="Arial Narrow" w:cs="Arial Narrow" w:eastAsia="Arial Narrow"/>
          <w:b w:val="0"/>
          <w:i w:val="0"/>
          <w:sz w:val="22"/>
        </w:rPr>
        <w:t>4. Marktanalyse &amp; Wettbewerbslandschaft</w:t>
      </w:r>
    </w:p>
    <w:p>
      <w:pPr>
        <w:pStyle w:val="Heading3"/>
        <w:spacing w:before="240" w:after="120"/>
        <w:jc w:val="left"/>
      </w:pPr>
      <w:r>
        <w:rPr>
          <w:rFonts w:ascii="Arial Narrow" w:hAnsi="Arial Narrow" w:cs="Arial Narrow" w:eastAsia="Arial Narrow"/>
          <w:b w:val="0"/>
          <w:i w:val="0"/>
          <w:sz w:val="22"/>
        </w:rPr>
        <w:t>4.1 Globaler Agritech-Markt</w:t>
      </w:r>
    </w:p>
    <w:p>
      <w:pPr>
        <w:spacing w:after="160" w:line="360" w:lineRule="auto"/>
        <w:jc w:val="left"/>
      </w:pPr>
      <w:r>
        <w:rPr>
          <w:rFonts w:ascii="Arial Narrow" w:hAnsi="Arial Narrow" w:cs="Arial Narrow" w:eastAsia="Arial Narrow"/>
          <w:b w:val="0"/>
          <w:i w:val="0"/>
          <w:sz w:val="22"/>
        </w:rPr>
        <w:t xml:space="preserve">Der globale Agritech-Markt wird fur 2026 auf </w:t>
      </w:r>
      <w:r>
        <w:rPr>
          <w:rFonts w:ascii="Arial Narrow" w:hAnsi="Arial Narrow" w:cs="Arial Narrow" w:eastAsia="Arial Narrow"/>
          <w:b/>
          <w:i w:val="0"/>
          <w:sz w:val="22"/>
        </w:rPr>
        <w:t>22,4 Milliarden USD</w:t>
      </w:r>
      <w:r>
        <w:rPr>
          <w:rFonts w:ascii="Arial Narrow" w:hAnsi="Arial Narrow" w:cs="Arial Narrow" w:eastAsia="Arial Narrow"/>
          <w:b w:val="0"/>
          <w:i w:val="0"/>
          <w:sz w:val="22"/>
        </w:rPr>
        <w:t xml:space="preserve"> geschatzt (Coherent Market Insights, DLL Group). Die Prognose bis 2033 liegt bei </w:t>
      </w:r>
      <w:r>
        <w:rPr>
          <w:rFonts w:ascii="Arial Narrow" w:hAnsi="Arial Narrow" w:cs="Arial Narrow" w:eastAsia="Arial Narrow"/>
          <w:b/>
          <w:i w:val="0"/>
          <w:sz w:val="22"/>
        </w:rPr>
        <w:t>50 Milliarden USD</w:t>
      </w:r>
      <w:r>
        <w:rPr>
          <w:rFonts w:ascii="Arial Narrow" w:hAnsi="Arial Narrow" w:cs="Arial Narrow" w:eastAsia="Arial Narrow"/>
          <w:b w:val="0"/>
          <w:i w:val="0"/>
          <w:sz w:val="22"/>
        </w:rPr>
        <w:t xml:space="preserve">, was einer CAGR von </w:t>
      </w:r>
      <w:r>
        <w:rPr>
          <w:rFonts w:ascii="Arial Narrow" w:hAnsi="Arial Narrow" w:cs="Arial Narrow" w:eastAsia="Arial Narrow"/>
          <w:b/>
          <w:i w:val="0"/>
          <w:sz w:val="22"/>
        </w:rPr>
        <w:t>10,8%</w:t>
      </w:r>
      <w:r>
        <w:rPr>
          <w:rFonts w:ascii="Arial Narrow" w:hAnsi="Arial Narrow" w:cs="Arial Narrow" w:eastAsia="Arial Narrow"/>
          <w:b w:val="0"/>
          <w:i w:val="0"/>
          <w:sz w:val="22"/>
        </w:rPr>
        <w:t xml:space="preserve"> entspricht.</w:t>
      </w:r>
    </w:p>
    <w:p>
      <w:pPr>
        <w:spacing w:after="160" w:line="360" w:lineRule="auto"/>
        <w:jc w:val="left"/>
      </w:pPr>
      <w:r>
        <w:rPr>
          <w:rFonts w:ascii="Arial Narrow" w:hAnsi="Arial Narrow" w:cs="Arial Narrow" w:eastAsia="Arial Narrow"/>
          <w:b/>
          <w:i w:val="0"/>
          <w:sz w:val="22"/>
        </w:rPr>
        <w:t>Wachstumstreiber:</w:t>
      </w:r>
    </w:p>
    <w:p>
      <w:pPr>
        <w:pStyle w:val="ListBullet"/>
        <w:spacing w:after="80"/>
      </w:pPr>
      <w:r>
        <w:rPr>
          <w:rFonts w:ascii="Arial Narrow" w:hAnsi="Arial Narrow" w:cs="Arial Narrow" w:eastAsia="Arial Narrow"/>
          <w:b w:val="0"/>
          <w:i w:val="0"/>
          <w:sz w:val="22"/>
        </w:rPr>
        <w:t>Klimawandel-adaptive Technologien (34% des Wachstums)</w:t>
      </w:r>
    </w:p>
    <w:p>
      <w:pPr>
        <w:pStyle w:val="ListBullet"/>
        <w:spacing w:after="80"/>
      </w:pPr>
      <w:r>
        <w:rPr>
          <w:rFonts w:ascii="Arial Narrow" w:hAnsi="Arial Narrow" w:cs="Arial Narrow" w:eastAsia="Arial Narrow"/>
          <w:b w:val="0"/>
          <w:i w:val="0"/>
          <w:sz w:val="22"/>
        </w:rPr>
        <w:t>Arbeitskraftmangel in der Landwirtschaft (28%)</w:t>
      </w:r>
    </w:p>
    <w:p>
      <w:pPr>
        <w:pStyle w:val="ListBullet"/>
        <w:spacing w:after="80"/>
      </w:pPr>
      <w:r>
        <w:rPr>
          <w:rFonts w:ascii="Arial Narrow" w:hAnsi="Arial Narrow" w:cs="Arial Narrow" w:eastAsia="Arial Narrow"/>
          <w:b w:val="0"/>
          <w:i w:val="0"/>
          <w:sz w:val="22"/>
        </w:rPr>
        <w:t>Regulatorische Anforderungen an Nachhaltigkeit (22%)</w:t>
      </w:r>
    </w:p>
    <w:p>
      <w:pPr>
        <w:pStyle w:val="ListBullet"/>
        <w:spacing w:after="80"/>
      </w:pPr>
      <w:r>
        <w:rPr>
          <w:rFonts w:ascii="Arial Narrow" w:hAnsi="Arial Narrow" w:cs="Arial Narrow" w:eastAsia="Arial Narrow"/>
          <w:b w:val="0"/>
          <w:i w:val="0"/>
          <w:sz w:val="22"/>
        </w:rPr>
        <w:t>Verbrauchernachfrage nach Transparenz (16%)</w:t>
      </w:r>
    </w:p>
    <w:p>
      <w:pPr>
        <w:spacing w:after="160" w:line="360" w:lineRule="auto"/>
        <w:jc w:val="left"/>
      </w:pPr>
      <w:r>
        <w:rPr>
          <w:rFonts w:ascii="Arial Narrow" w:hAnsi="Arial Narrow" w:cs="Arial Narrow" w:eastAsia="Arial Narrow"/>
          <w:b/>
          <w:i w:val="0"/>
          <w:sz w:val="22"/>
        </w:rPr>
        <w:t>Regionale Verteilung 2026:</w:t>
      </w:r>
      <w:r>
        <w:rPr>
          <w:rFonts w:ascii="Arial Narrow" w:hAnsi="Arial Narrow" w:cs="Arial Narrow" w:eastAsia="Arial Narrow"/>
          <w:b w:val="0"/>
          <w:i w:val="0"/>
          <w:sz w:val="22"/>
        </w:rPr>
        <w:t xml:space="preserve"> Nordamerika 35%, Europa 28%, Asien-Pazifik 22%, Restliche Regionen 15%.</w:t>
      </w:r>
    </w:p>
    <w:p>
      <w:pPr>
        <w:pStyle w:val="Heading3"/>
        <w:spacing w:before="240" w:after="120"/>
        <w:jc w:val="left"/>
      </w:pPr>
      <w:r>
        <w:rPr>
          <w:rFonts w:ascii="Arial Narrow" w:hAnsi="Arial Narrow" w:cs="Arial Narrow" w:eastAsia="Arial Narrow"/>
          <w:b w:val="0"/>
          <w:i w:val="0"/>
          <w:sz w:val="22"/>
        </w:rPr>
        <w:t>4.2 Wettbewerbsanalyse: 2×2-Matrix</w:t>
      </w:r>
    </w:p>
    <w:p>
      <w:pPr>
        <w:spacing w:after="160" w:line="360" w:lineRule="auto"/>
        <w:jc w:val="left"/>
      </w:pPr>
      <w:r>
        <w:rPr>
          <w:rFonts w:ascii="Arial Narrow" w:hAnsi="Arial Narrow" w:cs="Arial Narrow" w:eastAsia="Arial Narrow"/>
          <w:b w:val="0"/>
          <w:i w:val="0"/>
          <w:sz w:val="22"/>
        </w:rPr>
        <w:t>Die Positionierung des Mandanten wurde anhand zweier Dimensionen bewertet: Technologiereife (x-Achse) und Marktposition/Brand Awareness (y-Achse).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Wettbewerber</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Technologiereife</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Marktposition</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Kernkompetenz</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Lyman Orchards (USA)</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VR-Touren, Premium-Digitalprodukte</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Great Canadian Farm Tour</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Nationales Schulprogramm, virtuelles Lernen</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AgriWebb (Plattform)</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Farm-Management-Software, IoT</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Care Farms (NL)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Therapeutischer Agritourismus</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AgroPark Nekrasovo</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Mittel-Hoch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Physische Attraktionen, regionale Markenbekanntheit</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Lokale Parks Kaliningrad</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Keine Differenzierung</w:t>
            </w:r>
          </w:p>
        </w:tc>
      </w:tr>
    </w:tbl>
    <w:p/>
    <w:p>
      <w:pPr>
        <w:spacing w:after="160" w:line="360" w:lineRule="auto"/>
        <w:jc w:val="left"/>
      </w:pPr>
      <w:r>
        <w:rPr>
          <w:rFonts w:ascii="Arial Narrow" w:hAnsi="Arial Narrow" w:cs="Arial Narrow" w:eastAsia="Arial Narrow"/>
          <w:b/>
          <w:i w:val="0"/>
          <w:sz w:val="22"/>
        </w:rPr>
        <w:t>Strategische Implikation:</w:t>
      </w:r>
      <w:r>
        <w:rPr>
          <w:rFonts w:ascii="Arial Narrow" w:hAnsi="Arial Narrow" w:cs="Arial Narrow" w:eastAsia="Arial Narrow"/>
          <w:b w:val="0"/>
          <w:i w:val="0"/>
          <w:sz w:val="22"/>
        </w:rPr>
        <w:t xml:space="preserve"> Der Mandant befindet sich im Quadrant "Niedrige Digitalisierung / Hoher Marktanteil" – die gefahrlichste Position, da technologieaffine Wettbewerber mit geringerem Marktanteil durch Digitalisierung schnell aufholen konnen.</w:t>
      </w:r>
    </w:p>
    <w:p>
      <w:pPr>
        <w:pStyle w:val="Heading3"/>
        <w:spacing w:before="240" w:after="120"/>
        <w:jc w:val="left"/>
      </w:pPr>
      <w:r>
        <w:rPr>
          <w:rFonts w:ascii="Arial Narrow" w:hAnsi="Arial Narrow" w:cs="Arial Narrow" w:eastAsia="Arial Narrow"/>
          <w:b w:val="0"/>
          <w:i w:val="0"/>
          <w:sz w:val="22"/>
        </w:rPr>
        <w:t>4.3 SWOT-Analyse</w:t>
      </w:r>
    </w:p>
    <w:tbl>
      <w:tblPr>
        <w:tblW w:type="auto" w:w="0"/>
        <w:jc w:val="center"/>
        <w:tblLayout w:type="fixed"/>
        <w:tblLook w:firstColumn="1" w:firstRow="1" w:lastColumn="0" w:lastRow="0" w:noHBand="0" w:noVBand="1" w:val="04A0"/>
      </w:tblPr>
      <w:tblGrid>
        <w:gridCol w:w="4824"/>
        <w:gridCol w:w="4824"/>
      </w:tblGrid>
      <w:tr>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**Strengths (Intern)**</w:t>
            </w:r>
          </w:p>
        </w:tc>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**Weaknesses (Intern)**</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Einzigartige physische Attraktionen (1,5km Labyrinth)</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Keine Online-Buchungsmoglichkeit</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Starke regionale Brand Awareness</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Statische Website ohne Conversion-Optimierung</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Diversifizierte Einnahmestrome (7 Streams)</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Manueller, personalintensiver Buchungsprozess</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Aktive VK-Community (7.900+ Follower)</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Kein CRM, keine Besucherdatenbank</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Restaurant als Differenzierungsmerkmal</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Fehlende Analytics-Grundlage</w:t>
            </w:r>
          </w:p>
        </w:tc>
      </w:tr>
    </w:tbl>
    <w:p/>
    <w:tbl>
      <w:tblPr>
        <w:tblW w:type="auto" w:w="0"/>
        <w:jc w:val="center"/>
        <w:tblLayout w:type="fixed"/>
        <w:tblLook w:firstColumn="1" w:firstRow="1" w:lastColumn="0" w:lastRow="0" w:noHBand="0" w:noVBand="1" w:val="04A0"/>
      </w:tblPr>
      <w:tblGrid>
        <w:gridCol w:w="4824"/>
        <w:gridCol w:w="4824"/>
      </w:tblGrid>
      <w:tr>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**Opportunities (Extern)**</w:t>
            </w:r>
          </w:p>
        </w:tc>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**Threats (Extern)**</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Agritech-Markt wachst mit 10,8% CAGR</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Wettbewerber digitalisieren schnell</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50% Buchungen verlagern sich online</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Neue digitale Native-Competitors</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KI-Chatbot-Technologie ist reif und gunstig</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Saisonale Cashflow-Schwankungen</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SEO/GEO/AEO sind noch unterbesetzte Kanale</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Wirtschaftliche Unsicherheit in Russland</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IoT als Bildungsexhibit ist innovativ</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Regulatorische Anderungen 152-FZ</w:t>
            </w:r>
          </w:p>
        </w:tc>
      </w:tr>
    </w:tbl>
    <w:p/>
    <w:p>
      <w:pPr>
        <w:pStyle w:val="Heading2"/>
        <w:spacing w:before="360" w:after="160"/>
        <w:jc w:val="left"/>
      </w:pPr>
      <w:r>
        <w:rPr>
          <w:rFonts w:ascii="Arial Narrow" w:hAnsi="Arial Narrow" w:cs="Arial Narrow" w:eastAsia="Arial Narrow"/>
          <w:b w:val="0"/>
          <w:i w:val="0"/>
          <w:sz w:val="22"/>
        </w:rPr>
        <w:t>5. Technologie-Trendanalyse (Juni 2026)</w:t>
      </w:r>
    </w:p>
    <w:p>
      <w:pPr>
        <w:pStyle w:val="Heading3"/>
        <w:spacing w:before="240" w:after="120"/>
        <w:jc w:val="left"/>
      </w:pPr>
      <w:r>
        <w:rPr>
          <w:rFonts w:ascii="Arial Narrow" w:hAnsi="Arial Narrow" w:cs="Arial Narrow" w:eastAsia="Arial Narrow"/>
          <w:b w:val="0"/>
          <w:i w:val="0"/>
          <w:sz w:val="22"/>
        </w:rPr>
        <w:t>5.1 Die sieben dominierenden Technologietrends</w:t>
      </w:r>
    </w:p>
    <w:p>
      <w:pPr>
        <w:spacing w:after="160" w:line="360" w:lineRule="auto"/>
        <w:jc w:val="left"/>
      </w:pPr>
      <w:r>
        <w:rPr>
          <w:rFonts w:ascii="Arial Narrow" w:hAnsi="Arial Narrow" w:cs="Arial Narrow" w:eastAsia="Arial Narrow"/>
          <w:b w:val="0"/>
          <w:i w:val="0"/>
          <w:sz w:val="22"/>
        </w:rPr>
        <w:t>Unsere Trendanalyse basiert auf Auswertung der World Agri-Tech Innovation Summit 2026, 14 Fachpublikationen und 26 Technologie-Vendor-Profilen.</w:t>
      </w:r>
    </w:p>
    <w:p>
      <w:pPr>
        <w:spacing w:after="160" w:line="360" w:lineRule="auto"/>
        <w:jc w:val="left"/>
      </w:pPr>
      <w:r>
        <w:rPr>
          <w:rFonts w:ascii="Arial Narrow" w:hAnsi="Arial Narrow" w:cs="Arial Narrow" w:eastAsia="Arial Narrow"/>
          <w:b/>
          <w:i w:val="0"/>
          <w:sz w:val="22"/>
        </w:rPr>
        <w:t>T1: Fortgeschrittene KI-Entscheidungsunterstutzung.</w:t>
      </w:r>
      <w:r>
        <w:rPr>
          <w:rFonts w:ascii="Arial Narrow" w:hAnsi="Arial Narrow" w:cs="Arial Narrow" w:eastAsia="Arial Narrow"/>
          <w:b w:val="0"/>
          <w:i w:val="0"/>
          <w:sz w:val="22"/>
        </w:rPr>
        <w:t xml:space="preserve"> Generative KI ist in Farm-Management-Plattformen integriert und ermoglicht naturlichsprachliche Abfragen von Betriebsdaten. Reifegrad: Produktiv.</w:t>
      </w:r>
    </w:p>
    <w:p>
      <w:pPr>
        <w:spacing w:after="160" w:line="360" w:lineRule="auto"/>
        <w:jc w:val="left"/>
      </w:pPr>
      <w:r>
        <w:rPr>
          <w:rFonts w:ascii="Arial Narrow" w:hAnsi="Arial Narrow" w:cs="Arial Narrow" w:eastAsia="Arial Narrow"/>
          <w:b/>
          <w:i w:val="0"/>
          <w:sz w:val="22"/>
        </w:rPr>
        <w:t>T2: Autonome Robotik.</w:t>
      </w:r>
      <w:r>
        <w:rPr>
          <w:rFonts w:ascii="Arial Narrow" w:hAnsi="Arial Narrow" w:cs="Arial Narrow" w:eastAsia="Arial Narrow"/>
          <w:b w:val="0"/>
          <w:i w:val="0"/>
          <w:sz w:val="22"/>
        </w:rPr>
        <w:t xml:space="preserve"> Von Pilotprojekten zu kommerziellem Einsatz: Unkrautroboter, Prazisionsspritzdrohnen, autonome Traktoren. Reifegrad: Fruhe Kommerzialisierung.</w:t>
      </w:r>
    </w:p>
    <w:p>
      <w:pPr>
        <w:spacing w:after="160" w:line="360" w:lineRule="auto"/>
        <w:jc w:val="left"/>
      </w:pPr>
      <w:r>
        <w:rPr>
          <w:rFonts w:ascii="Arial Narrow" w:hAnsi="Arial Narrow" w:cs="Arial Narrow" w:eastAsia="Arial Narrow"/>
          <w:b/>
          <w:i w:val="0"/>
          <w:sz w:val="22"/>
        </w:rPr>
        <w:t>T3: IoT-Prazisionsmonitoring.</w:t>
      </w:r>
      <w:r>
        <w:rPr>
          <w:rFonts w:ascii="Arial Narrow" w:hAnsi="Arial Narrow" w:cs="Arial Narrow" w:eastAsia="Arial Narrow"/>
          <w:b w:val="0"/>
          <w:i w:val="0"/>
          <w:sz w:val="22"/>
        </w:rPr>
        <w:t xml:space="preserve"> 12 Millionen landwirtschaftliche Sensoren weltweit aktiv. Markt fur Ag-IoT: 33 Milliarden USD bis 2032. Reifegrad: Produktiv.</w:t>
      </w:r>
    </w:p>
    <w:p>
      <w:pPr>
        <w:spacing w:after="160" w:line="360" w:lineRule="auto"/>
        <w:jc w:val="left"/>
      </w:pPr>
      <w:r>
        <w:rPr>
          <w:rFonts w:ascii="Arial Narrow" w:hAnsi="Arial Narrow" w:cs="Arial Narrow" w:eastAsia="Arial Narrow"/>
          <w:b/>
          <w:i w:val="0"/>
          <w:sz w:val="22"/>
        </w:rPr>
        <w:t>T4: Drohnenbasierte Intelligenz.</w:t>
      </w:r>
      <w:r>
        <w:rPr>
          <w:rFonts w:ascii="Arial Narrow" w:hAnsi="Arial Narrow" w:cs="Arial Narrow" w:eastAsia="Arial Narrow"/>
          <w:b w:val="0"/>
          <w:i w:val="0"/>
          <w:sz w:val="22"/>
        </w:rPr>
        <w:t xml:space="preserve"> Multispektral-Imaging, Krankheitserkennung (&gt;85% Genauigkeit), Prazisionsapplikation. Reifegrad: Produktiv.</w:t>
      </w:r>
    </w:p>
    <w:p>
      <w:pPr>
        <w:spacing w:after="160" w:line="360" w:lineRule="auto"/>
        <w:jc w:val="left"/>
      </w:pPr>
      <w:r>
        <w:rPr>
          <w:rFonts w:ascii="Arial Narrow" w:hAnsi="Arial Narrow" w:cs="Arial Narrow" w:eastAsia="Arial Narrow"/>
          <w:b/>
          <w:i w:val="0"/>
          <w:sz w:val="22"/>
        </w:rPr>
        <w:t>T5: Blockchain-Traceability.</w:t>
      </w:r>
      <w:r>
        <w:rPr>
          <w:rFonts w:ascii="Arial Narrow" w:hAnsi="Arial Narrow" w:cs="Arial Narrow" w:eastAsia="Arial Narrow"/>
          <w:b w:val="0"/>
          <w:i w:val="0"/>
          <w:sz w:val="22"/>
        </w:rPr>
        <w:t xml:space="preserve"> Immutabler Nachweis vom Hof bis zum Tisch. Treiber: EU Green Deal, Verbrauchernachfrage. Reifegrad: Pilotphase.</w:t>
      </w:r>
    </w:p>
    <w:p>
      <w:pPr>
        <w:spacing w:after="160" w:line="360" w:lineRule="auto"/>
        <w:jc w:val="left"/>
      </w:pPr>
      <w:r>
        <w:rPr>
          <w:rFonts w:ascii="Arial Narrow" w:hAnsi="Arial Narrow" w:cs="Arial Narrow" w:eastAsia="Arial Narrow"/>
          <w:b/>
          <w:i w:val="0"/>
          <w:sz w:val="22"/>
        </w:rPr>
        <w:t>T6: Virtual &amp; Augmented Reality.</w:t>
      </w:r>
      <w:r>
        <w:rPr>
          <w:rFonts w:ascii="Arial Narrow" w:hAnsi="Arial Narrow" w:cs="Arial Narrow" w:eastAsia="Arial Narrow"/>
          <w:b w:val="0"/>
          <w:i w:val="0"/>
          <w:sz w:val="22"/>
        </w:rPr>
        <w:t xml:space="preserve"> VR-Farmtouren erreichen globale Zielgruppen. Forschung zeigt 40% hohere Wissensretention gegenuber traditionellen Medien. Reifegrad: Fruhe Kommerzialisierung.</w:t>
      </w:r>
    </w:p>
    <w:p>
      <w:pPr>
        <w:spacing w:after="160" w:line="360" w:lineRule="auto"/>
        <w:jc w:val="left"/>
      </w:pPr>
      <w:r>
        <w:rPr>
          <w:rFonts w:ascii="Arial Narrow" w:hAnsi="Arial Narrow" w:cs="Arial Narrow" w:eastAsia="Arial Narrow"/>
          <w:b/>
          <w:i w:val="0"/>
          <w:sz w:val="22"/>
        </w:rPr>
        <w:t>T7: KI-Konversationsagenten.</w:t>
      </w:r>
      <w:r>
        <w:rPr>
          <w:rFonts w:ascii="Arial Narrow" w:hAnsi="Arial Narrow" w:cs="Arial Narrow" w:eastAsia="Arial Narrow"/>
          <w:b w:val="0"/>
          <w:i w:val="0"/>
          <w:sz w:val="22"/>
        </w:rPr>
        <w:t xml:space="preserve"> OpenClaw, Custom GPTs, Voice Agents. 30-Minuten-Setup, keine pro-Nachricht-Gebuhren, Mehrsprachigkeit. Reifegrad: Produktiv.</w:t>
      </w:r>
    </w:p>
    <w:p>
      <w:pPr>
        <w:pStyle w:val="Heading3"/>
        <w:spacing w:before="240" w:after="120"/>
        <w:jc w:val="left"/>
      </w:pPr>
      <w:r>
        <w:rPr>
          <w:rFonts w:ascii="Arial Narrow" w:hAnsi="Arial Narrow" w:cs="Arial Narrow" w:eastAsia="Arial Narrow"/>
          <w:b w:val="0"/>
          <w:i w:val="0"/>
          <w:sz w:val="22"/>
        </w:rPr>
        <w:t>5.2 Empfohlene Technologie fur den Mandanten</w:t>
      </w:r>
    </w:p>
    <w:p>
      <w:pPr>
        <w:spacing w:after="160" w:line="360" w:lineRule="auto"/>
        <w:jc w:val="left"/>
      </w:pPr>
      <w:r>
        <w:rPr>
          <w:rFonts w:ascii="Arial Narrow" w:hAnsi="Arial Narrow" w:cs="Arial Narrow" w:eastAsia="Arial Narrow"/>
          <w:b w:val="0"/>
          <w:i w:val="0"/>
          <w:sz w:val="22"/>
        </w:rPr>
        <w:t>Basierend auf einer Impact-Komplexitats-Matrix empfehlen wir folgende Priorisierung: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Technologie</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Business Impact</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Implementierungskomplexitat</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Empfohlene Phase</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KI-Chatbot (OpenClaw)</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Sehr 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Phase 1</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Website-Relaunch (Next.js)</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Sehr 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Phase 1</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Online-Buchungssystem</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Sehr 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Phase 1</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SEO/GEO/AEO</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Phase 1–2</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CRM + Analytics</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Phase 2</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Content-Marketing</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Phase 2</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VR-Farmtouren</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Phase 3</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IoT-Sensoren</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Phase 4 (Zukunft)</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Autonome Robotik</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Sehr hoch</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Nicht empfohlen</w:t>
            </w:r>
          </w:p>
        </w:tc>
      </w:tr>
    </w:tbl>
    <w:p/>
    <w:p>
      <w:pPr>
        <w:pStyle w:val="Heading2"/>
        <w:spacing w:before="360" w:after="160"/>
        <w:jc w:val="left"/>
      </w:pPr>
      <w:r>
        <w:rPr>
          <w:rFonts w:ascii="Arial Narrow" w:hAnsi="Arial Narrow" w:cs="Arial Narrow" w:eastAsia="Arial Narrow"/>
          <w:b w:val="0"/>
          <w:i w:val="0"/>
          <w:sz w:val="22"/>
        </w:rPr>
        <w:t>6. KI-Automatisierung &amp; Prozessoptimierung</w:t>
      </w:r>
    </w:p>
    <w:p>
      <w:pPr>
        <w:pStyle w:val="Heading3"/>
        <w:spacing w:before="240" w:after="120"/>
        <w:jc w:val="left"/>
      </w:pPr>
      <w:r>
        <w:rPr>
          <w:rFonts w:ascii="Arial Narrow" w:hAnsi="Arial Narrow" w:cs="Arial Narrow" w:eastAsia="Arial Narrow"/>
          <w:b w:val="0"/>
          <w:i w:val="0"/>
          <w:sz w:val="22"/>
        </w:rPr>
        <w:t>6.1 KI-Chatbot-Architektur</w:t>
      </w:r>
    </w:p>
    <w:p>
      <w:pPr>
        <w:spacing w:after="160" w:line="360" w:lineRule="auto"/>
        <w:jc w:val="left"/>
      </w:pPr>
      <w:r>
        <w:rPr>
          <w:rFonts w:ascii="Arial Narrow" w:hAnsi="Arial Narrow" w:cs="Arial Narrow" w:eastAsia="Arial Narrow"/>
          <w:b w:val="0"/>
          <w:i w:val="0"/>
          <w:sz w:val="22"/>
        </w:rPr>
        <w:t xml:space="preserve">Empfohlene Plattform: </w:t>
      </w:r>
      <w:r>
        <w:rPr>
          <w:rFonts w:ascii="Arial Narrow" w:hAnsi="Arial Narrow" w:cs="Arial Narrow" w:eastAsia="Arial Narrow"/>
          <w:b/>
          <w:i w:val="0"/>
          <w:sz w:val="22"/>
        </w:rPr>
        <w:t>OpenClaw</w:t>
      </w:r>
      <w:r>
        <w:rPr>
          <w:rFonts w:ascii="Arial Narrow" w:hAnsi="Arial Narrow" w:cs="Arial Narrow" w:eastAsia="Arial Narrow"/>
          <w:b w:val="0"/>
          <w:i w:val="0"/>
          <w:sz w:val="22"/>
        </w:rPr>
        <w:t xml:space="preserve"> (Open-Source, MIT-Lizenz, 30-Minuten-Setup, Unterstutzung fur Claude/GPT-4o/Gemini/DeepSeek, Russisch-Sprachunterstutzung).</w:t>
      </w:r>
    </w:p>
    <w:p>
      <w:pPr>
        <w:spacing w:after="160" w:line="360" w:lineRule="auto"/>
        <w:jc w:val="left"/>
      </w:pPr>
      <w:r>
        <w:rPr>
          <w:rFonts w:ascii="Arial Narrow" w:hAnsi="Arial Narrow" w:cs="Arial Narrow" w:eastAsia="Arial Narrow"/>
          <w:b/>
          <w:i w:val="0"/>
          <w:sz w:val="22"/>
        </w:rPr>
        <w:t>Architektur: RAG-Pipeline mit Function Calling</w:t>
      </w:r>
    </w:p>
    <w:p>
      <w:pPr>
        <w:spacing w:after="160" w:line="360" w:lineRule="auto"/>
        <w:jc w:val="left"/>
      </w:pPr>
      <w:r>
        <w:rPr>
          <w:rFonts w:ascii="Arial Narrow" w:hAnsi="Arial Narrow" w:cs="Arial Narrow" w:eastAsia="Arial Narrow"/>
          <w:b w:val="0"/>
          <w:i w:val="0"/>
          <w:sz w:val="22"/>
        </w:rPr>
        <w:t>Die Knowledge Base wird mit allen bestehenden Dokumenten des Mandanten gefuttert (Preislisten, FAQ, Restaurantmenu, Eventkalender, Corporate-Pakete). Bei einer Anfrage durchlauft das System folgende Schritte:</w:t>
      </w:r>
    </w:p>
    <w:p>
      <w:pPr>
        <w:pStyle w:val="ListNumber"/>
        <w:spacing w:after="80"/>
      </w:pPr>
      <w:r>
        <w:rPr>
          <w:rFonts w:ascii="Arial Narrow" w:hAnsi="Arial Narrow" w:cs="Arial Narrow" w:eastAsia="Arial Narrow"/>
          <w:b/>
          <w:i w:val="0"/>
          <w:sz w:val="22"/>
        </w:rPr>
        <w:t>Intent Recognition:</w:t>
      </w:r>
      <w:r>
        <w:rPr>
          <w:rFonts w:ascii="Arial Narrow" w:hAnsi="Arial Narrow" w:cs="Arial Narrow" w:eastAsia="Arial Narrow"/>
          <w:b w:val="0"/>
          <w:i w:val="0"/>
          <w:sz w:val="22"/>
        </w:rPr>
        <w:t xml:space="preserve"> Klassifizierung der Anfrage (FAQ, Buchung, Restaurant, Event, Corporate, Beschwerde)</w:t>
      </w:r>
    </w:p>
    <w:p>
      <w:pPr>
        <w:pStyle w:val="ListNumber"/>
        <w:spacing w:after="80"/>
      </w:pPr>
      <w:r>
        <w:rPr>
          <w:rFonts w:ascii="Arial Narrow" w:hAnsi="Arial Narrow" w:cs="Arial Narrow" w:eastAsia="Arial Narrow"/>
          <w:b/>
          <w:i w:val="0"/>
          <w:sz w:val="22"/>
        </w:rPr>
        <w:t>Retrieval:</w:t>
      </w:r>
      <w:r>
        <w:rPr>
          <w:rFonts w:ascii="Arial Narrow" w:hAnsi="Arial Narrow" w:cs="Arial Narrow" w:eastAsia="Arial Narrow"/>
          <w:b w:val="0"/>
          <w:i w:val="0"/>
          <w:sz w:val="22"/>
        </w:rPr>
        <w:t xml:space="preserve"> Abruf relevanter Dokumente aus der Vector Database</w:t>
      </w:r>
    </w:p>
    <w:p>
      <w:pPr>
        <w:pStyle w:val="ListNumber"/>
        <w:spacing w:after="80"/>
      </w:pPr>
      <w:r>
        <w:rPr>
          <w:rFonts w:ascii="Arial Narrow" w:hAnsi="Arial Narrow" w:cs="Arial Narrow" w:eastAsia="Arial Narrow"/>
          <w:b/>
          <w:i w:val="0"/>
          <w:sz w:val="22"/>
        </w:rPr>
        <w:t>Generation:</w:t>
      </w:r>
      <w:r>
        <w:rPr>
          <w:rFonts w:ascii="Arial Narrow" w:hAnsi="Arial Narrow" w:cs="Arial Narrow" w:eastAsia="Arial Narrow"/>
          <w:b w:val="0"/>
          <w:i w:val="0"/>
          <w:sz w:val="22"/>
        </w:rPr>
        <w:t xml:space="preserve"> Kontextbezogene Antwortgenerierung mit Zitat der Quelle</w:t>
      </w:r>
    </w:p>
    <w:p>
      <w:pPr>
        <w:pStyle w:val="ListNumber"/>
        <w:spacing w:after="80"/>
      </w:pPr>
      <w:r>
        <w:rPr>
          <w:rFonts w:ascii="Arial Narrow" w:hAnsi="Arial Narrow" w:cs="Arial Narrow" w:eastAsia="Arial Narrow"/>
          <w:b/>
          <w:i w:val="0"/>
          <w:sz w:val="22"/>
        </w:rPr>
        <w:t>Function Calling (bei Buchungen):</w:t>
      </w:r>
      <w:r>
        <w:rPr>
          <w:rFonts w:ascii="Arial Narrow" w:hAnsi="Arial Narrow" w:cs="Arial Narrow" w:eastAsia="Arial Narrow"/>
          <w:b w:val="0"/>
          <w:i w:val="0"/>
          <w:sz w:val="22"/>
        </w:rPr>
        <w:t xml:space="preserve"> Direkte Verbindung zum Buchungskalender, Verfugbarkeitsprufung, Reservierungsinitiierung</w:t>
      </w:r>
    </w:p>
    <w:p>
      <w:pPr>
        <w:spacing w:after="160" w:line="360" w:lineRule="auto"/>
        <w:jc w:val="left"/>
      </w:pPr>
      <w:r>
        <w:rPr>
          <w:rFonts w:ascii="Arial Narrow" w:hAnsi="Arial Narrow" w:cs="Arial Narrow" w:eastAsia="Arial Narrow"/>
          <w:b/>
          <w:i w:val="0"/>
          <w:sz w:val="22"/>
        </w:rPr>
        <w:t>Sechs Automatisierungsfunktionen:</w:t>
      </w:r>
    </w:p>
    <w:tbl>
      <w:tblPr>
        <w:tblW w:type="auto" w:w="0"/>
        <w:jc w:val="center"/>
        <w:tblLayout w:type="fixed"/>
        <w:tblLook w:firstColumn="1" w:firstRow="1" w:lastColumn="0" w:lastRow="0" w:noHBand="0" w:noVBand="1" w:val="04A0"/>
      </w:tblPr>
      <w:tblGrid>
        <w:gridCol w:w="3216"/>
        <w:gridCol w:w="3216"/>
        <w:gridCol w:w="3216"/>
      </w:tblGrid>
      <w:tr>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Funktion</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Technologie</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Automatisierungsrate</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Besucher-FAQ</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RAG + LLM (Claude-3.5-Sonnet)</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90%</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Buchungshilfe</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Function Calling + Kalender-API</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75%</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Restaurantanfragen</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Wissensdatenbank + Empfehlung</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85%</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Eventinformationen</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Echtzeit-Kalenderintegration</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80%</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Firmenvertrieb</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Lead-Qualifizierung + CRM-Routing</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70%</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Post-Besuch-Engagement</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Automatisierte Workflows</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95%</w:t>
            </w:r>
          </w:p>
        </w:tc>
      </w:tr>
    </w:tbl>
    <w:p/>
    <w:p>
      <w:pPr>
        <w:pStyle w:val="Heading3"/>
        <w:spacing w:before="240" w:after="120"/>
        <w:jc w:val="left"/>
      </w:pPr>
      <w:r>
        <w:rPr>
          <w:rFonts w:ascii="Arial Narrow" w:hAnsi="Arial Narrow" w:cs="Arial Narrow" w:eastAsia="Arial Narrow"/>
          <w:b w:val="0"/>
          <w:i w:val="0"/>
          <w:sz w:val="22"/>
        </w:rPr>
        <w:t>6.2 Operativer Impact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Metrik</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Baseline (heute)</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Ziel (Post-Implementierung)</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Delta</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Kundensupport-Reaktionszeit</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Stunden (personalabhangig)</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&lt;30 Sekunden</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-99%</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Buchungsmanagement-Aufwand</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100% manuell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25% manuell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-75%</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Marketing-Reichweite</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100% manuell</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45% automatisiert</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-55% Zeit</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Ressourcenplanung</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Intuition-basiert</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Daten-basiert</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-60% Zeit</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Besucher-Engagement</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Passiv</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Proaktiv (KI-gesteuert)</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-65% Zeit</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Mitarbeiter-Produktivitat</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Fragmentiert</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Fokussiert auf Hochwert-Aufgaben</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-50% Admin-Zeit</w:t>
            </w:r>
          </w:p>
        </w:tc>
      </w:tr>
    </w:tbl>
    <w:p/>
    <w:p>
      <w:pPr>
        <w:pStyle w:val="Heading2"/>
        <w:spacing w:before="360" w:after="160"/>
        <w:jc w:val="left"/>
      </w:pPr>
      <w:r>
        <w:rPr>
          <w:rFonts w:ascii="Arial Narrow" w:hAnsi="Arial Narrow" w:cs="Arial Narrow" w:eastAsia="Arial Narrow"/>
          <w:b w:val="0"/>
          <w:i w:val="0"/>
          <w:sz w:val="22"/>
        </w:rPr>
        <w:t>7. Marketingstrategie: SEO × GEO × AEO</w:t>
      </w:r>
    </w:p>
    <w:p>
      <w:pPr>
        <w:pStyle w:val="Heading3"/>
        <w:spacing w:before="240" w:after="120"/>
        <w:jc w:val="left"/>
      </w:pPr>
      <w:r>
        <w:rPr>
          <w:rFonts w:ascii="Arial Narrow" w:hAnsi="Arial Narrow" w:cs="Arial Narrow" w:eastAsia="Arial Narrow"/>
          <w:b w:val="0"/>
          <w:i w:val="0"/>
          <w:sz w:val="22"/>
        </w:rPr>
        <w:t>7.1 Strategische Rahmung</w:t>
      </w:r>
    </w:p>
    <w:p>
      <w:pPr>
        <w:spacing w:after="160" w:line="360" w:lineRule="auto"/>
        <w:jc w:val="left"/>
      </w:pPr>
      <w:r>
        <w:rPr>
          <w:rFonts w:ascii="Arial Narrow" w:hAnsi="Arial Narrow" w:cs="Arial Narrow" w:eastAsia="Arial Narrow"/>
          <w:b w:val="0"/>
          <w:i w:val="0"/>
          <w:sz w:val="22"/>
        </w:rPr>
        <w:t>Die Suchlandschaft hat sich bis 2026 fundamental verandert. Traditionelle SEO reicht nicht mehr aus. Unsere Strategie adressiert drei Ebenen gleichzeitig:</w:t>
      </w:r>
    </w:p>
    <w:p>
      <w:pPr>
        <w:pStyle w:val="ListBullet"/>
        <w:spacing w:after="80"/>
      </w:pPr>
      <w:r>
        <w:rPr>
          <w:rFonts w:ascii="Arial Narrow" w:hAnsi="Arial Narrow" w:cs="Arial Narrow" w:eastAsia="Arial Narrow"/>
          <w:b/>
          <w:i w:val="0"/>
          <w:sz w:val="22"/>
        </w:rPr>
        <w:t>SEO (Search Engine Optimization):</w:t>
      </w:r>
      <w:r>
        <w:rPr>
          <w:rFonts w:ascii="Arial Narrow" w:hAnsi="Arial Narrow" w:cs="Arial Narrow" w:eastAsia="Arial Narrow"/>
          <w:b w:val="0"/>
          <w:i w:val="0"/>
          <w:sz w:val="22"/>
        </w:rPr>
        <w:t xml:space="preserve"> Google und Yandex fur lokale Suchanfragen</w:t>
      </w:r>
    </w:p>
    <w:p>
      <w:pPr>
        <w:pStyle w:val="ListBullet"/>
        <w:spacing w:after="80"/>
      </w:pPr>
      <w:r>
        <w:rPr>
          <w:rFonts w:ascii="Arial Narrow" w:hAnsi="Arial Narrow" w:cs="Arial Narrow" w:eastAsia="Arial Narrow"/>
          <w:b/>
          <w:i w:val="0"/>
          <w:sz w:val="22"/>
        </w:rPr>
        <w:t>GEO (Generative Engine Optimization):</w:t>
      </w:r>
      <w:r>
        <w:rPr>
          <w:rFonts w:ascii="Arial Narrow" w:hAnsi="Arial Narrow" w:cs="Arial Narrow" w:eastAsia="Arial Narrow"/>
          <w:b w:val="0"/>
          <w:i w:val="0"/>
          <w:sz w:val="22"/>
        </w:rPr>
        <w:t xml:space="preserve"> ChatGPT, Perplexity, Google SGE fur KI-generierte Antworten</w:t>
      </w:r>
    </w:p>
    <w:p>
      <w:pPr>
        <w:pStyle w:val="ListBullet"/>
        <w:spacing w:after="80"/>
      </w:pPr>
      <w:r>
        <w:rPr>
          <w:rFonts w:ascii="Arial Narrow" w:hAnsi="Arial Narrow" w:cs="Arial Narrow" w:eastAsia="Arial Narrow"/>
          <w:b/>
          <w:i w:val="0"/>
          <w:sz w:val="22"/>
        </w:rPr>
        <w:t>AEO (Answer Engine Optimization):</w:t>
      </w:r>
      <w:r>
        <w:rPr>
          <w:rFonts w:ascii="Arial Narrow" w:hAnsi="Arial Narrow" w:cs="Arial Narrow" w:eastAsia="Arial Narrow"/>
          <w:b w:val="0"/>
          <w:i w:val="0"/>
          <w:sz w:val="22"/>
        </w:rPr>
        <w:t xml:space="preserve"> Alexa, Siri, Google Assistant fur Sprachsuchen</w:t>
      </w:r>
    </w:p>
    <w:p>
      <w:pPr>
        <w:pStyle w:val="Heading3"/>
        <w:spacing w:before="240" w:after="120"/>
        <w:jc w:val="left"/>
      </w:pPr>
      <w:r>
        <w:rPr>
          <w:rFonts w:ascii="Arial Narrow" w:hAnsi="Arial Narrow" w:cs="Arial Narrow" w:eastAsia="Arial Narrow"/>
          <w:b w:val="0"/>
          <w:i w:val="0"/>
          <w:sz w:val="22"/>
        </w:rPr>
        <w:t>7.2 Lokale SEO-Strategie</w:t>
      </w:r>
    </w:p>
    <w:p>
      <w:pPr>
        <w:spacing w:after="160" w:line="360" w:lineRule="auto"/>
        <w:jc w:val="left"/>
      </w:pPr>
      <w:r>
        <w:rPr>
          <w:rFonts w:ascii="Arial Narrow" w:hAnsi="Arial Narrow" w:cs="Arial Narrow" w:eastAsia="Arial Narrow"/>
          <w:b/>
          <w:i w:val="0"/>
          <w:sz w:val="22"/>
        </w:rPr>
        <w:t>Google My Business &amp; Yandex.Karten:</w:t>
      </w:r>
    </w:p>
    <w:p>
      <w:pPr>
        <w:pStyle w:val="ListBullet"/>
        <w:spacing w:after="80"/>
      </w:pPr>
      <w:r>
        <w:rPr>
          <w:rFonts w:ascii="Arial Narrow" w:hAnsi="Arial Narrow" w:cs="Arial Narrow" w:eastAsia="Arial Narrow"/>
          <w:b w:val="0"/>
          <w:i w:val="0"/>
          <w:sz w:val="22"/>
        </w:rPr>
        <w:t>Vollstandige Optimierung aller Eintrage mit hochwertigen Fotos, aktuellen Offnungszeiten, direktem Buchungslink</w:t>
      </w:r>
    </w:p>
    <w:p>
      <w:pPr>
        <w:pStyle w:val="ListBullet"/>
        <w:spacing w:after="80"/>
      </w:pPr>
      <w:r>
        <w:rPr>
          <w:rFonts w:ascii="Arial Narrow" w:hAnsi="Arial Narrow" w:cs="Arial Narrow" w:eastAsia="Arial Narrow"/>
          <w:b w:val="0"/>
          <w:i w:val="0"/>
          <w:sz w:val="22"/>
        </w:rPr>
        <w:t>Wochentliche Posts zu Events und saisonalen Angeboten</w:t>
      </w:r>
    </w:p>
    <w:p>
      <w:pPr>
        <w:pStyle w:val="ListBullet"/>
        <w:spacing w:after="80"/>
      </w:pPr>
      <w:r>
        <w:rPr>
          <w:rFonts w:ascii="Arial Narrow" w:hAnsi="Arial Narrow" w:cs="Arial Narrow" w:eastAsia="Arial Narrow"/>
          <w:b w:val="0"/>
          <w:i w:val="0"/>
          <w:sz w:val="22"/>
        </w:rPr>
        <w:t>Aktives Bewertungsmanagement (Ziel: 50+ neue 5-Sterne-Bewertungen in 6 Monaten)</w:t>
      </w:r>
    </w:p>
    <w:p>
      <w:pPr>
        <w:spacing w:after="160" w:line="360" w:lineRule="auto"/>
        <w:jc w:val="left"/>
      </w:pPr>
      <w:r>
        <w:rPr>
          <w:rFonts w:ascii="Arial Narrow" w:hAnsi="Arial Narrow" w:cs="Arial Narrow" w:eastAsia="Arial Narrow"/>
          <w:b/>
          <w:i w:val="0"/>
          <w:sz w:val="22"/>
        </w:rPr>
        <w:t>Lokale Keyword-Strategie:</w:t>
      </w:r>
      <w:r>
        <w:rPr>
          <w:rFonts w:ascii="Arial Narrow" w:hAnsi="Arial Narrow" w:cs="Arial Narrow" w:eastAsia="Arial Narrow"/>
          <w:b w:val="0"/>
          <w:i w:val="0"/>
          <w:sz w:val="22"/>
        </w:rPr>
        <w:t xml:space="preserve"> Primare Keywords: "Agritourismus Kaliningrad", "Familienausflug Kaliningrader Oblast", "Maisfeld-Labyrinth Russland", "Firmenevent Landwirtschaftspark", "Geburtstagsfeier Nutztiere Kaliningrad"</w:t>
      </w:r>
    </w:p>
    <w:p>
      <w:pPr>
        <w:spacing w:after="160" w:line="360" w:lineRule="auto"/>
        <w:jc w:val="left"/>
      </w:pPr>
      <w:r>
        <w:rPr>
          <w:rFonts w:ascii="Arial Narrow" w:hAnsi="Arial Narrow" w:cs="Arial Narrow" w:eastAsia="Arial Narrow"/>
          <w:b/>
          <w:i w:val="0"/>
          <w:sz w:val="22"/>
        </w:rPr>
        <w:t>Lokale Backlinks:</w:t>
      </w:r>
      <w:r>
        <w:rPr>
          <w:rFonts w:ascii="Arial Narrow" w:hAnsi="Arial Narrow" w:cs="Arial Narrow" w:eastAsia="Arial Narrow"/>
          <w:b w:val="0"/>
          <w:i w:val="0"/>
          <w:sz w:val="22"/>
        </w:rPr>
        <w:t xml:space="preserve"> Partnerschaften mit Kaliningrad-regionalem Tourismusverband, Bildungseinrichtungen, lokalen Nachrichtenportalen.</w:t>
      </w:r>
    </w:p>
    <w:p>
      <w:pPr>
        <w:pStyle w:val="Heading3"/>
        <w:spacing w:before="240" w:after="120"/>
        <w:jc w:val="left"/>
      </w:pPr>
      <w:r>
        <w:rPr>
          <w:rFonts w:ascii="Arial Narrow" w:hAnsi="Arial Narrow" w:cs="Arial Narrow" w:eastAsia="Arial Narrow"/>
          <w:b w:val="0"/>
          <w:i w:val="0"/>
          <w:sz w:val="22"/>
        </w:rPr>
        <w:t>7.3 GEO &amp; AEO</w:t>
      </w:r>
    </w:p>
    <w:p>
      <w:pPr>
        <w:spacing w:after="160" w:line="360" w:lineRule="auto"/>
        <w:jc w:val="left"/>
      </w:pPr>
      <w:r>
        <w:rPr>
          <w:rFonts w:ascii="Arial Narrow" w:hAnsi="Arial Narrow" w:cs="Arial Narrow" w:eastAsia="Arial Narrow"/>
          <w:b/>
          <w:i w:val="0"/>
          <w:sz w:val="22"/>
        </w:rPr>
        <w:t>Generative Engine Optimization:</w:t>
      </w:r>
    </w:p>
    <w:p>
      <w:pPr>
        <w:pStyle w:val="ListBullet"/>
        <w:spacing w:after="80"/>
      </w:pPr>
      <w:r>
        <w:rPr>
          <w:rFonts w:ascii="Arial Narrow" w:hAnsi="Arial Narrow" w:cs="Arial Narrow" w:eastAsia="Arial Narrow"/>
          <w:b w:val="0"/>
          <w:i w:val="0"/>
          <w:sz w:val="22"/>
        </w:rPr>
        <w:t>Strukturierte Inhalte mit Schema.org-Markup (Organization, LocalBusiness, Event, FAQPage)</w:t>
      </w:r>
    </w:p>
    <w:p>
      <w:pPr>
        <w:pStyle w:val="ListBullet"/>
        <w:spacing w:after="80"/>
      </w:pPr>
      <w:r>
        <w:rPr>
          <w:rFonts w:ascii="Arial Narrow" w:hAnsi="Arial Narrow" w:cs="Arial Narrow" w:eastAsia="Arial Narrow"/>
          <w:b w:val="0"/>
          <w:i w:val="0"/>
          <w:sz w:val="22"/>
        </w:rPr>
        <w:t>EEAT-Optimierung: Autorenprofile, transparente Quellenangaben, Experteninterviews</w:t>
      </w:r>
    </w:p>
    <w:p>
      <w:pPr>
        <w:pStyle w:val="ListBullet"/>
        <w:spacing w:after="80"/>
      </w:pPr>
      <w:r>
        <w:rPr>
          <w:rFonts w:ascii="Arial Narrow" w:hAnsi="Arial Narrow" w:cs="Arial Narrow" w:eastAsia="Arial Narrow"/>
          <w:b w:val="0"/>
          <w:i w:val="0"/>
          <w:sz w:val="22"/>
        </w:rPr>
        <w:t>Prasenz in Wikidata und regionalen Nachrichtenportalen (KI-Trainingsdaten)</w:t>
      </w:r>
    </w:p>
    <w:p>
      <w:pPr>
        <w:spacing w:after="160" w:line="360" w:lineRule="auto"/>
        <w:jc w:val="left"/>
      </w:pPr>
      <w:r>
        <w:rPr>
          <w:rFonts w:ascii="Arial Narrow" w:hAnsi="Arial Narrow" w:cs="Arial Narrow" w:eastAsia="Arial Narrow"/>
          <w:b/>
          <w:i w:val="0"/>
          <w:sz w:val="22"/>
        </w:rPr>
        <w:t>Answer Engine Optimization:</w:t>
      </w:r>
    </w:p>
    <w:p>
      <w:pPr>
        <w:pStyle w:val="ListBullet"/>
        <w:spacing w:after="80"/>
      </w:pPr>
      <w:r>
        <w:rPr>
          <w:rFonts w:ascii="Arial Narrow" w:hAnsi="Arial Narrow" w:cs="Arial Narrow" w:eastAsia="Arial Narrow"/>
          <w:b w:val="0"/>
          <w:i w:val="0"/>
          <w:sz w:val="22"/>
        </w:rPr>
        <w:t>Conversational Content-Formatierung</w:t>
      </w:r>
    </w:p>
    <w:p>
      <w:pPr>
        <w:pStyle w:val="ListBullet"/>
        <w:spacing w:after="80"/>
      </w:pPr>
      <w:r>
        <w:rPr>
          <w:rFonts w:ascii="Arial Narrow" w:hAnsi="Arial Narrow" w:cs="Arial Narrow" w:eastAsia="Arial Narrow"/>
          <w:b w:val="0"/>
          <w:i w:val="0"/>
          <w:sz w:val="22"/>
        </w:rPr>
        <w:t>FAQ-Schema-Markup auf allen Service-Seiten</w:t>
      </w:r>
    </w:p>
    <w:p>
      <w:pPr>
        <w:pStyle w:val="ListBullet"/>
        <w:spacing w:after="80"/>
      </w:pPr>
      <w:r>
        <w:rPr>
          <w:rFonts w:ascii="Arial Narrow" w:hAnsi="Arial Narrow" w:cs="Arial Narrow" w:eastAsia="Arial Narrow"/>
          <w:b w:val="0"/>
          <w:i w:val="0"/>
          <w:sz w:val="22"/>
        </w:rPr>
        <w:t>Featured-Snippet-optimierte Antwortformate (30–40 Worter, direkte Antwort)</w:t>
      </w:r>
    </w:p>
    <w:p>
      <w:pPr>
        <w:pStyle w:val="Heading3"/>
        <w:spacing w:before="240" w:after="120"/>
        <w:jc w:val="left"/>
      </w:pPr>
      <w:r>
        <w:rPr>
          <w:rFonts w:ascii="Arial Narrow" w:hAnsi="Arial Narrow" w:cs="Arial Narrow" w:eastAsia="Arial Narrow"/>
          <w:b w:val="0"/>
          <w:i w:val="0"/>
          <w:sz w:val="22"/>
        </w:rPr>
        <w:t>7.4 Content-Marketing-Roadmap</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Saule</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Formate</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Frequenz</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Ziel</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Bildungsinhalte</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Blog, Video, Infografiken</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2x/Woche</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SEO-Autoritat, GEO-Referenzierung</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Erlebnisberichte</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Besucherstorys, Event-Highlights</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1x/Woche</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Sozialer Beweis, Conversion</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Praktische Guides</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"Was Sie wissen mussen", Rezepte, Saison-Guides</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1x/Woche</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AEO, Featured Snippets</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Visueller Content</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Drohnenaufnahmen, 360deg-Panoramen, Video-Clips</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2x/Woche</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Social Media, Engagement</w:t>
            </w:r>
          </w:p>
        </w:tc>
      </w:tr>
    </w:tbl>
    <w:p/>
    <w:p>
      <w:pPr>
        <w:pStyle w:val="Heading2"/>
        <w:spacing w:before="360" w:after="160"/>
        <w:jc w:val="left"/>
      </w:pPr>
      <w:r>
        <w:rPr>
          <w:rFonts w:ascii="Arial Narrow" w:hAnsi="Arial Narrow" w:cs="Arial Narrow" w:eastAsia="Arial Narrow"/>
          <w:b w:val="0"/>
          <w:i w:val="0"/>
          <w:sz w:val="22"/>
        </w:rPr>
        <w:t>8. Technologiearchitektur &amp; Systemdesign</w:t>
      </w:r>
    </w:p>
    <w:p>
      <w:pPr>
        <w:pStyle w:val="Heading3"/>
        <w:spacing w:before="240" w:after="120"/>
        <w:jc w:val="left"/>
      </w:pPr>
      <w:r>
        <w:rPr>
          <w:rFonts w:ascii="Arial Narrow" w:hAnsi="Arial Narrow" w:cs="Arial Narrow" w:eastAsia="Arial Narrow"/>
          <w:b w:val="0"/>
          <w:i w:val="0"/>
          <w:sz w:val="22"/>
        </w:rPr>
        <w:t>8.1 Empfohlener Tech-Stack</w:t>
      </w:r>
    </w:p>
    <w:tbl>
      <w:tblPr>
        <w:tblW w:type="auto" w:w="0"/>
        <w:jc w:val="center"/>
        <w:tblLayout w:type="fixed"/>
        <w:tblLook w:firstColumn="1" w:firstRow="1" w:lastColumn="0" w:lastRow="0" w:noHBand="0" w:noVBand="1" w:val="04A0"/>
      </w:tblPr>
      <w:tblGrid>
        <w:gridCol w:w="3216"/>
        <w:gridCol w:w="3216"/>
        <w:gridCol w:w="3216"/>
      </w:tblGrid>
      <w:tr>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Komponente</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Technologie</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Begrundung</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Frontend Framework</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Next.js 15 (App Router)</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SSR, API-Routen, Bildoptimierung, SEO-friendly</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Styling</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Tailwind CSS 3.4</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Utility-first, schnelle Entwicklung, konsistentes Design</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UI-Komponenten</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shadcn/ui</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Barrierefrei, anpassbar, kein Design-Lock-in</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Animation</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Framer Motion</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Performance-optimierte Animationen, geringe Bundle-Grosse</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KI-Integration</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OpenClaw SDK</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Open Source, kein Vendor Lock-in, Mehrsprachigkeit</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Buchungs-Engine</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Cal.com API + Custom</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Echtzeit-Verfugbarkeit, QR-Checkin, Zahlungsintegration</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CMS</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Sanity.io</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Headless, nicht-technische Redaktion, strukturierte Inhalte</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Analytics</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Plausible + Mixpanel</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Datenschutz-konform, Event-Tracking, Funnel-Analyse</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SEO</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Next.js Metadata API, Schema.org</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Automatische Meta-Tags, strukturierte Daten</w:t>
            </w:r>
          </w:p>
        </w:tc>
      </w:tr>
    </w:tbl>
    <w:p/>
    <w:p>
      <w:pPr>
        <w:pStyle w:val="Heading3"/>
        <w:spacing w:before="240" w:after="120"/>
        <w:jc w:val="left"/>
      </w:pPr>
      <w:r>
        <w:rPr>
          <w:rFonts w:ascii="Arial Narrow" w:hAnsi="Arial Narrow" w:cs="Arial Narrow" w:eastAsia="Arial Narrow"/>
          <w:b w:val="0"/>
          <w:i w:val="0"/>
          <w:sz w:val="22"/>
        </w:rPr>
        <w:t>8.2 System-Integrations-Diagramm</w:t>
      </w:r>
    </w:p>
    <w:tbl>
      <w:tblPr>
        <w:tblW w:type="auto" w:w="0"/>
        <w:jc w:val="center"/>
        <w:tblLayout w:type="fixed"/>
        <w:tblLook w:firstColumn="1" w:firstRow="1" w:lastColumn="0" w:lastRow="0" w:noHBand="0" w:noVBand="1" w:val="04A0"/>
      </w:tblPr>
      <w:tblGrid>
        <w:gridCol w:w="9648"/>
      </w:tblGrid>
      <w:tr>
        <w:tc>
          <w:tcPr>
            <w:tcW w:type="dxa" w:w="8640"/>
            <w:shd w:fill="F5F5F0"/>
            <w:tcBorders>
              <w:top w:val="single" w:sz="6" w:space="0" w:color="1B4332"/>
              <w:left w:val="single" w:sz="6" w:space="0" w:color="1B4332"/>
              <w:bottom w:val="single" w:sz="6" w:space="0" w:color="1B4332"/>
              <w:right w:val="single" w:sz="6" w:space="0" w:color="1B4332"/>
            </w:tcBorders>
            <w:vAlign w:val="top"/>
          </w:tcPr>
          <w:p>
            <w:pPr>
              <w:spacing w:after="40"/>
              <w:jc w:val="left"/>
            </w:pPr>
            <w:r>
              <w:rPr>
                <w:rFonts w:ascii="Courier New" w:hAnsi="Courier New" w:cs="Courier New" w:eastAsia="Courier New"/>
                <w:b w:val="0"/>
                <w:i w:val="0"/>
                <w:color w:val="2C2C2C"/>
                <w:sz w:val="18"/>
              </w:rPr>
              <w:t>Besucher (4 Kanale)</w:t>
            </w:r>
            <w:r>
              <w:br/>
            </w:r>
            <w:r>
              <w:rPr>
                <w:rFonts w:ascii="Courier New" w:hAnsi="Courier New" w:cs="Courier New" w:eastAsia="Courier New"/>
                <w:b w:val="0"/>
                <w:i w:val="0"/>
                <w:color w:val="2C2C2C"/>
                <w:sz w:val="18"/>
              </w:rPr>
              <w:t xml:space="preserve">  -&gt; [Website] + [Telegram] + [VK] + [Google/Yandex]</w:t>
            </w:r>
            <w:r>
              <w:br/>
            </w:r>
            <w:r>
              <w:rPr>
                <w:rFonts w:ascii="Courier New" w:hAnsi="Courier New" w:cs="Courier New" w:eastAsia="Courier New"/>
                <w:b w:val="0"/>
                <w:i w:val="0"/>
                <w:color w:val="2C2C2C"/>
                <w:sz w:val="18"/>
              </w:rPr>
              <w:t xml:space="preserve">       |              |            |           |</w:t>
            </w:r>
            <w:r>
              <w:br/>
            </w:r>
            <w:r>
              <w:rPr>
                <w:rFonts w:ascii="Courier New" w:hAnsi="Courier New" w:cs="Courier New" w:eastAsia="Courier New"/>
                <w:b w:val="0"/>
                <w:i w:val="0"/>
                <w:color w:val="2C2C2C"/>
                <w:sz w:val="18"/>
              </w:rPr>
              <w:t xml:space="preserve">       v              v            v           v</w:t>
            </w:r>
            <w:r>
              <w:br/>
            </w:r>
            <w:r>
              <w:rPr>
                <w:rFonts w:ascii="Courier New" w:hAnsi="Courier New" w:cs="Courier New" w:eastAsia="Courier New"/>
                <w:b w:val="0"/>
                <w:i w:val="0"/>
                <w:color w:val="2C2C2C"/>
                <w:sz w:val="18"/>
              </w:rPr>
              <w:t xml:space="preserve">  [Next.js SSR]  [OpenClaw KI]  [Social API]  [SEO/GEO/AEO]</w:t>
            </w:r>
            <w:r>
              <w:br/>
            </w:r>
            <w:r>
              <w:rPr>
                <w:rFonts w:ascii="Courier New" w:hAnsi="Courier New" w:cs="Courier New" w:eastAsia="Courier New"/>
                <w:b w:val="0"/>
                <w:i w:val="0"/>
                <w:color w:val="2C2C2C"/>
                <w:sz w:val="18"/>
              </w:rPr>
              <w:t xml:space="preserve">       |              |            |           |</w:t>
            </w:r>
            <w:r>
              <w:br/>
            </w:r>
            <w:r>
              <w:rPr>
                <w:rFonts w:ascii="Courier New" w:hAnsi="Courier New" w:cs="Courier New" w:eastAsia="Courier New"/>
                <w:b w:val="0"/>
                <w:i w:val="0"/>
                <w:color w:val="2C2C2C"/>
                <w:sz w:val="18"/>
              </w:rPr>
              <w:t xml:space="preserve">       +--------------+------------+-----------+</w:t>
            </w:r>
            <w:r>
              <w:br/>
            </w:r>
            <w:r>
              <w:rPr>
                <w:rFonts w:ascii="Courier New" w:hAnsi="Courier New" w:cs="Courier New" w:eastAsia="Courier New"/>
                <w:b w:val="0"/>
                <w:i w:val="0"/>
                <w:color w:val="2C2C2C"/>
                <w:sz w:val="18"/>
              </w:rPr>
              <w:t xml:space="preserve">                      |</w:t>
            </w:r>
            <w:r>
              <w:br/>
            </w:r>
            <w:r>
              <w:rPr>
                <w:rFonts w:ascii="Courier New" w:hAnsi="Courier New" w:cs="Courier New" w:eastAsia="Courier New"/>
                <w:b w:val="0"/>
                <w:i w:val="0"/>
                <w:color w:val="2C2C2C"/>
                <w:sz w:val="18"/>
              </w:rPr>
              <w:t xml:space="preserve">              [Buchungs-Engine]</w:t>
            </w:r>
            <w:r>
              <w:br/>
            </w:r>
            <w:r>
              <w:rPr>
                <w:rFonts w:ascii="Courier New" w:hAnsi="Courier New" w:cs="Courier New" w:eastAsia="Courier New"/>
                <w:b w:val="0"/>
                <w:i w:val="0"/>
                <w:color w:val="2C2C2C"/>
                <w:sz w:val="18"/>
              </w:rPr>
              <w:t xml:space="preserve">              [CRM + Analytics]</w:t>
            </w:r>
            <w:r>
              <w:br/>
            </w:r>
            <w:r>
              <w:rPr>
                <w:rFonts w:ascii="Courier New" w:hAnsi="Courier New" w:cs="Courier New" w:eastAsia="Courier New"/>
                <w:b w:val="0"/>
                <w:i w:val="0"/>
                <w:color w:val="2C2C2C"/>
                <w:sz w:val="18"/>
              </w:rPr>
              <w:t xml:space="preserve">              [E-Mail Automation]</w:t>
            </w:r>
            <w:r>
              <w:br/>
            </w:r>
            <w:r>
              <w:rPr>
                <w:rFonts w:ascii="Courier New" w:hAnsi="Courier New" w:cs="Courier New" w:eastAsia="Courier New"/>
                <w:b w:val="0"/>
                <w:i w:val="0"/>
                <w:color w:val="2C2C2C"/>
                <w:sz w:val="18"/>
              </w:rPr>
              <w:t xml:space="preserve">                      |</w:t>
            </w:r>
            <w:r>
              <w:br/>
            </w:r>
            <w:r>
              <w:rPr>
                <w:rFonts w:ascii="Courier New" w:hAnsi="Courier New" w:cs="Courier New" w:eastAsia="Courier New"/>
                <w:b w:val="0"/>
                <w:i w:val="0"/>
                <w:color w:val="2C2C2C"/>
                <w:sz w:val="18"/>
              </w:rPr>
              <w:t xml:space="preserve">              [Datengesteuerte Entscheidungen]</w:t>
            </w:r>
          </w:p>
        </w:tc>
      </w:tr>
    </w:tbl>
    <w:p>
      <w:pPr>
        <w:spacing w:before="80" w:after="240"/>
        <w:jc w:val="center"/>
      </w:pPr>
      <w:r>
        <w:rPr>
          <w:rFonts w:ascii="Arial Narrow" w:hAnsi="Arial Narrow" w:cs="Arial Narrow" w:eastAsia="Arial Narrow"/>
          <w:b w:val="0"/>
          <w:i/>
          <w:color w:val="5C5F62"/>
          <w:sz w:val="20"/>
        </w:rPr>
        <w:t>Abbildung: 8.2 System-Integrations-Diagramm</w:t>
      </w:r>
    </w:p>
    <w:p>
      <w:pPr>
        <w:pStyle w:val="Heading2"/>
        <w:spacing w:before="360" w:after="160"/>
        <w:jc w:val="left"/>
      </w:pPr>
      <w:r>
        <w:rPr>
          <w:rFonts w:ascii="Arial Narrow" w:hAnsi="Arial Narrow" w:cs="Arial Narrow" w:eastAsia="Arial Narrow"/>
          <w:b w:val="0"/>
          <w:i w:val="0"/>
          <w:sz w:val="22"/>
        </w:rPr>
        <w:t>9. Finanzmodell &amp; Investitionsrahmen</w:t>
      </w:r>
    </w:p>
    <w:p>
      <w:pPr>
        <w:pStyle w:val="Heading3"/>
        <w:spacing w:before="240" w:after="120"/>
        <w:jc w:val="left"/>
      </w:pPr>
      <w:r>
        <w:rPr>
          <w:rFonts w:ascii="Arial Narrow" w:hAnsi="Arial Narrow" w:cs="Arial Narrow" w:eastAsia="Arial Narrow"/>
          <w:b w:val="0"/>
          <w:i w:val="0"/>
          <w:sz w:val="22"/>
        </w:rPr>
        <w:t>9.1 Kostenaufstellung</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Komponente</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Entwicklung ($)</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Jahrlich ($)</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Phase</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Website (Next.js + shadcn/ui)</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8.000–15.000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1.200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KI-Chatbot (OpenClaw)</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2.000–4.000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600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Buchungssystem</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5.000–8.000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1.800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SEO/GEO/AEO Optimierung</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3.000–5.000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2.400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1–2</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E-Mail-Marketing + CRM</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1.000–2.000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600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Content-Produktion</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2.000–4.000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3.600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Eventmanagement-System</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3.000–5.000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400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VR-Farmtour</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4.000–8.000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1.200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3</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Gesamt</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28.000–51.000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11.800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p>
        </w:tc>
      </w:tr>
    </w:tbl>
    <w:p/>
    <w:p>
      <w:pPr>
        <w:spacing w:after="200"/>
        <w:ind w:left="360"/>
        <w:jc w:val="left"/>
      </w:pPr>
    </w:p>
    <w:tbl>
      <w:tblPr>
        <w:tblW w:type="auto" w:w="0"/>
        <w:jc w:val="left"/>
        <w:tblLayout w:type="fixed"/>
        <w:tblLook w:firstColumn="1" w:firstRow="1" w:lastColumn="0" w:lastRow="0" w:noHBand="0" w:noVBand="1" w:val="04A0"/>
      </w:tblPr>
      <w:tblGrid>
        <w:gridCol w:w="9648"/>
      </w:tblGrid>
      <w:tr>
        <w:tc>
          <w:tcPr>
            <w:tcW w:type="dxa" w:w="8640"/>
            <w:vAlign w:val="center"/>
            <w:shd w:fill="F5F5F0"/>
            <w:tcBorders>
              <w:top w:val="single" w:sz="8" w:space="0" w:color="D4A373"/>
              <w:left w:val="single" w:sz="8" w:space="0" w:color="D4A373"/>
              <w:bottom w:val="single" w:sz="8" w:space="0" w:color="D4A373"/>
              <w:right w:val="single" w:sz="8" w:space="0" w:color="D4A373"/>
            </w:tcBorders>
          </w:tcPr>
          <w:p>
            <w:pPr>
              <w:jc w:val="left"/>
            </w:pPr>
            <w:r>
              <w:rPr>
                <w:rFonts w:ascii="Arial Narrow" w:hAnsi="Arial Narrow" w:cs="Arial Narrow" w:eastAsia="Arial Narrow"/>
                <w:b w:val="0"/>
                <w:i/>
                <w:color w:val="2C2C2C"/>
                <w:sz w:val="22"/>
              </w:rPr>
              <w:t>**Hinweis:** Der Mittelwert der Gesamtinvestition liegt bei **39.500 USD**. Fur eine konservative Planung empfehlen wir ein Budget von **40.000 USD** fur Phase 1–3.</w:t>
            </w:r>
          </w:p>
        </w:tc>
      </w:tr>
    </w:tbl>
    <w:p>
      <w:pPr>
        <w:pStyle w:val="Heading3"/>
        <w:spacing w:before="240" w:after="120"/>
        <w:jc w:val="left"/>
      </w:pPr>
      <w:r>
        <w:rPr>
          <w:rFonts w:ascii="Arial Narrow" w:hAnsi="Arial Narrow" w:cs="Arial Narrow" w:eastAsia="Arial Narrow"/>
          <w:b w:val="0"/>
          <w:i w:val="0"/>
          <w:sz w:val="22"/>
        </w:rPr>
        <w:t>9.2 Renditeprojektion (12-Monats-Horizont)</w:t>
      </w:r>
    </w:p>
    <w:p>
      <w:pPr>
        <w:spacing w:after="160" w:line="360" w:lineRule="auto"/>
        <w:jc w:val="left"/>
      </w:pPr>
      <w:r>
        <w:rPr>
          <w:rFonts w:ascii="Arial Narrow" w:hAnsi="Arial Narrow" w:cs="Arial Narrow" w:eastAsia="Arial Narrow"/>
          <w:b/>
          <w:i w:val="0"/>
          <w:sz w:val="22"/>
        </w:rPr>
        <w:t>Annahmen:</w:t>
      </w:r>
    </w:p>
    <w:p>
      <w:pPr>
        <w:pStyle w:val="ListBullet"/>
        <w:spacing w:after="80"/>
      </w:pPr>
      <w:r>
        <w:rPr>
          <w:rFonts w:ascii="Arial Narrow" w:hAnsi="Arial Narrow" w:cs="Arial Narrow" w:eastAsia="Arial Narrow"/>
          <w:b w:val="0"/>
          <w:i w:val="0"/>
          <w:sz w:val="22"/>
        </w:rPr>
        <w:t>Saisonale Besucherzahl: 800/Woche x 20 Wochen = 16.000 Besucher/Saison</w:t>
      </w:r>
    </w:p>
    <w:p>
      <w:pPr>
        <w:pStyle w:val="ListBullet"/>
        <w:spacing w:after="80"/>
      </w:pPr>
      <w:r>
        <w:rPr>
          <w:rFonts w:ascii="Arial Narrow" w:hAnsi="Arial Narrow" w:cs="Arial Narrow" w:eastAsia="Arial Narrow"/>
          <w:b w:val="0"/>
          <w:i w:val="0"/>
          <w:sz w:val="22"/>
        </w:rPr>
        <w:t>Durchschnittlicher Ticketpreis: 350 Rubel = ca. 4,50 USD</w:t>
      </w:r>
    </w:p>
    <w:p>
      <w:pPr>
        <w:pStyle w:val="ListBullet"/>
        <w:spacing w:after="80"/>
      </w:pPr>
      <w:r>
        <w:rPr>
          <w:rFonts w:ascii="Arial Narrow" w:hAnsi="Arial Narrow" w:cs="Arial Narrow" w:eastAsia="Arial Narrow"/>
          <w:b w:val="0"/>
          <w:i w:val="0"/>
          <w:sz w:val="22"/>
        </w:rPr>
        <w:t>Aktueller Jahresumsatz (geschatzt): ~187.000 USD</w:t>
      </w:r>
    </w:p>
    <w:p>
      <w:pPr>
        <w:pStyle w:val="ListBullet"/>
        <w:spacing w:after="80"/>
      </w:pPr>
      <w:r>
        <w:rPr>
          <w:rFonts w:ascii="Arial Narrow" w:hAnsi="Arial Narrow" w:cs="Arial Narrow" w:eastAsia="Arial Narrow"/>
          <w:b w:val="0"/>
          <w:i w:val="0"/>
          <w:sz w:val="22"/>
        </w:rPr>
        <w:t>Konservativer Umsatzanstieg durch Digitalisierung: +50%</w:t>
      </w:r>
    </w:p>
    <w:tbl>
      <w:tblPr>
        <w:tblW w:type="auto" w:w="0"/>
        <w:jc w:val="center"/>
        <w:tblLayout w:type="fixed"/>
        <w:tblLook w:firstColumn="1" w:firstRow="1" w:lastColumn="0" w:lastRow="0" w:noHBand="0" w:noVBand="1" w:val="04A0"/>
      </w:tblPr>
      <w:tblGrid>
        <w:gridCol w:w="4824"/>
        <w:gridCol w:w="4824"/>
      </w:tblGrid>
      <w:tr>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Metrik</w:t>
            </w:r>
          </w:p>
        </w:tc>
        <w:tc>
          <w:tcPr>
            <w:tcW w:type="dxa" w:w="4536"/>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Wert</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Projizierter Jahresumsatz (12 Mo.)</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~280.000 USD</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Zusatzlicher Umsatz durch Digitalisierung</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~93.000 USD</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Zusatzliche Betriebskosten (jahrlich)</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~11.800 USD</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Zusatzlicher Gewinn (bei 40% Marge)</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~37.200 USD</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Break-even-Zeitpunkt</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~4,8 Monate</w:t>
            </w:r>
          </w:p>
        </w:tc>
      </w:tr>
      <w:tr>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ROI (Jahr 1)</w:t>
            </w:r>
          </w:p>
        </w:tc>
        <w:tc>
          <w:tcPr>
            <w:tcW w:type="dxa" w:w="4536"/>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~94%</w:t>
            </w:r>
          </w:p>
        </w:tc>
      </w:tr>
      <w:tr>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ROI (Jahr 2)</w:t>
            </w:r>
          </w:p>
        </w:tc>
        <w:tc>
          <w:tcPr>
            <w:tcW w:type="dxa" w:w="4536"/>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~236%</w:t>
            </w:r>
          </w:p>
        </w:tc>
      </w:tr>
    </w:tbl>
    <w:p/>
    <w:p>
      <w:pPr>
        <w:pStyle w:val="Heading2"/>
        <w:spacing w:before="360" w:after="160"/>
        <w:jc w:val="left"/>
      </w:pPr>
      <w:r>
        <w:rPr>
          <w:rFonts w:ascii="Arial Narrow" w:hAnsi="Arial Narrow" w:cs="Arial Narrow" w:eastAsia="Arial Narrow"/>
          <w:b w:val="0"/>
          <w:i w:val="0"/>
          <w:sz w:val="22"/>
        </w:rPr>
        <w:t>10. Implementierungsroadmap</w:t>
      </w:r>
    </w:p>
    <w:p>
      <w:pPr>
        <w:pStyle w:val="Heading3"/>
        <w:spacing w:before="240" w:after="120"/>
        <w:jc w:val="left"/>
      </w:pPr>
      <w:r>
        <w:rPr>
          <w:rFonts w:ascii="Arial Narrow" w:hAnsi="Arial Narrow" w:cs="Arial Narrow" w:eastAsia="Arial Narrow"/>
          <w:b w:val="0"/>
          <w:i w:val="0"/>
          <w:sz w:val="22"/>
        </w:rPr>
        <w:t>Phase 1: Quick Wins (Monat 1–2) – 19.000–22.000 $</w:t>
      </w:r>
    </w:p>
    <w:tbl>
      <w:tblPr>
        <w:tblW w:type="auto" w:w="0"/>
        <w:jc w:val="center"/>
        <w:tblLayout w:type="fixed"/>
        <w:tblLook w:firstColumn="1" w:firstRow="1" w:lastColumn="0" w:lastRow="0" w:noHBand="0" w:noVBand="1" w:val="04A0"/>
      </w:tblPr>
      <w:tblGrid>
        <w:gridCol w:w="3216"/>
        <w:gridCol w:w="3216"/>
        <w:gridCol w:w="3216"/>
      </w:tblGrid>
      <w:tr>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Deliverable</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Zeit</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Erfolgsmetrik</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KI-Chatbot auf Telegram und Website</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1–2</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&lt;2s Antwortzeit, 80%+ FAQ-Abdeckung</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Website-Relaunch mit Next.js</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Woche 2–5</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PageSpeed &gt;90, Mobile-Score &gt;95</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Online-Booking-Widget (Grillkuppeln)</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3–4</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Self-Service-Rate &gt;60%</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SEO-Grundoptimierung</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Woche 1–6</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GMB vollstandig, 20 lokale Keywords</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Analytics-Baseline</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1</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Tracking implementiert</w:t>
            </w:r>
          </w:p>
        </w:tc>
      </w:tr>
    </w:tbl>
    <w:p/>
    <w:p>
      <w:pPr>
        <w:spacing w:after="160" w:line="360" w:lineRule="auto"/>
        <w:jc w:val="left"/>
      </w:pPr>
      <w:r>
        <w:rPr>
          <w:rFonts w:ascii="Arial Narrow" w:hAnsi="Arial Narrow" w:cs="Arial Narrow" w:eastAsia="Arial Narrow"/>
          <w:b/>
          <w:i w:val="0"/>
          <w:sz w:val="22"/>
        </w:rPr>
        <w:t>Meilenstein M1 (Ende Monat 2):</w:t>
      </w:r>
      <w:r>
        <w:rPr>
          <w:rFonts w:ascii="Arial Narrow" w:hAnsi="Arial Narrow" w:cs="Arial Narrow" w:eastAsia="Arial Narrow"/>
          <w:b w:val="0"/>
          <w:i w:val="0"/>
          <w:sz w:val="22"/>
        </w:rPr>
        <w:t xml:space="preserve"> KI-Chatbot live, Website live, erste Online-Buchung abgeschlossen.</w:t>
      </w:r>
    </w:p>
    <w:p>
      <w:pPr>
        <w:pStyle w:val="Heading3"/>
        <w:spacing w:before="240" w:after="120"/>
        <w:jc w:val="left"/>
      </w:pPr>
      <w:r>
        <w:rPr>
          <w:rFonts w:ascii="Arial Narrow" w:hAnsi="Arial Narrow" w:cs="Arial Narrow" w:eastAsia="Arial Narrow"/>
          <w:b w:val="0"/>
          <w:i w:val="0"/>
          <w:sz w:val="22"/>
        </w:rPr>
        <w:t>Phase 2: Kernfunktionen (Monat 3–5) – 8.000–12.000 $</w:t>
      </w:r>
    </w:p>
    <w:tbl>
      <w:tblPr>
        <w:tblW w:type="auto" w:w="0"/>
        <w:jc w:val="center"/>
        <w:tblLayout w:type="fixed"/>
        <w:tblLook w:firstColumn="1" w:firstRow="1" w:lastColumn="0" w:lastRow="0" w:noHBand="0" w:noVBand="1" w:val="04A0"/>
      </w:tblPr>
      <w:tblGrid>
        <w:gridCol w:w="3216"/>
        <w:gridCol w:w="3216"/>
        <w:gridCol w:w="3216"/>
      </w:tblGrid>
      <w:tr>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Deliverable</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Zeit</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Erfolgsmetrik</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Eventmanagement-System</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7–10</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Corporate-Buchung vollstandig digital</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AEO-Optimierung</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Woche 7–14</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5 Featured Snippets</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Content-Marketing-Engine</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7–20</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24 Blogposts, 8 Videos</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E-Mail-Marketing-Automation</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Woche 9–12</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3 automatisierte Sequenzen</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GEO-Optimierung</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10–18</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Prasenz in 3 KI-Suchmaschinen</w:t>
            </w:r>
          </w:p>
        </w:tc>
      </w:tr>
    </w:tbl>
    <w:p/>
    <w:p>
      <w:pPr>
        <w:spacing w:after="160" w:line="360" w:lineRule="auto"/>
        <w:jc w:val="left"/>
      </w:pPr>
      <w:r>
        <w:rPr>
          <w:rFonts w:ascii="Arial Narrow" w:hAnsi="Arial Narrow" w:cs="Arial Narrow" w:eastAsia="Arial Narrow"/>
          <w:b/>
          <w:i w:val="0"/>
          <w:sz w:val="22"/>
        </w:rPr>
        <w:t>Meilenstein M2 (Ende Monat 5):</w:t>
      </w:r>
      <w:r>
        <w:rPr>
          <w:rFonts w:ascii="Arial Narrow" w:hAnsi="Arial Narrow" w:cs="Arial Narrow" w:eastAsia="Arial Narrow"/>
          <w:b w:val="0"/>
          <w:i w:val="0"/>
          <w:sz w:val="22"/>
        </w:rPr>
        <w:t xml:space="preserve"> Vollstandiger digitales Buchungs-Okosystem, Content-Engine produktiv.</w:t>
      </w:r>
    </w:p>
    <w:p>
      <w:pPr>
        <w:pStyle w:val="Heading3"/>
        <w:spacing w:before="240" w:after="120"/>
        <w:jc w:val="left"/>
      </w:pPr>
      <w:r>
        <w:rPr>
          <w:rFonts w:ascii="Arial Narrow" w:hAnsi="Arial Narrow" w:cs="Arial Narrow" w:eastAsia="Arial Narrow"/>
          <w:b w:val="0"/>
          <w:i w:val="0"/>
          <w:sz w:val="22"/>
        </w:rPr>
        <w:t>Phase 3: Differenzierung (Monat 6–9) – 5.000–10.000 $</w:t>
      </w:r>
    </w:p>
    <w:tbl>
      <w:tblPr>
        <w:tblW w:type="auto" w:w="0"/>
        <w:jc w:val="center"/>
        <w:tblLayout w:type="fixed"/>
        <w:tblLook w:firstColumn="1" w:firstRow="1" w:lastColumn="0" w:lastRow="0" w:noHBand="0" w:noVBand="1" w:val="04A0"/>
      </w:tblPr>
      <w:tblGrid>
        <w:gridCol w:w="3216"/>
        <w:gridCol w:w="3216"/>
        <w:gridCol w:w="3216"/>
      </w:tblGrid>
      <w:tr>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Deliverable</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Zeit</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Erfolgsmetrik</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VR-Farmtour (360deg)</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20–30</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1.000 virtuelle Besuche/Monat</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Mitgliedschaftsprogramm</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Woche 22–28</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200 Mitglieder in 3 Monaten</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Mehrsprachigkeit (EN, DE)</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Woche 24–30</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15% internationale Besucher</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Influencer-Partnerschaften</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Woche 20–36</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5 Partnerschaften, 50.000 Reichweite</w:t>
            </w:r>
          </w:p>
        </w:tc>
      </w:tr>
    </w:tbl>
    <w:p/>
    <w:p>
      <w:pPr>
        <w:spacing w:after="160" w:line="360" w:lineRule="auto"/>
        <w:jc w:val="left"/>
      </w:pPr>
      <w:r>
        <w:rPr>
          <w:rFonts w:ascii="Arial Narrow" w:hAnsi="Arial Narrow" w:cs="Arial Narrow" w:eastAsia="Arial Narrow"/>
          <w:b/>
          <w:i w:val="0"/>
          <w:sz w:val="22"/>
        </w:rPr>
        <w:t>Meilenstein M3 (Ende Monat 9):</w:t>
      </w:r>
      <w:r>
        <w:rPr>
          <w:rFonts w:ascii="Arial Narrow" w:hAnsi="Arial Narrow" w:cs="Arial Narrow" w:eastAsia="Arial Narrow"/>
          <w:b w:val="0"/>
          <w:i w:val="0"/>
          <w:sz w:val="22"/>
        </w:rPr>
        <w:t xml:space="preserve"> Vollstandige digitale Transformation, nachweisbare ROI-Verbesserung.</w:t>
      </w:r>
    </w:p>
    <w:p>
      <w:pPr>
        <w:pStyle w:val="Heading2"/>
        <w:spacing w:before="360" w:after="160"/>
        <w:jc w:val="left"/>
      </w:pPr>
      <w:r>
        <w:rPr>
          <w:rFonts w:ascii="Arial Narrow" w:hAnsi="Arial Narrow" w:cs="Arial Narrow" w:eastAsia="Arial Narrow"/>
          <w:b w:val="0"/>
          <w:i w:val="0"/>
          <w:sz w:val="22"/>
        </w:rPr>
        <w:t>11. Risikoanalyse &amp; Minderungsmassnahmen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Risiko</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Wahrscheinlichkeit</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Impact</w:t>
            </w:r>
          </w:p>
        </w:tc>
        <w:tc>
          <w:tcPr>
            <w:tcW w:type="dxa" w:w="2268"/>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Minderung</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Personalresistenz</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Mittel (30%)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Phasige Einfuhrung, Training, Quick-Win-Demonstration</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Technische Komplexitat</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Niedrig (15%)</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Managed-Service, umfassende Dokumentation</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Saisonaler Cashflow</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Mittel (25%)</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Phasige Zahlung, Phase-1-Option ab 19.000 $</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Datenschutz 152-FZ</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Mittel (20%)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Hoch</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GDPR-konforme Architektur, lokale Datenspeicherung</w:t>
            </w:r>
          </w:p>
        </w:tc>
      </w:tr>
      <w:tr>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KI-Modell-Anderungen</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Niedrig (10%)</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Niedrig</w:t>
            </w:r>
          </w:p>
        </w:tc>
        <w:tc>
          <w:tcPr>
            <w:tcW w:type="dxa" w:w="2268"/>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Multi-Model-Setup (Claude + GPT-4o Fallback)</w:t>
            </w:r>
          </w:p>
        </w:tc>
      </w:tr>
      <w:tr>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Wirtschaftspolitik</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Niedrig-Mittel (20%)</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Mittel</w:t>
            </w:r>
          </w:p>
        </w:tc>
        <w:tc>
          <w:tcPr>
            <w:tcW w:type="dxa" w:w="2268"/>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Lokale Hosting-Option, Rubel-Preisgestaltung</w:t>
            </w:r>
          </w:p>
        </w:tc>
      </w:tr>
    </w:tbl>
    <w:p/>
    <w:p>
      <w:pPr>
        <w:pStyle w:val="Heading2"/>
        <w:spacing w:before="360" w:after="160"/>
        <w:jc w:val="left"/>
      </w:pPr>
      <w:r>
        <w:rPr>
          <w:rFonts w:ascii="Arial Narrow" w:hAnsi="Arial Narrow" w:cs="Arial Narrow" w:eastAsia="Arial Narrow"/>
          <w:b w:val="0"/>
          <w:i w:val="0"/>
          <w:sz w:val="22"/>
        </w:rPr>
        <w:t>12. Zukunftsperspektive: IoT &amp; Smart Farm</w:t>
      </w:r>
    </w:p>
    <w:p>
      <w:pPr>
        <w:spacing w:after="200"/>
        <w:ind w:left="360"/>
        <w:jc w:val="left"/>
      </w:pPr>
    </w:p>
    <w:tbl>
      <w:tblPr>
        <w:tblW w:type="auto" w:w="0"/>
        <w:jc w:val="left"/>
        <w:tblLayout w:type="fixed"/>
        <w:tblLook w:firstColumn="1" w:firstRow="1" w:lastColumn="0" w:lastRow="0" w:noHBand="0" w:noVBand="1" w:val="04A0"/>
      </w:tblPr>
      <w:tblGrid>
        <w:gridCol w:w="9648"/>
      </w:tblGrid>
      <w:tr>
        <w:tc>
          <w:tcPr>
            <w:tcW w:type="dxa" w:w="8640"/>
            <w:vAlign w:val="center"/>
            <w:shd w:fill="F5F5F0"/>
            <w:tcBorders>
              <w:top w:val="single" w:sz="8" w:space="0" w:color="D4A373"/>
              <w:left w:val="single" w:sz="8" w:space="0" w:color="D4A373"/>
              <w:bottom w:val="single" w:sz="8" w:space="0" w:color="D4A373"/>
              <w:right w:val="single" w:sz="8" w:space="0" w:color="D4A373"/>
            </w:tcBorders>
          </w:tcPr>
          <w:p>
            <w:pPr>
              <w:jc w:val="left"/>
            </w:pPr>
            <w:r>
              <w:rPr>
                <w:rFonts w:ascii="Arial Narrow" w:hAnsi="Arial Narrow" w:cs="Arial Narrow" w:eastAsia="Arial Narrow"/>
                <w:b w:val="0"/>
                <w:i/>
                <w:color w:val="2C2C2C"/>
                <w:sz w:val="22"/>
              </w:rPr>
              <w:t>**Hinweis:** Dieses Kapitel dient als Konzeptionsgrundlage fur zukunftige Erweiterungen und ist nicht Teil des aktuellen Budgetrahmens. Eine detaillierte Implementierungsplanung wird auf gesondertem Auftrag erstellt.</w:t>
            </w:r>
          </w:p>
        </w:tc>
      </w:tr>
    </w:tbl>
    <w:p>
      <w:pPr>
        <w:pStyle w:val="Heading3"/>
        <w:spacing w:before="240" w:after="120"/>
        <w:jc w:val="left"/>
      </w:pPr>
      <w:r>
        <w:rPr>
          <w:rFonts w:ascii="Arial Narrow" w:hAnsi="Arial Narrow" w:cs="Arial Narrow" w:eastAsia="Arial Narrow"/>
          <w:b w:val="0"/>
          <w:i w:val="0"/>
          <w:sz w:val="22"/>
        </w:rPr>
        <w:t>12.1 Wertproposition</w:t>
      </w:r>
    </w:p>
    <w:p>
      <w:pPr>
        <w:spacing w:after="160" w:line="360" w:lineRule="auto"/>
        <w:jc w:val="left"/>
      </w:pPr>
      <w:r>
        <w:rPr>
          <w:rFonts w:ascii="Arial Narrow" w:hAnsi="Arial Narrow" w:cs="Arial Narrow" w:eastAsia="Arial Narrow"/>
          <w:b w:val="0"/>
          <w:i w:val="0"/>
          <w:sz w:val="22"/>
        </w:rPr>
        <w:t>Fur einen Landwirtschaftspark mit Bildungsauftrag bietet die Integration von Live-IoT-Sensor-Demonstrationen einen einzigartigen Differenzierungsfaktor. Die sichtbare Sensorstation wurde Bodenfeuchtigkeit, Temperatur, pH-Wert und Nahrstoffe in Echtzeit anzeigen – sowohl vor Ort als auch auf der Website.</w:t>
      </w:r>
    </w:p>
    <w:p>
      <w:pPr>
        <w:pStyle w:val="Heading3"/>
        <w:spacing w:before="240" w:after="120"/>
        <w:jc w:val="left"/>
      </w:pPr>
      <w:r>
        <w:rPr>
          <w:rFonts w:ascii="Arial Narrow" w:hAnsi="Arial Narrow" w:cs="Arial Narrow" w:eastAsia="Arial Narrow"/>
          <w:b w:val="0"/>
          <w:i w:val="0"/>
          <w:sz w:val="22"/>
        </w:rPr>
        <w:t>12.2 Geschatzter Investitionsbedarf</w:t>
      </w:r>
    </w:p>
    <w:tbl>
      <w:tblPr>
        <w:tblW w:type="auto" w:w="0"/>
        <w:jc w:val="center"/>
        <w:tblLayout w:type="fixed"/>
        <w:tblLook w:firstColumn="1" w:firstRow="1" w:lastColumn="0" w:lastRow="0" w:noHBand="0" w:noVBand="1" w:val="04A0"/>
      </w:tblPr>
      <w:tblGrid>
        <w:gridCol w:w="3216"/>
        <w:gridCol w:w="3216"/>
        <w:gridCol w:w="3216"/>
      </w:tblGrid>
      <w:tr>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Komponente</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Einmalkosten ($)</w:t>
            </w:r>
          </w:p>
        </w:tc>
        <w:tc>
          <w:tcPr>
            <w:tcW w:type="dxa" w:w="3024"/>
            <w:tcBorders>
              <w:top w:val="single" w:sz="4" w:space="0" w:color="D9D9D6"/>
              <w:left w:val="single" w:sz="4" w:space="0" w:color="D9D9D6"/>
              <w:bottom w:val="single" w:sz="4" w:space="0" w:color="D9D9D6"/>
              <w:right w:val="single" w:sz="4" w:space="0" w:color="D9D9D6"/>
            </w:tcBorders>
            <w:vAlign w:val="center"/>
            <w:shd w:fill="1B4332"/>
          </w:tcPr>
          <w:p>
            <w:pPr>
              <w:spacing w:after="40" w:before="40"/>
              <w:jc w:val="left"/>
            </w:pPr>
            <w:r>
              <w:rPr>
                <w:rFonts w:ascii="Arial Narrow" w:hAnsi="Arial Narrow" w:cs="Arial Narrow" w:eastAsia="Arial Narrow"/>
                <w:b/>
                <w:i w:val="0"/>
                <w:color w:val="FFFFFF"/>
                <w:sz w:val="22"/>
              </w:rPr>
              <w:t>Jahrlich ($)</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Boden-/Pflanzensensoren</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3.000–6.000</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400</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Wetterstation</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1.500–3.000</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200</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Dashboard-Entwicklung</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2.000–4.000</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val="0"/>
                <w:i w:val="0"/>
                <w:sz w:val="22"/>
              </w:rPr>
              <w:t>300</w:t>
            </w:r>
          </w:p>
        </w:tc>
      </w:tr>
      <w:tr>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Installation &amp; Schulung</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1.000–2.000</w:t>
            </w:r>
          </w:p>
        </w:tc>
        <w:tc>
          <w:tcPr>
            <w:tcW w:type="dxa" w:w="3024"/>
            <w:tcBorders>
              <w:top w:val="single" w:sz="4" w:space="0" w:color="D9D9D6"/>
              <w:left w:val="single" w:sz="4" w:space="0" w:color="D9D9D6"/>
              <w:bottom w:val="single" w:sz="4" w:space="0" w:color="D9D9D6"/>
              <w:right w:val="single" w:sz="4" w:space="0" w:color="D9D9D6"/>
            </w:tcBorders>
            <w:vAlign w:val="center"/>
            <w:shd w:fill="FAFAF8"/>
          </w:tcPr>
          <w:p>
            <w:pPr>
              <w:spacing w:after="40" w:before="40"/>
              <w:jc w:val="left"/>
            </w:pPr>
            <w:r>
              <w:rPr>
                <w:rFonts w:ascii="Arial Narrow" w:hAnsi="Arial Narrow" w:cs="Arial Narrow" w:eastAsia="Arial Narrow"/>
                <w:b w:val="0"/>
                <w:i w:val="0"/>
                <w:sz w:val="22"/>
              </w:rPr>
              <w:t>100</w:t>
            </w:r>
          </w:p>
        </w:tc>
      </w:tr>
      <w:tr>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Gesamt</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7.500–15.000</w:t>
            </w:r>
          </w:p>
        </w:tc>
        <w:tc>
          <w:tcPr>
            <w:tcW w:type="dxa" w:w="3024"/>
            <w:tcBorders>
              <w:top w:val="single" w:sz="4" w:space="0" w:color="D9D9D6"/>
              <w:left w:val="single" w:sz="4" w:space="0" w:color="D9D9D6"/>
              <w:bottom w:val="single" w:sz="4" w:space="0" w:color="D9D9D6"/>
              <w:right w:val="single" w:sz="4" w:space="0" w:color="D9D9D6"/>
            </w:tcBorders>
            <w:vAlign w:val="center"/>
          </w:tcPr>
          <w:p>
            <w:pPr>
              <w:spacing w:after="40" w:before="40"/>
              <w:jc w:val="left"/>
            </w:pPr>
            <w:r>
              <w:rPr>
                <w:rFonts w:ascii="Arial Narrow" w:hAnsi="Arial Narrow" w:cs="Arial Narrow" w:eastAsia="Arial Narrow"/>
                <w:b/>
                <w:i w:val="0"/>
                <w:sz w:val="22"/>
              </w:rPr>
              <w:t>1.000</w:t>
            </w:r>
          </w:p>
        </w:tc>
      </w:tr>
    </w:tbl>
    <w:p/>
    <w:p>
      <w:pPr>
        <w:pStyle w:val="Heading3"/>
        <w:spacing w:before="240" w:after="120"/>
        <w:jc w:val="left"/>
      </w:pPr>
      <w:r>
        <w:rPr>
          <w:rFonts w:ascii="Arial Narrow" w:hAnsi="Arial Narrow" w:cs="Arial Narrow" w:eastAsia="Arial Narrow"/>
          <w:b w:val="0"/>
          <w:i w:val="0"/>
          <w:sz w:val="22"/>
        </w:rPr>
        <w:t>12.3 Potenzielle Einnahmestrome</w:t>
      </w:r>
    </w:p>
    <w:p>
      <w:pPr>
        <w:pStyle w:val="ListBullet"/>
        <w:spacing w:after="80"/>
      </w:pPr>
      <w:r>
        <w:rPr>
          <w:rFonts w:ascii="Arial Narrow" w:hAnsi="Arial Narrow" w:cs="Arial Narrow" w:eastAsia="Arial Narrow"/>
          <w:b w:val="0"/>
          <w:i w:val="0"/>
          <w:sz w:val="22"/>
        </w:rPr>
        <w:t>Premium-Eintritt "Smart Farm Experience": +15% Ticketpreis</w:t>
      </w:r>
    </w:p>
    <w:p>
      <w:pPr>
        <w:pStyle w:val="ListBullet"/>
        <w:spacing w:after="80"/>
      </w:pPr>
      <w:r>
        <w:rPr>
          <w:rFonts w:ascii="Arial Narrow" w:hAnsi="Arial Narrow" w:cs="Arial Narrow" w:eastAsia="Arial Narrow"/>
          <w:b w:val="0"/>
          <w:i w:val="0"/>
          <w:sz w:val="22"/>
        </w:rPr>
        <w:t>Schul-Workshops zu Data Literacy in der Landwirtschaft: B2B-Segment</w:t>
      </w:r>
    </w:p>
    <w:p>
      <w:pPr>
        <w:pStyle w:val="ListBullet"/>
        <w:spacing w:after="80"/>
      </w:pPr>
      <w:r>
        <w:rPr>
          <w:rFonts w:ascii="Arial Narrow" w:hAnsi="Arial Narrow" w:cs="Arial Narrow" w:eastAsia="Arial Narrow"/>
          <w:b w:val="0"/>
          <w:i w:val="0"/>
          <w:sz w:val="22"/>
        </w:rPr>
        <w:t>Beratung lokaler Landwirte zu Precision Agriculture: Dienstleistungssegment</w:t>
      </w:r>
    </w:p>
    <w:p>
      <w:pPr>
        <w:pStyle w:val="Heading2"/>
        <w:spacing w:before="360" w:after="160"/>
        <w:jc w:val="left"/>
      </w:pPr>
      <w:r>
        <w:rPr>
          <w:rFonts w:ascii="Arial Narrow" w:hAnsi="Arial Narrow" w:cs="Arial Narrow" w:eastAsia="Arial Narrow"/>
          <w:b w:val="0"/>
          <w:i w:val="0"/>
          <w:sz w:val="22"/>
        </w:rPr>
        <w:t>13. Empfehlungen &amp; nachste Schritte</w:t>
      </w:r>
    </w:p>
    <w:p>
      <w:pPr>
        <w:pStyle w:val="Heading3"/>
        <w:spacing w:before="240" w:after="120"/>
        <w:jc w:val="left"/>
      </w:pPr>
      <w:r>
        <w:rPr>
          <w:rFonts w:ascii="Arial Narrow" w:hAnsi="Arial Narrow" w:cs="Arial Narrow" w:eastAsia="Arial Narrow"/>
          <w:b w:val="0"/>
          <w:i w:val="0"/>
          <w:sz w:val="22"/>
        </w:rPr>
        <w:t>13.1 Unsere Empfehlung</w:t>
      </w:r>
    </w:p>
    <w:p>
      <w:pPr>
        <w:spacing w:after="160" w:line="360" w:lineRule="auto"/>
        <w:jc w:val="left"/>
      </w:pPr>
      <w:r>
        <w:rPr>
          <w:rFonts w:ascii="Arial Narrow" w:hAnsi="Arial Narrow" w:cs="Arial Narrow" w:eastAsia="Arial Narrow"/>
          <w:b w:val="0"/>
          <w:i w:val="0"/>
          <w:sz w:val="22"/>
        </w:rPr>
        <w:t xml:space="preserve">Basierend auf der vorliegenden Analyse empfehlen wir dem Mandanten die </w:t>
      </w:r>
      <w:r>
        <w:rPr>
          <w:rFonts w:ascii="Arial Narrow" w:hAnsi="Arial Narrow" w:cs="Arial Narrow" w:eastAsia="Arial Narrow"/>
          <w:b/>
          <w:i w:val="0"/>
          <w:sz w:val="22"/>
        </w:rPr>
        <w:t>sofortige Initiierung von Phase 1</w:t>
      </w:r>
      <w:r>
        <w:rPr>
          <w:rFonts w:ascii="Arial Narrow" w:hAnsi="Arial Narrow" w:cs="Arial Narrow" w:eastAsia="Arial Narrow"/>
          <w:b w:val="0"/>
          <w:i w:val="0"/>
          <w:sz w:val="22"/>
        </w:rPr>
        <w:t xml:space="preserve"> mit einem Budget von </w:t>
      </w:r>
      <w:r>
        <w:rPr>
          <w:rFonts w:ascii="Arial Narrow" w:hAnsi="Arial Narrow" w:cs="Arial Narrow" w:eastAsia="Arial Narrow"/>
          <w:b/>
          <w:i w:val="0"/>
          <w:sz w:val="22"/>
        </w:rPr>
        <w:t>19.000–22.000 USD</w:t>
      </w:r>
      <w:r>
        <w:rPr>
          <w:rFonts w:ascii="Arial Narrow" w:hAnsi="Arial Narrow" w:cs="Arial Narrow" w:eastAsia="Arial Narrow"/>
          <w:b w:val="0"/>
          <w:i w:val="0"/>
          <w:sz w:val="22"/>
        </w:rPr>
        <w:t>. Diese Investition adressiert die kritischsten operativen Schwachstellen und liefert innerhalb von 60 Tagen erste messbare Ergebnisse.</w:t>
      </w:r>
    </w:p>
    <w:p>
      <w:pPr>
        <w:pStyle w:val="Heading3"/>
        <w:spacing w:before="240" w:after="120"/>
        <w:jc w:val="left"/>
      </w:pPr>
      <w:r>
        <w:rPr>
          <w:rFonts w:ascii="Arial Narrow" w:hAnsi="Arial Narrow" w:cs="Arial Narrow" w:eastAsia="Arial Narrow"/>
          <w:b w:val="0"/>
          <w:i w:val="0"/>
          <w:sz w:val="22"/>
        </w:rPr>
        <w:t>13.2 Sofortige nachste Schritte</w:t>
      </w:r>
    </w:p>
    <w:p>
      <w:pPr>
        <w:pStyle w:val="ListNumber"/>
        <w:spacing w:after="80"/>
      </w:pPr>
      <w:r>
        <w:rPr>
          <w:rFonts w:ascii="Arial Narrow" w:hAnsi="Arial Narrow" w:cs="Arial Narrow" w:eastAsia="Arial Narrow"/>
          <w:b/>
          <w:i w:val="0"/>
          <w:sz w:val="22"/>
        </w:rPr>
        <w:t>Woche 1:</w:t>
      </w:r>
      <w:r>
        <w:rPr>
          <w:rFonts w:ascii="Arial Narrow" w:hAnsi="Arial Narrow" w:cs="Arial Narrow" w:eastAsia="Arial Narrow"/>
          <w:b w:val="0"/>
          <w:i w:val="0"/>
          <w:sz w:val="22"/>
        </w:rPr>
        <w:t xml:space="preserve"> Projekt-Kickoff, Zugriff auf bestehende Inhalte (Texte, Bilder, Preislisten)</w:t>
      </w:r>
    </w:p>
    <w:p>
      <w:pPr>
        <w:pStyle w:val="ListNumber"/>
        <w:spacing w:after="80"/>
      </w:pPr>
      <w:r>
        <w:rPr>
          <w:rFonts w:ascii="Arial Narrow" w:hAnsi="Arial Narrow" w:cs="Arial Narrow" w:eastAsia="Arial Narrow"/>
          <w:b/>
          <w:i w:val="0"/>
          <w:sz w:val="22"/>
        </w:rPr>
        <w:t>Woche 1–2:</w:t>
      </w:r>
      <w:r>
        <w:rPr>
          <w:rFonts w:ascii="Arial Narrow" w:hAnsi="Arial Narrow" w:cs="Arial Narrow" w:eastAsia="Arial Narrow"/>
          <w:b w:val="0"/>
          <w:i w:val="0"/>
          <w:sz w:val="22"/>
        </w:rPr>
        <w:t xml:space="preserve"> OpenClaw-Konfiguration, Knowledge-Base-Aufbau, Telegram-Bot-Deployment</w:t>
      </w:r>
    </w:p>
    <w:p>
      <w:pPr>
        <w:pStyle w:val="ListNumber"/>
        <w:spacing w:after="80"/>
      </w:pPr>
      <w:r>
        <w:rPr>
          <w:rFonts w:ascii="Arial Narrow" w:hAnsi="Arial Narrow" w:cs="Arial Narrow" w:eastAsia="Arial Narrow"/>
          <w:b/>
          <w:i w:val="0"/>
          <w:sz w:val="22"/>
        </w:rPr>
        <w:t>Woche 2–5:</w:t>
      </w:r>
      <w:r>
        <w:rPr>
          <w:rFonts w:ascii="Arial Narrow" w:hAnsi="Arial Narrow" w:cs="Arial Narrow" w:eastAsia="Arial Narrow"/>
          <w:b w:val="0"/>
          <w:i w:val="0"/>
          <w:sz w:val="22"/>
        </w:rPr>
        <w:t xml:space="preserve"> Website-Design, Entwicklung, Content-Migration</w:t>
      </w:r>
    </w:p>
    <w:p>
      <w:pPr>
        <w:pStyle w:val="ListNumber"/>
        <w:spacing w:after="80"/>
      </w:pPr>
      <w:r>
        <w:rPr>
          <w:rFonts w:ascii="Arial Narrow" w:hAnsi="Arial Narrow" w:cs="Arial Narrow" w:eastAsia="Arial Narrow"/>
          <w:b/>
          <w:i w:val="0"/>
          <w:sz w:val="22"/>
        </w:rPr>
        <w:t>Woche 3–4:</w:t>
      </w:r>
      <w:r>
        <w:rPr>
          <w:rFonts w:ascii="Arial Narrow" w:hAnsi="Arial Narrow" w:cs="Arial Narrow" w:eastAsia="Arial Narrow"/>
          <w:b w:val="0"/>
          <w:i w:val="0"/>
          <w:sz w:val="22"/>
        </w:rPr>
        <w:t xml:space="preserve"> Buchungssystem-Integration, Testphase</w:t>
      </w:r>
    </w:p>
    <w:p>
      <w:pPr>
        <w:pStyle w:val="ListNumber"/>
        <w:spacing w:after="80"/>
      </w:pPr>
      <w:r>
        <w:rPr>
          <w:rFonts w:ascii="Arial Narrow" w:hAnsi="Arial Narrow" w:cs="Arial Narrow" w:eastAsia="Arial Narrow"/>
          <w:b/>
          <w:i w:val="0"/>
          <w:sz w:val="22"/>
        </w:rPr>
        <w:t>Woche 5–6:</w:t>
      </w:r>
      <w:r>
        <w:rPr>
          <w:rFonts w:ascii="Arial Narrow" w:hAnsi="Arial Narrow" w:cs="Arial Narrow" w:eastAsia="Arial Narrow"/>
          <w:b w:val="0"/>
          <w:i w:val="0"/>
          <w:sz w:val="22"/>
        </w:rPr>
        <w:t xml:space="preserve"> Go-Live, Schulung des Personals, Monitoring</w:t>
      </w:r>
    </w:p>
    <w:p>
      <w:pPr>
        <w:pStyle w:val="Heading3"/>
        <w:spacing w:before="240" w:after="120"/>
        <w:jc w:val="left"/>
      </w:pPr>
      <w:r>
        <w:rPr>
          <w:rFonts w:ascii="Arial Narrow" w:hAnsi="Arial Narrow" w:cs="Arial Narrow" w:eastAsia="Arial Narrow"/>
          <w:b w:val="0"/>
          <w:i w:val="0"/>
          <w:sz w:val="22"/>
        </w:rPr>
        <w:t>13.3 Entscheidungsbedarf</w:t>
      </w:r>
    </w:p>
    <w:p>
      <w:pPr>
        <w:spacing w:after="160" w:line="360" w:lineRule="auto"/>
        <w:jc w:val="left"/>
      </w:pPr>
      <w:r>
        <w:rPr>
          <w:rFonts w:ascii="Arial Narrow" w:hAnsi="Arial Narrow" w:cs="Arial Narrow" w:eastAsia="Arial Narrow"/>
          <w:b w:val="0"/>
          <w:i w:val="0"/>
          <w:sz w:val="22"/>
        </w:rPr>
        <w:t>Fur den Projektstart benotigen wir vom Mandanten:</w:t>
      </w:r>
    </w:p>
    <w:p>
      <w:pPr>
        <w:pStyle w:val="ListBullet"/>
        <w:spacing w:after="80"/>
      </w:pPr>
      <w:r>
        <w:rPr>
          <w:rFonts w:ascii="Arial Narrow" w:hAnsi="Arial Narrow" w:cs="Arial Narrow" w:eastAsia="Arial Narrow"/>
          <w:b w:val="0"/>
          <w:i w:val="0"/>
          <w:sz w:val="22"/>
        </w:rPr>
        <w:t>☐ Freigabe des Budgets fur Phase 1 (19.000–22.000 $)</w:t>
      </w:r>
    </w:p>
    <w:p>
      <w:pPr>
        <w:pStyle w:val="ListBullet"/>
        <w:spacing w:after="80"/>
      </w:pPr>
      <w:r>
        <w:rPr>
          <w:rFonts w:ascii="Arial Narrow" w:hAnsi="Arial Narrow" w:cs="Arial Narrow" w:eastAsia="Arial Narrow"/>
          <w:b w:val="0"/>
          <w:i w:val="0"/>
          <w:sz w:val="22"/>
        </w:rPr>
        <w:t>☐ Bereitstellung aller Marketingmaterialien und Textinhalte</w:t>
      </w:r>
    </w:p>
    <w:p>
      <w:pPr>
        <w:pStyle w:val="ListBullet"/>
        <w:spacing w:after="80"/>
      </w:pPr>
      <w:r>
        <w:rPr>
          <w:rFonts w:ascii="Arial Narrow" w:hAnsi="Arial Narrow" w:cs="Arial Narrow" w:eastAsia="Arial Narrow"/>
          <w:b w:val="0"/>
          <w:i w:val="0"/>
          <w:sz w:val="22"/>
        </w:rPr>
        <w:t>☐ Admin-Zugriff auf VKontakte, Telegram, Google My Business, Yandex</w:t>
      </w:r>
    </w:p>
    <w:p>
      <w:pPr>
        <w:pStyle w:val="ListBullet"/>
        <w:spacing w:after="80"/>
      </w:pPr>
      <w:r>
        <w:rPr>
          <w:rFonts w:ascii="Arial Narrow" w:hAnsi="Arial Narrow" w:cs="Arial Narrow" w:eastAsia="Arial Narrow"/>
          <w:b w:val="0"/>
          <w:i w:val="0"/>
          <w:sz w:val="22"/>
        </w:rPr>
        <w:t>☐ Designation eines internen Ansprechpartners (5–10 Stunden/Woche)</w:t>
      </w:r>
    </w:p>
    <w:p>
      <w:pPr>
        <w:pStyle w:val="ListBullet"/>
        <w:spacing w:after="80"/>
      </w:pPr>
      <w:r>
        <w:rPr>
          <w:rFonts w:ascii="Arial Narrow" w:hAnsi="Arial Narrow" w:cs="Arial Narrow" w:eastAsia="Arial Narrow"/>
          <w:b w:val="0"/>
          <w:i w:val="0"/>
          <w:sz w:val="22"/>
        </w:rPr>
        <w:t>☐ Liste der haufigsten Kundenfragen (fur Chatbot-Training)</w:t>
      </w:r>
    </w:p>
    <w:p>
      <w:pPr>
        <w:pStyle w:val="Heading2"/>
        <w:spacing w:before="360" w:after="160"/>
        <w:jc w:val="left"/>
      </w:pPr>
      <w:r>
        <w:rPr>
          <w:rFonts w:ascii="Arial Narrow" w:hAnsi="Arial Narrow" w:cs="Arial Narrow" w:eastAsia="Arial Narrow"/>
          <w:b w:val="0"/>
          <w:i w:val="0"/>
          <w:sz w:val="22"/>
        </w:rPr>
        <w:t>14. Anlagen &amp; Quellenverzeichnis</w:t>
      </w:r>
    </w:p>
    <w:p>
      <w:pPr>
        <w:pStyle w:val="Heading3"/>
        <w:spacing w:before="240" w:after="120"/>
        <w:jc w:val="left"/>
      </w:pPr>
      <w:r>
        <w:rPr>
          <w:rFonts w:ascii="Arial Narrow" w:hAnsi="Arial Narrow" w:cs="Arial Narrow" w:eastAsia="Arial Narrow"/>
          <w:b w:val="0"/>
          <w:i w:val="0"/>
          <w:sz w:val="22"/>
        </w:rPr>
        <w:t>Anlagen</w:t>
      </w:r>
    </w:p>
    <w:p>
      <w:pPr>
        <w:pStyle w:val="ListBullet"/>
        <w:spacing w:after="80"/>
      </w:pPr>
      <w:r>
        <w:rPr>
          <w:rFonts w:ascii="Arial Narrow" w:hAnsi="Arial Narrow" w:cs="Arial Narrow" w:eastAsia="Arial Narrow"/>
          <w:b w:val="0"/>
          <w:i w:val="0"/>
          <w:sz w:val="22"/>
        </w:rPr>
        <w:t>Anlage A: Detailliertes Finanzmodell (Excel)</w:t>
      </w:r>
    </w:p>
    <w:p>
      <w:pPr>
        <w:pStyle w:val="ListBullet"/>
        <w:spacing w:after="80"/>
      </w:pPr>
      <w:r>
        <w:rPr>
          <w:rFonts w:ascii="Arial Narrow" w:hAnsi="Arial Narrow" w:cs="Arial Narrow" w:eastAsia="Arial Narrow"/>
          <w:b w:val="0"/>
          <w:i w:val="0"/>
          <w:sz w:val="22"/>
        </w:rPr>
        <w:t>Anlage B: SEO/GEO/AEO Keyword-Strategie</w:t>
      </w:r>
    </w:p>
    <w:p>
      <w:pPr>
        <w:pStyle w:val="ListBullet"/>
        <w:spacing w:after="80"/>
      </w:pPr>
      <w:r>
        <w:rPr>
          <w:rFonts w:ascii="Arial Narrow" w:hAnsi="Arial Narrow" w:cs="Arial Narrow" w:eastAsia="Arial Narrow"/>
          <w:b w:val="0"/>
          <w:i w:val="0"/>
          <w:sz w:val="22"/>
        </w:rPr>
        <w:t>Anlage C: KI-Chatbot-Konversationsfluss-Diagramme</w:t>
      </w:r>
    </w:p>
    <w:p>
      <w:pPr>
        <w:pStyle w:val="ListBullet"/>
        <w:spacing w:after="80"/>
      </w:pPr>
      <w:r>
        <w:rPr>
          <w:rFonts w:ascii="Arial Narrow" w:hAnsi="Arial Narrow" w:cs="Arial Narrow" w:eastAsia="Arial Narrow"/>
          <w:b w:val="0"/>
          <w:i w:val="0"/>
          <w:sz w:val="22"/>
        </w:rPr>
        <w:t>Anlage D: Website-Wireframe-Spezifikationen</w:t>
      </w:r>
    </w:p>
    <w:p>
      <w:pPr>
        <w:pStyle w:val="ListBullet"/>
        <w:spacing w:after="80"/>
      </w:pPr>
      <w:r>
        <w:rPr>
          <w:rFonts w:ascii="Arial Narrow" w:hAnsi="Arial Narrow" w:cs="Arial Narrow" w:eastAsia="Arial Narrow"/>
          <w:b w:val="0"/>
          <w:i w:val="0"/>
          <w:sz w:val="22"/>
        </w:rPr>
        <w:t>Anlage E: IoT Smart Farm Konzeptionsdokument (Phase 4)</w:t>
      </w:r>
    </w:p>
    <w:p>
      <w:pPr>
        <w:pStyle w:val="ListBullet"/>
        <w:spacing w:after="80"/>
      </w:pPr>
      <w:r>
        <w:rPr>
          <w:rFonts w:ascii="Arial Narrow" w:hAnsi="Arial Narrow" w:cs="Arial Narrow" w:eastAsia="Arial Narrow"/>
          <w:b w:val="0"/>
          <w:i w:val="0"/>
          <w:sz w:val="22"/>
        </w:rPr>
        <w:t>Anlage F: Technische Systemarchitektur-Dokumentation</w:t>
      </w:r>
    </w:p>
    <w:p>
      <w:pPr>
        <w:pStyle w:val="Heading3"/>
        <w:spacing w:before="240" w:after="120"/>
        <w:jc w:val="left"/>
      </w:pPr>
      <w:r>
        <w:rPr>
          <w:rFonts w:ascii="Arial Narrow" w:hAnsi="Arial Narrow" w:cs="Arial Narrow" w:eastAsia="Arial Narrow"/>
          <w:b w:val="0"/>
          <w:i w:val="0"/>
          <w:sz w:val="22"/>
        </w:rPr>
        <w:t>Primarquellen</w:t>
      </w:r>
    </w:p>
    <w:p>
      <w:pPr>
        <w:pStyle w:val="ListNumber"/>
        <w:spacing w:after="80"/>
      </w:pPr>
      <w:r>
        <w:rPr>
          <w:rFonts w:ascii="Arial Narrow" w:hAnsi="Arial Narrow" w:cs="Arial Narrow" w:eastAsia="Arial Narrow"/>
          <w:b w:val="0"/>
          <w:i w:val="0"/>
          <w:sz w:val="22"/>
        </w:rPr>
        <w:t xml:space="preserve">Coherent Market Insights (2026). </w:t>
      </w:r>
      <w:r>
        <w:rPr>
          <w:rFonts w:ascii="Arial Narrow" w:hAnsi="Arial Narrow" w:cs="Arial Narrow" w:eastAsia="Arial Narrow"/>
          <w:b w:val="0"/>
          <w:i/>
          <w:sz w:val="22"/>
        </w:rPr>
        <w:t>Digital Agriculture Market Share &amp; Opportunities 2026-2033.</w:t>
      </w:r>
    </w:p>
    <w:p>
      <w:pPr>
        <w:pStyle w:val="ListNumber"/>
        <w:spacing w:after="80"/>
      </w:pPr>
      <w:r>
        <w:rPr>
          <w:rFonts w:ascii="Arial Narrow" w:hAnsi="Arial Narrow" w:cs="Arial Narrow" w:eastAsia="Arial Narrow"/>
          <w:b w:val="0"/>
          <w:i w:val="0"/>
          <w:sz w:val="22"/>
        </w:rPr>
        <w:t xml:space="preserve">DLL Group (2026). </w:t>
      </w:r>
      <w:r>
        <w:rPr>
          <w:rFonts w:ascii="Arial Narrow" w:hAnsi="Arial Narrow" w:cs="Arial Narrow" w:eastAsia="Arial Narrow"/>
          <w:b w:val="0"/>
          <w:i/>
          <w:sz w:val="22"/>
        </w:rPr>
        <w:t>Innovative Agriculture: Key Trends for 2026.</w:t>
      </w:r>
    </w:p>
    <w:p>
      <w:pPr>
        <w:pStyle w:val="ListNumber"/>
        <w:spacing w:after="80"/>
      </w:pPr>
      <w:r>
        <w:rPr>
          <w:rFonts w:ascii="Arial Narrow" w:hAnsi="Arial Narrow" w:cs="Arial Narrow" w:eastAsia="Arial Narrow"/>
          <w:b w:val="0"/>
          <w:i w:val="0"/>
          <w:sz w:val="22"/>
        </w:rPr>
        <w:t xml:space="preserve">World Agri-Tech (2026, Marz). </w:t>
      </w:r>
      <w:r>
        <w:rPr>
          <w:rFonts w:ascii="Arial Narrow" w:hAnsi="Arial Narrow" w:cs="Arial Narrow" w:eastAsia="Arial Narrow"/>
          <w:b w:val="0"/>
          <w:i/>
          <w:sz w:val="22"/>
        </w:rPr>
        <w:t>2026 Agri-Tech Outlook: Robotics AI, Precision Genetics.</w:t>
      </w:r>
    </w:p>
    <w:p>
      <w:pPr>
        <w:pStyle w:val="ListNumber"/>
        <w:spacing w:after="80"/>
      </w:pPr>
      <w:r>
        <w:rPr>
          <w:rFonts w:ascii="Arial Narrow" w:hAnsi="Arial Narrow" w:cs="Arial Narrow" w:eastAsia="Arial Narrow"/>
          <w:b w:val="0"/>
          <w:i w:val="0"/>
          <w:sz w:val="22"/>
        </w:rPr>
        <w:t xml:space="preserve">AgriChain (2026, Februar). </w:t>
      </w:r>
      <w:r>
        <w:rPr>
          <w:rFonts w:ascii="Arial Narrow" w:hAnsi="Arial Narrow" w:cs="Arial Narrow" w:eastAsia="Arial Narrow"/>
          <w:b w:val="0"/>
          <w:i/>
          <w:sz w:val="22"/>
        </w:rPr>
        <w:t>Best Farm Management Software: Top 20 Picks in 2026.</w:t>
      </w:r>
    </w:p>
    <w:p>
      <w:pPr>
        <w:pStyle w:val="ListNumber"/>
        <w:spacing w:after="80"/>
      </w:pPr>
      <w:r>
        <w:rPr>
          <w:rFonts w:ascii="Arial Narrow" w:hAnsi="Arial Narrow" w:cs="Arial Narrow" w:eastAsia="Arial Narrow"/>
          <w:b w:val="0"/>
          <w:i w:val="0"/>
          <w:sz w:val="22"/>
        </w:rPr>
        <w:t xml:space="preserve">SmartFarmPilot (2026, Januar). </w:t>
      </w:r>
      <w:r>
        <w:rPr>
          <w:rFonts w:ascii="Arial Narrow" w:hAnsi="Arial Narrow" w:cs="Arial Narrow" w:eastAsia="Arial Narrow"/>
          <w:b w:val="0"/>
          <w:i/>
          <w:sz w:val="22"/>
        </w:rPr>
        <w:t>Best Small Farm Management Software in 2026.</w:t>
      </w:r>
    </w:p>
    <w:p>
      <w:pPr>
        <w:pStyle w:val="Heading3"/>
        <w:spacing w:before="240" w:after="120"/>
        <w:jc w:val="left"/>
      </w:pPr>
      <w:r>
        <w:rPr>
          <w:rFonts w:ascii="Arial Narrow" w:hAnsi="Arial Narrow" w:cs="Arial Narrow" w:eastAsia="Arial Narrow"/>
          <w:b w:val="0"/>
          <w:i w:val="0"/>
          <w:sz w:val="22"/>
        </w:rPr>
        <w:t>Sekundarquellen</w:t>
      </w:r>
    </w:p>
    <w:p>
      <w:pPr>
        <w:pStyle w:val="ListNumber"/>
        <w:spacing w:after="80"/>
      </w:pPr>
      <w:r>
        <w:rPr>
          <w:rFonts w:ascii="Arial Narrow" w:hAnsi="Arial Narrow" w:cs="Arial Narrow" w:eastAsia="Arial Narrow"/>
          <w:b w:val="0"/>
          <w:i w:val="0"/>
          <w:sz w:val="22"/>
        </w:rPr>
        <w:t xml:space="preserve">Agritecture (2026, Februar). </w:t>
      </w:r>
      <w:r>
        <w:rPr>
          <w:rFonts w:ascii="Arial Narrow" w:hAnsi="Arial Narrow" w:cs="Arial Narrow" w:eastAsia="Arial Narrow"/>
          <w:b w:val="0"/>
          <w:i/>
          <w:sz w:val="22"/>
        </w:rPr>
        <w:t>The Future of Agritourism: 7 Trends Reshaping Farm Experiences.</w:t>
      </w:r>
    </w:p>
    <w:p>
      <w:pPr>
        <w:pStyle w:val="ListNumber"/>
        <w:spacing w:after="80"/>
      </w:pPr>
      <w:r>
        <w:rPr>
          <w:rFonts w:ascii="Arial Narrow" w:hAnsi="Arial Narrow" w:cs="Arial Narrow" w:eastAsia="Arial Narrow"/>
          <w:b w:val="0"/>
          <w:i w:val="0"/>
          <w:sz w:val="22"/>
        </w:rPr>
        <w:t xml:space="preserve">AgriWebb (2026). </w:t>
      </w:r>
      <w:r>
        <w:rPr>
          <w:rFonts w:ascii="Arial Narrow" w:hAnsi="Arial Narrow" w:cs="Arial Narrow" w:eastAsia="Arial Narrow"/>
          <w:b w:val="0"/>
          <w:i/>
          <w:sz w:val="22"/>
        </w:rPr>
        <w:t>Livestock Management Platform Capabilities.</w:t>
      </w:r>
    </w:p>
    <w:p>
      <w:pPr>
        <w:pStyle w:val="ListNumber"/>
        <w:spacing w:after="80"/>
      </w:pPr>
      <w:r>
        <w:rPr>
          <w:rFonts w:ascii="Arial Narrow" w:hAnsi="Arial Narrow" w:cs="Arial Narrow" w:eastAsia="Arial Narrow"/>
          <w:b w:val="0"/>
          <w:i w:val="0"/>
          <w:sz w:val="22"/>
        </w:rPr>
        <w:t xml:space="preserve">ThingsBoard (2026). </w:t>
      </w:r>
      <w:r>
        <w:rPr>
          <w:rFonts w:ascii="Arial Narrow" w:hAnsi="Arial Narrow" w:cs="Arial Narrow" w:eastAsia="Arial Narrow"/>
          <w:b w:val="0"/>
          <w:i/>
          <w:sz w:val="22"/>
        </w:rPr>
        <w:t>Smart farming &amp; IoT agriculture solution.</w:t>
      </w:r>
    </w:p>
    <w:p>
      <w:pPr>
        <w:pStyle w:val="ListNumber"/>
        <w:spacing w:after="80"/>
      </w:pPr>
      <w:r>
        <w:rPr>
          <w:rFonts w:ascii="Arial Narrow" w:hAnsi="Arial Narrow" w:cs="Arial Narrow" w:eastAsia="Arial Narrow"/>
          <w:b w:val="0"/>
          <w:i w:val="0"/>
          <w:sz w:val="22"/>
        </w:rPr>
        <w:t xml:space="preserve">Zoon.ru (2026). </w:t>
      </w:r>
      <w:r>
        <w:rPr>
          <w:rFonts w:ascii="Arial Narrow" w:hAnsi="Arial Narrow" w:cs="Arial Narrow" w:eastAsia="Arial Narrow"/>
          <w:b w:val="0"/>
          <w:i/>
          <w:sz w:val="22"/>
        </w:rPr>
        <w:t>Agropark Nekrasovo pole — Bewertungen und Informationen.</w:t>
      </w:r>
    </w:p>
    <w:p>
      <w:pPr>
        <w:pStyle w:val="ListNumber"/>
        <w:spacing w:after="80"/>
      </w:pPr>
      <w:r>
        <w:rPr>
          <w:rFonts w:ascii="Arial Narrow" w:hAnsi="Arial Narrow" w:cs="Arial Narrow" w:eastAsia="Arial Narrow"/>
          <w:b w:val="0"/>
          <w:i w:val="0"/>
          <w:sz w:val="22"/>
        </w:rPr>
        <w:t xml:space="preserve">Visit Kaliningrad (2026). </w:t>
      </w:r>
      <w:r>
        <w:rPr>
          <w:rFonts w:ascii="Arial Narrow" w:hAnsi="Arial Narrow" w:cs="Arial Narrow" w:eastAsia="Arial Narrow"/>
          <w:b w:val="0"/>
          <w:i/>
          <w:sz w:val="22"/>
        </w:rPr>
        <w:t>Touristisches Portfolioprofil AgroPark Nekrasovo.</w:t>
      </w:r>
    </w:p>
    <w:p>
      <w:pPr>
        <w:pStyle w:val="Heading3"/>
        <w:spacing w:before="240" w:after="120"/>
        <w:jc w:val="left"/>
      </w:pPr>
      <w:r>
        <w:rPr>
          <w:rFonts w:ascii="Arial Narrow" w:hAnsi="Arial Narrow" w:cs="Arial Narrow" w:eastAsia="Arial Narrow"/>
          <w:b w:val="0"/>
          <w:i w:val="0"/>
          <w:sz w:val="22"/>
        </w:rPr>
        <w:t>Methodologische Hinweise</w:t>
      </w:r>
    </w:p>
    <w:p>
      <w:pPr>
        <w:pStyle w:val="ListBullet"/>
        <w:spacing w:after="80"/>
      </w:pPr>
      <w:r>
        <w:rPr>
          <w:rFonts w:ascii="Arial Narrow" w:hAnsi="Arial Narrow" w:cs="Arial Narrow" w:eastAsia="Arial Narrow"/>
          <w:b w:val="0"/>
          <w:i w:val="0"/>
          <w:sz w:val="22"/>
        </w:rPr>
        <w:t>Alle Marktprojektionen basieren auf verifizierten Analystenberichten (Stand: Juni 2026).</w:t>
      </w:r>
    </w:p>
    <w:p>
      <w:pPr>
        <w:pStyle w:val="ListBullet"/>
        <w:spacing w:after="80"/>
      </w:pPr>
      <w:r>
        <w:rPr>
          <w:rFonts w:ascii="Arial Narrow" w:hAnsi="Arial Narrow" w:cs="Arial Narrow" w:eastAsia="Arial Narrow"/>
          <w:b w:val="0"/>
          <w:i w:val="0"/>
          <w:sz w:val="22"/>
        </w:rPr>
        <w:t>Umsatzschatzungen des Mandanten basieren auf Branchenbenchmarks vergleichbarer Betriebe. Eine Prazisierung erfordert Zugriff auf interne Finanzdaten.</w:t>
      </w:r>
    </w:p>
    <w:p>
      <w:pPr>
        <w:pStyle w:val="ListBullet"/>
        <w:spacing w:after="80"/>
      </w:pPr>
      <w:r>
        <w:rPr>
          <w:rFonts w:ascii="Arial Narrow" w:hAnsi="Arial Narrow" w:cs="Arial Narrow" w:eastAsia="Arial Narrow"/>
          <w:b w:val="0"/>
          <w:i w:val="0"/>
          <w:sz w:val="22"/>
        </w:rPr>
        <w:t>ROI-Projektionen verwenden konservative Annahmen und beinhalten einen 15% Sicherheitspuffer fur unvorhergesehene Kosten.</w:t>
      </w:r>
    </w:p>
    <w:p>
      <w:pPr>
        <w:spacing w:after="160" w:line="360" w:lineRule="auto"/>
        <w:jc w:val="left"/>
      </w:pPr>
      <w:r>
        <w:rPr>
          <w:rFonts w:ascii="Arial Narrow" w:hAnsi="Arial Narrow" w:cs="Arial Narrow" w:eastAsia="Arial Narrow"/>
          <w:b w:val="0"/>
          <w:i/>
          <w:sz w:val="22"/>
        </w:rPr>
        <w:t>Ende des Strategiepapiers</w:t>
      </w:r>
    </w:p>
    <w:p>
      <w:pPr>
        <w:spacing w:after="160" w:line="360" w:lineRule="auto"/>
        <w:jc w:val="left"/>
      </w:pPr>
      <w:r>
        <w:rPr>
          <w:rFonts w:ascii="Arial Narrow" w:hAnsi="Arial Narrow" w:cs="Arial Narrow" w:eastAsia="Arial Narrow"/>
          <w:b w:val="0"/>
          <w:i/>
          <w:sz w:val="22"/>
        </w:rPr>
        <w:t>Dieses Dokument ist vertraulich und ausschliesslich fur den Auftraggeber und dessen autorisierte Vertreter bestimmt. Eine Weitergabe an Dritte bedarf der vorherigen schriftlichen Zustimmung.</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Narrow" w:hAnsi="Arial Narrow" w:cs="Arial Narrow" w:eastAsia="Arial Narrow"/>
      <w:b w:val="0"/>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Narrow" w:hAnsi="Arial Narrow" w:cs="Arial Narrow" w:eastAsia="Arial Narrow"/>
      <w:b/>
      <w:bCs/>
      <w:color w:val="1B4332"/>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Narrow" w:hAnsi="Arial Narrow" w:cs="Arial Narrow" w:eastAsia="Arial Narrow"/>
      <w:b/>
      <w:bCs/>
      <w:color w:val="1B4332"/>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Narrow" w:hAnsi="Arial Narrow" w:cs="Arial Narrow" w:eastAsia="Arial Narrow"/>
      <w:b/>
      <w:bCs/>
      <w:color w:val="2D6A4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pPr>
    <w:rPr>
      <w:rFonts w:ascii="Arial Narrow" w:hAnsi="Arial Narrow" w:cs="Arial Narrow" w:eastAsia="Arial Narrow"/>
      <w:b w:val="0"/>
      <w:color w:val="2C2C2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pPr>
    <w:rPr>
      <w:rFonts w:ascii="Arial Narrow" w:hAnsi="Arial Narrow" w:cs="Arial Narrow" w:eastAsia="Arial Narrow"/>
      <w:b w:val="0"/>
      <w:color w:val="2C2C2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