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Bdr>
          <w:bottom w:val="single" w:sz="28" w:space="4" w:color="0F766E"/>
        </w:pBdr>
      </w:pPr>
      <w:r>
        <w:rPr>
          <w:rFonts w:ascii="Calibri" w:hAnsi="Calibri"/>
          <w:b/>
          <w:i w:val="0"/>
          <w:color w:val="0F766E"/>
          <w:sz w:val="28"/>
        </w:rPr>
        <w:t>1ÇATI</w:t>
      </w:r>
    </w:p>
    <w:p/>
    <w:p/>
    <w:p>
      <w:pPr>
        <w:spacing w:after="320"/>
        <w:jc w:val="left"/>
      </w:pPr>
      <w:r>
        <w:rPr>
          <w:rFonts w:ascii="Calibri" w:hAnsi="Calibri"/>
          <w:b/>
          <w:i w:val="0"/>
          <w:color w:val="102A43"/>
          <w:sz w:val="60"/>
        </w:rPr>
        <w:t>External Integrations,</w:t>
        <w:br/>
        <w:t>Turkish Compliance &amp;</w:t>
        <w:br/>
        <w:t>Scale-Cost Blueprint</w:t>
      </w:r>
    </w:p>
    <w:p>
      <w:r>
        <w:rPr>
          <w:rFonts w:ascii="Calibri" w:hAnsi="Calibri"/>
          <w:b/>
          <w:i w:val="0"/>
          <w:color w:val="2E74B5"/>
          <w:sz w:val="30"/>
        </w:rPr>
        <w:t>Executive Decision Pack</w:t>
      </w:r>
    </w:p>
    <w:p>
      <w:pPr>
        <w:spacing w:after="560"/>
      </w:pPr>
      <w:r>
        <w:rPr>
          <w:rFonts w:ascii="Calibri" w:hAnsi="Calibri"/>
          <w:b w:val="0"/>
          <w:i w:val="0"/>
          <w:color w:val="5B6673"/>
          <w:sz w:val="24"/>
        </w:rPr>
        <w:t>Demo-to-production strategy • 1,000 / 5,000 / 10,000 users • provider and regulatory roadmap</w:t>
      </w: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2100"/>
        <w:gridCol w:w="7260"/>
      </w:tblGrid>
      <w:tr>
        <w:trPr>
          <w:cantSplit/>
          <w:tblHeader w:val="true"/>
        </w:trPr>
        <w:tc>
          <w:tcPr>
            <w:tcW w:type="dxa" w:w="2100"/>
            <w:shd w:fill="EAF2F8"/>
            <w:tcMar>
              <w:top w:w="80" w:type="dxa"/>
              <w:start w:w="120" w:type="dxa"/>
              <w:bottom w:w="80" w:type="dxa"/>
              <w:end w:w="120" w:type="dxa"/>
            </w:tcMar>
            <w:vAlign w:val="center"/>
          </w:tcPr>
          <w:p>
            <w:r>
              <w:rPr>
                <w:rFonts w:ascii="Calibri" w:hAnsi="Calibri"/>
                <w:b/>
                <w:i w:val="0"/>
                <w:color w:val="102A43"/>
                <w:sz w:val="18"/>
              </w:rPr>
              <w:t>Prepared for</w:t>
            </w:r>
          </w:p>
        </w:tc>
        <w:tc>
          <w:tcPr>
            <w:tcW w:type="dxa" w:w="7260"/>
            <w:tcMar>
              <w:top w:w="80" w:type="dxa"/>
              <w:start w:w="120" w:type="dxa"/>
              <w:bottom w:w="80" w:type="dxa"/>
              <w:end w:w="120" w:type="dxa"/>
            </w:tcMar>
            <w:vAlign w:val="center"/>
          </w:tcPr>
          <w:p>
            <w:r>
              <w:rPr>
                <w:rFonts w:ascii="Calibri" w:hAnsi="Calibri"/>
                <w:b w:val="0"/>
                <w:i w:val="0"/>
                <w:color w:val="1F2937"/>
                <w:sz w:val="19"/>
              </w:rPr>
              <w:t>Ataberk Estate — top management</w:t>
            </w:r>
          </w:p>
        </w:tc>
      </w:tr>
      <w:tr>
        <w:trPr>
          <w:cantSplit/>
        </w:trPr>
        <w:tc>
          <w:tcPr>
            <w:tcW w:type="dxa" w:w="2100"/>
            <w:shd w:fill="EAF2F8"/>
            <w:tcMar>
              <w:top w:w="80" w:type="dxa"/>
              <w:start w:w="120" w:type="dxa"/>
              <w:bottom w:w="80" w:type="dxa"/>
              <w:end w:w="120" w:type="dxa"/>
            </w:tcMar>
            <w:vAlign w:val="center"/>
          </w:tcPr>
          <w:p>
            <w:r>
              <w:rPr>
                <w:rFonts w:ascii="Calibri" w:hAnsi="Calibri"/>
                <w:b/>
                <w:i w:val="0"/>
                <w:color w:val="102A43"/>
                <w:sz w:val="18"/>
              </w:rPr>
              <w:t>Programme</w:t>
            </w:r>
          </w:p>
        </w:tc>
        <w:tc>
          <w:tcPr>
            <w:tcW w:type="dxa" w:w="7260"/>
            <w:tcMar>
              <w:top w:w="80" w:type="dxa"/>
              <w:start w:w="120" w:type="dxa"/>
              <w:bottom w:w="80" w:type="dxa"/>
              <w:end w:w="120" w:type="dxa"/>
            </w:tcMar>
            <w:vAlign w:val="center"/>
          </w:tcPr>
          <w:p>
            <w:r>
              <w:rPr>
                <w:rFonts w:ascii="Calibri" w:hAnsi="Calibri"/>
                <w:b w:val="0"/>
                <w:i w:val="0"/>
                <w:color w:val="1F2937"/>
                <w:sz w:val="19"/>
              </w:rPr>
              <w:t>1Çatı property-management platform</w:t>
            </w:r>
          </w:p>
        </w:tc>
      </w:tr>
      <w:tr>
        <w:trPr>
          <w:cantSplit/>
        </w:trPr>
        <w:tc>
          <w:tcPr>
            <w:tcW w:type="dxa" w:w="2100"/>
            <w:shd w:fill="EAF2F8"/>
            <w:tcMar>
              <w:top w:w="80" w:type="dxa"/>
              <w:start w:w="120" w:type="dxa"/>
              <w:bottom w:w="80" w:type="dxa"/>
              <w:end w:w="120" w:type="dxa"/>
            </w:tcMar>
            <w:vAlign w:val="center"/>
          </w:tcPr>
          <w:p>
            <w:r>
              <w:rPr>
                <w:rFonts w:ascii="Calibri" w:hAnsi="Calibri"/>
                <w:b/>
                <w:i w:val="0"/>
                <w:color w:val="102A43"/>
                <w:sz w:val="18"/>
              </w:rPr>
              <w:t>Prepared by</w:t>
            </w:r>
          </w:p>
        </w:tc>
        <w:tc>
          <w:tcPr>
            <w:tcW w:type="dxa" w:w="7260"/>
            <w:tcMar>
              <w:top w:w="80" w:type="dxa"/>
              <w:start w:w="120" w:type="dxa"/>
              <w:bottom w:w="80" w:type="dxa"/>
              <w:end w:w="120" w:type="dxa"/>
            </w:tcMar>
            <w:vAlign w:val="center"/>
          </w:tcPr>
          <w:p>
            <w:r>
              <w:rPr>
                <w:rFonts w:ascii="Calibri" w:hAnsi="Calibri"/>
                <w:b w:val="0"/>
                <w:i w:val="0"/>
                <w:color w:val="1F2937"/>
                <w:sz w:val="19"/>
              </w:rPr>
              <w:t>WAMOCON GmbH / programme team</w:t>
            </w:r>
          </w:p>
        </w:tc>
      </w:tr>
      <w:tr>
        <w:trPr>
          <w:cantSplit/>
        </w:trPr>
        <w:tc>
          <w:tcPr>
            <w:tcW w:type="dxa" w:w="2100"/>
            <w:shd w:fill="EAF2F8"/>
            <w:tcMar>
              <w:top w:w="80" w:type="dxa"/>
              <w:start w:w="120" w:type="dxa"/>
              <w:bottom w:w="80" w:type="dxa"/>
              <w:end w:w="120" w:type="dxa"/>
            </w:tcMar>
            <w:vAlign w:val="center"/>
          </w:tcPr>
          <w:p>
            <w:r>
              <w:rPr>
                <w:rFonts w:ascii="Calibri" w:hAnsi="Calibri"/>
                <w:b/>
                <w:i w:val="0"/>
                <w:color w:val="102A43"/>
                <w:sz w:val="18"/>
              </w:rPr>
              <w:t>Pricing baseline</w:t>
            </w:r>
          </w:p>
        </w:tc>
        <w:tc>
          <w:tcPr>
            <w:tcW w:type="dxa" w:w="7260"/>
            <w:tcMar>
              <w:top w:w="80" w:type="dxa"/>
              <w:start w:w="120" w:type="dxa"/>
              <w:bottom w:w="80" w:type="dxa"/>
              <w:end w:w="120" w:type="dxa"/>
            </w:tcMar>
            <w:vAlign w:val="center"/>
          </w:tcPr>
          <w:p>
            <w:r>
              <w:rPr>
                <w:rFonts w:ascii="Calibri" w:hAnsi="Calibri"/>
                <w:b w:val="0"/>
                <w:i w:val="0"/>
                <w:color w:val="1F2937"/>
                <w:sz w:val="19"/>
              </w:rPr>
              <w:t>15 July 2026 • USD/TRY reference 47.0098, editable in calculator</w:t>
            </w:r>
          </w:p>
        </w:tc>
      </w:tr>
    </w:tbl>
    <w:p/>
    <w:tbl>
      <w:tblPr>
        <w:tblW w:type="dxa" w:w="9360"/>
        <w:jc w:val="left"/>
        <w:tblLayout w:type="fixed"/>
        <w:tblLook w:firstColumn="1" w:firstRow="1" w:lastColumn="0" w:lastRow="0" w:noHBand="0" w:noVBand="1" w:val="04A0"/>
        <w:tblInd w:w="120" w:type="dxa"/>
        <w:tblBorders>
          <w:top w:val="single" w:sz="0" w:color="102A43"/>
          <w:left w:val="single" w:sz="0" w:color="102A43"/>
          <w:bottom w:val="single" w:sz="0" w:color="102A43"/>
          <w:right w:val="single" w:sz="0" w:color="102A43"/>
          <w:insideH w:val="single" w:sz="0" w:color="102A43"/>
          <w:insideV w:val="single" w:sz="0" w:color="102A43"/>
        </w:tblBorders>
      </w:tblPr>
      <w:tblGrid>
        <w:gridCol w:w="9360"/>
      </w:tblGrid>
      <w:tr>
        <w:trPr>
          <w:cantSplit/>
          <w:tblHeader w:val="true"/>
        </w:trPr>
        <w:tc>
          <w:tcPr>
            <w:tcW w:type="dxa" w:w="9360"/>
            <w:shd w:fill="102A43"/>
            <w:tcMar>
              <w:top w:w="80" w:type="dxa"/>
              <w:start w:w="120" w:type="dxa"/>
              <w:bottom w:w="80" w:type="dxa"/>
              <w:end w:w="120" w:type="dxa"/>
            </w:tcMar>
            <w:vAlign w:val="center"/>
          </w:tcPr>
          <w:p>
            <w:r>
              <w:rPr>
                <w:rFonts w:ascii="Calibri" w:hAnsi="Calibri"/>
                <w:b/>
                <w:i w:val="0"/>
                <w:color w:val="FFFFFF"/>
                <w:sz w:val="20"/>
              </w:rPr>
              <w:t>STRICTLY CONFIDENTIAL</w:t>
            </w:r>
            <w:r>
              <w:br/>
            </w:r>
            <w:r>
              <w:rPr>
                <w:rFonts w:ascii="Calibri" w:hAnsi="Calibri"/>
                <w:b w:val="0"/>
                <w:i w:val="0"/>
                <w:color w:val="FFFFFF"/>
                <w:sz w:val="18"/>
              </w:rPr>
              <w:t>Management planning document. Public prices can change; quotations, contracts and Turkish legal/accounting review remain required before production activation.</w:t>
            </w:r>
          </w:p>
        </w:tc>
      </w:tr>
    </w:tbl>
    <w:p>
      <w:r>
        <w:br w:type="page"/>
      </w:r>
    </w:p>
    <w:p>
      <w:bookmarkStart w:id="100" w:name="control"/>
      <w:pPr>
        <w:pStyle w:val="Heading1"/>
      </w:pPr>
      <w:r>
        <w:t>Document control and use</w:t>
      </w:r>
      <w:bookmarkEnd w:id="100"/>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7460"/>
      </w:tblGrid>
      <w:tr>
        <w:trPr>
          <w:cantSplit/>
          <w:tblHeader w:val="true"/>
          <w:cantSplit/>
        </w:trPr>
        <w:tc>
          <w:tcPr>
            <w:tcW w:type="dxa" w:w="1900"/>
            <w:shd w:fill="102A43"/>
            <w:tcMar>
              <w:top w:w="80" w:type="dxa"/>
              <w:start w:w="120" w:type="dxa"/>
              <w:bottom w:w="80" w:type="dxa"/>
              <w:end w:w="120" w:type="dxa"/>
            </w:tcMar>
            <w:vAlign w:val="center"/>
          </w:tcPr>
          <w:p>
            <w:r>
              <w:rPr>
                <w:rFonts w:ascii="Calibri" w:hAnsi="Calibri"/>
                <w:b/>
                <w:i w:val="0"/>
                <w:color w:val="FFFFFF"/>
                <w:sz w:val="18"/>
              </w:rPr>
              <w:t>Field</w:t>
            </w:r>
          </w:p>
        </w:tc>
        <w:tc>
          <w:tcPr>
            <w:tcW w:type="dxa" w:w="7460"/>
            <w:shd w:fill="102A43"/>
            <w:tcMar>
              <w:top w:w="80" w:type="dxa"/>
              <w:start w:w="120" w:type="dxa"/>
              <w:bottom w:w="80" w:type="dxa"/>
              <w:end w:w="120" w:type="dxa"/>
            </w:tcMar>
            <w:vAlign w:val="center"/>
          </w:tcPr>
          <w:p>
            <w:r>
              <w:rPr>
                <w:rFonts w:ascii="Calibri" w:hAnsi="Calibri"/>
                <w:b/>
                <w:i w:val="0"/>
                <w:color w:val="FFFFFF"/>
                <w:sz w:val="18"/>
              </w:rPr>
              <w:t>Value</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8"/>
              </w:rPr>
              <w:t>Purpose</w:t>
            </w:r>
          </w:p>
        </w:tc>
        <w:tc>
          <w:tcPr>
            <w:tcW w:type="dxa" w:w="7460"/>
            <w:tcMar>
              <w:top w:w="80" w:type="dxa"/>
              <w:start w:w="120" w:type="dxa"/>
              <w:bottom w:w="80" w:type="dxa"/>
              <w:end w:w="120" w:type="dxa"/>
            </w:tcMar>
            <w:vAlign w:val="center"/>
          </w:tcPr>
          <w:p>
            <w:r>
              <w:rPr>
                <w:rFonts w:ascii="Calibri" w:hAnsi="Calibri"/>
                <w:b w:val="0"/>
                <w:i w:val="0"/>
                <w:color w:val="1F2937"/>
                <w:sz w:val="18"/>
              </w:rPr>
              <w:t>Management decision and procurement-planning baseline for external integrations, Turkish compliance and scale cost.</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8"/>
              </w:rPr>
              <w:t>Product state</w:t>
            </w:r>
          </w:p>
        </w:tc>
        <w:tc>
          <w:tcPr>
            <w:tcW w:type="dxa" w:w="7460"/>
            <w:shd w:fill="F8FAFC"/>
            <w:tcMar>
              <w:top w:w="80" w:type="dxa"/>
              <w:start w:w="120" w:type="dxa"/>
              <w:bottom w:w="80" w:type="dxa"/>
              <w:end w:w="120" w:type="dxa"/>
            </w:tcMar>
            <w:vAlign w:val="center"/>
          </w:tcPr>
          <w:p>
            <w:r>
              <w:rPr>
                <w:rFonts w:ascii="Calibri" w:hAnsi="Calibri"/>
                <w:b w:val="0"/>
                <w:i w:val="0"/>
                <w:color w:val="1F2937"/>
                <w:sz w:val="18"/>
              </w:rPr>
              <w:t>Credible demo / internal-QA foundation. Provider adapters are not production-connected unless separately evidenced.</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8"/>
              </w:rPr>
              <w:t>Audience</w:t>
            </w:r>
          </w:p>
        </w:tc>
        <w:tc>
          <w:tcPr>
            <w:tcW w:type="dxa" w:w="7460"/>
            <w:tcMar>
              <w:top w:w="80" w:type="dxa"/>
              <w:start w:w="120" w:type="dxa"/>
              <w:bottom w:w="80" w:type="dxa"/>
              <w:end w:w="120" w:type="dxa"/>
            </w:tcMar>
            <w:vAlign w:val="center"/>
          </w:tcPr>
          <w:p>
            <w:r>
              <w:rPr>
                <w:rFonts w:ascii="Calibri" w:hAnsi="Calibri"/>
                <w:b w:val="0"/>
                <w:i w:val="0"/>
                <w:color w:val="1F2937"/>
                <w:sz w:val="18"/>
              </w:rPr>
              <w:t>Ataberk Estate executive management, finance, legal/accounting, operations and WAMOCON delivery leadership.</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8"/>
              </w:rPr>
              <w:t>Pricing status</w:t>
            </w:r>
          </w:p>
        </w:tc>
        <w:tc>
          <w:tcPr>
            <w:tcW w:type="dxa" w:w="7460"/>
            <w:shd w:fill="F8FAFC"/>
            <w:tcMar>
              <w:top w:w="80" w:type="dxa"/>
              <w:start w:w="120" w:type="dxa"/>
              <w:bottom w:w="80" w:type="dxa"/>
              <w:end w:w="120" w:type="dxa"/>
            </w:tcMar>
            <w:vAlign w:val="center"/>
          </w:tcPr>
          <w:p>
            <w:r>
              <w:rPr>
                <w:rFonts w:ascii="Calibri" w:hAnsi="Calibri"/>
                <w:b w:val="0"/>
                <w:i w:val="0"/>
                <w:color w:val="1F2937"/>
                <w:sz w:val="18"/>
              </w:rPr>
              <w:t>Public price pages and official rules checked 15 July 2026. Contracted rates and taxes can differ.</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8"/>
              </w:rPr>
              <w:t>Currency rule</w:t>
            </w:r>
          </w:p>
        </w:tc>
        <w:tc>
          <w:tcPr>
            <w:tcW w:type="dxa" w:w="7460"/>
            <w:tcMar>
              <w:top w:w="80" w:type="dxa"/>
              <w:start w:w="120" w:type="dxa"/>
              <w:bottom w:w="80" w:type="dxa"/>
              <w:end w:w="120" w:type="dxa"/>
            </w:tcMar>
            <w:vAlign w:val="center"/>
          </w:tcPr>
          <w:p>
            <w:r>
              <w:rPr>
                <w:rFonts w:ascii="Calibri" w:hAnsi="Calibri"/>
                <w:b w:val="0"/>
                <w:i w:val="0"/>
                <w:color w:val="1F2937"/>
                <w:sz w:val="18"/>
              </w:rPr>
              <w:t>USD and TRY remain separate. The 47.0098 reference is shown only for transparent planning conversion.</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8"/>
              </w:rPr>
              <w:t>Legal status</w:t>
            </w:r>
          </w:p>
        </w:tc>
        <w:tc>
          <w:tcPr>
            <w:tcW w:type="dxa" w:w="7460"/>
            <w:shd w:fill="F8FAFC"/>
            <w:tcMar>
              <w:top w:w="80" w:type="dxa"/>
              <w:start w:w="120" w:type="dxa"/>
              <w:bottom w:w="80" w:type="dxa"/>
              <w:end w:w="120" w:type="dxa"/>
            </w:tcMar>
            <w:vAlign w:val="center"/>
          </w:tcPr>
          <w:p>
            <w:r>
              <w:rPr>
                <w:rFonts w:ascii="Calibri" w:hAnsi="Calibri"/>
                <w:b w:val="0"/>
                <w:i w:val="0"/>
                <w:color w:val="1F2937"/>
                <w:sz w:val="18"/>
              </w:rPr>
              <w:t>Decision support, not Turkish legal, tax or accounting advice. Named advisers must approve the final operating model.</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8"/>
              </w:rPr>
              <w:t>Related artefact</w:t>
            </w:r>
          </w:p>
        </w:tc>
        <w:tc>
          <w:tcPr>
            <w:tcW w:type="dxa" w:w="7460"/>
            <w:tcMar>
              <w:top w:w="80" w:type="dxa"/>
              <w:start w:w="120" w:type="dxa"/>
              <w:bottom w:w="80" w:type="dxa"/>
              <w:end w:w="120" w:type="dxa"/>
            </w:tcMar>
            <w:vAlign w:val="center"/>
          </w:tcPr>
          <w:p>
            <w:r>
              <w:rPr>
                <w:rFonts w:ascii="Calibri" w:hAnsi="Calibri"/>
                <w:b w:val="0"/>
                <w:i w:val="0"/>
                <w:color w:val="1F2937"/>
                <w:sz w:val="18"/>
              </w:rPr>
              <w:t>Interactive HTML Cost &amp; Scale Estimator dated 15 July 2026, stored beside this document.</w:t>
            </w:r>
          </w:p>
        </w:tc>
      </w:tr>
    </w:tbl>
    <w:tbl>
      <w:tblPr>
        <w:tblW w:type="dxa" w:w="9360"/>
        <w:jc w:val="left"/>
        <w:tblLayout w:type="fixed"/>
        <w:tblLook w:firstColumn="1" w:firstRow="1" w:lastColumn="0" w:lastRow="0" w:noHBand="0" w:noVBand="1" w:val="04A0"/>
        <w:tblInd w:w="120" w:type="dxa"/>
        <w:tblBorders>
          <w:top w:val="single" w:sz="8" w:color="D97706"/>
          <w:left w:val="single" w:sz="8" w:color="D97706"/>
          <w:bottom w:val="single" w:sz="8" w:color="D97706"/>
          <w:right w:val="single" w:sz="8" w:color="D97706"/>
          <w:insideH w:val="single" w:sz="8" w:color="D97706"/>
          <w:insideV w:val="single" w:sz="8" w:color="D97706"/>
        </w:tblBorders>
      </w:tblPr>
      <w:tblGrid>
        <w:gridCol w:w="9360"/>
      </w:tblGrid>
      <w:tr>
        <w:trPr>
          <w:cantSplit/>
          <w:tblHeader w:val="true"/>
        </w:trPr>
        <w:tc>
          <w:tcPr>
            <w:tcW w:type="dxa" w:w="9360"/>
            <w:shd w:fill="FFF4E5"/>
            <w:tcMar>
              <w:top w:w="80" w:type="dxa"/>
              <w:start w:w="120" w:type="dxa"/>
              <w:bottom w:w="80" w:type="dxa"/>
              <w:end w:w="120" w:type="dxa"/>
            </w:tcMar>
            <w:vAlign w:val="center"/>
          </w:tcPr>
          <w:p>
            <w:r>
              <w:rPr>
                <w:rFonts w:ascii="Calibri" w:hAnsi="Calibri"/>
                <w:b/>
                <w:i w:val="0"/>
                <w:color w:val="D97706"/>
                <w:sz w:val="20"/>
              </w:rPr>
              <w:t>How to read the numbers</w:t>
              <w:br/>
            </w:r>
            <w:r>
              <w:rPr>
                <w:rFonts w:ascii="Calibri" w:hAnsi="Calibri"/>
                <w:b w:val="0"/>
                <w:i w:val="0"/>
                <w:color w:val="1F2937"/>
                <w:sz w:val="19"/>
              </w:rPr>
              <w:t>Published price = traceable public vendor figure. Planning assumption = editable volume/capacity choice. Statutory fee = official amount but entity applicability must be confirmed. Quote required = visible but deliberately excluded from the known subtotal. A 'known subtotal' is not the final budget while quotation items remain.</w:t>
            </w:r>
          </w:p>
        </w:tc>
      </w:tr>
    </w:tbl>
    <w:p>
      <w:pPr>
        <w:spacing w:after="40"/>
      </w:pPr>
    </w:p>
    <w:p>
      <w:bookmarkStart w:id="101" w:name="contents"/>
      <w:pPr>
        <w:pStyle w:val="Heading1"/>
      </w:pPr>
      <w:r>
        <w:t>Document map</w:t>
      </w:r>
      <w:bookmarkEnd w:id="101"/>
    </w:p>
    <w:p>
      <w:pPr>
        <w:pStyle w:val="ExecutiveLead"/>
      </w:pPr>
      <w:r>
        <w:rPr>
          <w:rFonts w:ascii="Calibri" w:hAnsi="Calibri"/>
          <w:b w:val="0"/>
          <w:i w:val="0"/>
          <w:color w:val="1F2937"/>
          <w:sz w:val="20"/>
        </w:rPr>
        <w:t>Use the first four sections for the management decision. Sections 5–13 provide the cost logic, Turkish requirements, work packages and implementation gates. Appendices provide auditable formulas and sources.</w:t>
      </w: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20"/>
        <w:gridCol w:w="8640"/>
      </w:tblGrid>
      <w:tr>
        <w:trPr>
          <w:cantSplit/>
          <w:tblHeader w:val="true"/>
        </w:trPr>
        <w:tc>
          <w:tcPr>
            <w:tcW w:type="dxa" w:w="720"/>
            <w:shd w:fill="102A43"/>
            <w:tcMar>
              <w:top w:w="80" w:type="dxa"/>
              <w:start w:w="120" w:type="dxa"/>
              <w:bottom w:w="80" w:type="dxa"/>
              <w:end w:w="120" w:type="dxa"/>
            </w:tcMar>
            <w:vAlign w:val="center"/>
          </w:tcPr>
          <w:p>
            <w:r>
              <w:rPr>
                <w:rFonts w:ascii="Calibri" w:hAnsi="Calibri"/>
                <w:b/>
                <w:i w:val="0"/>
                <w:color w:val="FFFFFF"/>
                <w:sz w:val="17"/>
              </w:rPr>
              <w:t>Section</w:t>
            </w:r>
          </w:p>
        </w:tc>
        <w:tc>
          <w:tcPr>
            <w:tcW w:type="dxa" w:w="8640"/>
            <w:shd w:fill="102A43"/>
            <w:tcMar>
              <w:top w:w="80" w:type="dxa"/>
              <w:start w:w="120" w:type="dxa"/>
              <w:bottom w:w="80" w:type="dxa"/>
              <w:end w:w="120" w:type="dxa"/>
            </w:tcMar>
            <w:vAlign w:val="center"/>
          </w:tcPr>
          <w:p>
            <w:r>
              <w:rPr>
                <w:rFonts w:ascii="Calibri" w:hAnsi="Calibri"/>
                <w:b/>
                <w:i w:val="0"/>
                <w:color w:val="FFFFFF"/>
                <w:sz w:val="17"/>
              </w:rPr>
              <w:t>Content</w:t>
            </w:r>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1</w:t>
            </w:r>
          </w:p>
        </w:tc>
        <w:tc>
          <w:tcPr>
            <w:tcW w:type="dxa" w:w="8640"/>
            <w:tcMar>
              <w:top w:w="80" w:type="dxa"/>
              <w:start w:w="120" w:type="dxa"/>
              <w:bottom w:w="80" w:type="dxa"/>
              <w:end w:w="120" w:type="dxa"/>
            </w:tcMar>
            <w:vAlign w:val="center"/>
          </w:tcPr>
          <w:p>
            <w:hyperlink w:anchor="exec">
              <w:r>
                <w:rPr>
                  <w:color w:val="2E74B5"/>
                  <w:u w:val="single"/>
                </w:rPr>
                <w:t>Executive summary</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2</w:t>
            </w:r>
          </w:p>
        </w:tc>
        <w:tc>
          <w:tcPr>
            <w:tcW w:type="dxa" w:w="8640"/>
            <w:tcMar>
              <w:top w:w="80" w:type="dxa"/>
              <w:start w:w="120" w:type="dxa"/>
              <w:bottom w:w="80" w:type="dxa"/>
              <w:end w:w="120" w:type="dxa"/>
            </w:tcMar>
            <w:vAlign w:val="center"/>
          </w:tcPr>
          <w:p>
            <w:hyperlink w:anchor="decisions">
              <w:r>
                <w:rPr>
                  <w:color w:val="2E74B5"/>
                  <w:u w:val="single"/>
                </w:rPr>
                <w:t>Decisions required from management</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3</w:t>
            </w:r>
          </w:p>
        </w:tc>
        <w:tc>
          <w:tcPr>
            <w:tcW w:type="dxa" w:w="8640"/>
            <w:tcMar>
              <w:top w:w="80" w:type="dxa"/>
              <w:start w:w="120" w:type="dxa"/>
              <w:bottom w:w="80" w:type="dxa"/>
              <w:end w:w="120" w:type="dxa"/>
            </w:tcMar>
            <w:vAlign w:val="center"/>
          </w:tcPr>
          <w:p>
            <w:hyperlink w:anchor="context">
              <w:r>
                <w:rPr>
                  <w:color w:val="2E74B5"/>
                  <w:u w:val="single"/>
                </w:rPr>
                <w:t>Business context, scope and current state</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4</w:t>
            </w:r>
          </w:p>
        </w:tc>
        <w:tc>
          <w:tcPr>
            <w:tcW w:type="dxa" w:w="8640"/>
            <w:tcMar>
              <w:top w:w="80" w:type="dxa"/>
              <w:start w:w="120" w:type="dxa"/>
              <w:bottom w:w="80" w:type="dxa"/>
              <w:end w:w="120" w:type="dxa"/>
            </w:tcMar>
            <w:vAlign w:val="center"/>
          </w:tcPr>
          <w:p>
            <w:hyperlink w:anchor="target">
              <w:r>
                <w:rPr>
                  <w:color w:val="2E74B5"/>
                  <w:u w:val="single"/>
                </w:rPr>
                <w:t>Target operating and integration model</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5</w:t>
            </w:r>
          </w:p>
        </w:tc>
        <w:tc>
          <w:tcPr>
            <w:tcW w:type="dxa" w:w="8640"/>
            <w:tcMar>
              <w:top w:w="80" w:type="dxa"/>
              <w:start w:w="120" w:type="dxa"/>
              <w:bottom w:w="80" w:type="dxa"/>
              <w:end w:w="120" w:type="dxa"/>
            </w:tcMar>
            <w:vAlign w:val="center"/>
          </w:tcPr>
          <w:p>
            <w:hyperlink w:anchor="cost-model">
              <w:r>
                <w:rPr>
                  <w:color w:val="2E74B5"/>
                  <w:u w:val="single"/>
                </w:rPr>
                <w:t>Cost model and management assumptions</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6</w:t>
            </w:r>
          </w:p>
        </w:tc>
        <w:tc>
          <w:tcPr>
            <w:tcW w:type="dxa" w:w="8640"/>
            <w:tcMar>
              <w:top w:w="80" w:type="dxa"/>
              <w:start w:w="120" w:type="dxa"/>
              <w:bottom w:w="80" w:type="dxa"/>
              <w:end w:w="120" w:type="dxa"/>
            </w:tcMar>
            <w:vAlign w:val="center"/>
          </w:tcPr>
          <w:p>
            <w:hyperlink w:anchor="scale">
              <w:r>
                <w:rPr>
                  <w:color w:val="2E74B5"/>
                  <w:u w:val="single"/>
                </w:rPr>
                <w:t>Scale simulation: 1,000 / 5,000 / 10,000 users</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7</w:t>
            </w:r>
          </w:p>
        </w:tc>
        <w:tc>
          <w:tcPr>
            <w:tcW w:type="dxa" w:w="8640"/>
            <w:tcMar>
              <w:top w:w="80" w:type="dxa"/>
              <w:start w:w="120" w:type="dxa"/>
              <w:bottom w:w="80" w:type="dxa"/>
              <w:end w:w="120" w:type="dxa"/>
            </w:tcMar>
            <w:vAlign w:val="center"/>
          </w:tcPr>
          <w:p>
            <w:hyperlink w:anchor="providers">
              <w:r>
                <w:rPr>
                  <w:color w:val="2E74B5"/>
                  <w:u w:val="single"/>
                </w:rPr>
                <w:t>External dependency and provider catalogue</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8</w:t>
            </w:r>
          </w:p>
        </w:tc>
        <w:tc>
          <w:tcPr>
            <w:tcW w:type="dxa" w:w="8640"/>
            <w:tcMar>
              <w:top w:w="80" w:type="dxa"/>
              <w:start w:w="120" w:type="dxa"/>
              <w:bottom w:w="80" w:type="dxa"/>
              <w:end w:w="120" w:type="dxa"/>
            </w:tcMar>
            <w:vAlign w:val="center"/>
          </w:tcPr>
          <w:p>
            <w:hyperlink w:anchor="turkey">
              <w:r>
                <w:rPr>
                  <w:color w:val="2E74B5"/>
                  <w:u w:val="single"/>
                </w:rPr>
                <w:t>Turkish regulatory and compliance blueprint</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9</w:t>
            </w:r>
          </w:p>
        </w:tc>
        <w:tc>
          <w:tcPr>
            <w:tcW w:type="dxa" w:w="8640"/>
            <w:tcMar>
              <w:top w:w="80" w:type="dxa"/>
              <w:start w:w="120" w:type="dxa"/>
              <w:bottom w:w="80" w:type="dxa"/>
              <w:end w:w="120" w:type="dxa"/>
            </w:tcMar>
            <w:vAlign w:val="center"/>
          </w:tcPr>
          <w:p>
            <w:hyperlink w:anchor="ai">
              <w:r>
                <w:rPr>
                  <w:color w:val="2E74B5"/>
                  <w:u w:val="single"/>
                </w:rPr>
                <w:t>AI strategy, cost and governance</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10</w:t>
            </w:r>
          </w:p>
        </w:tc>
        <w:tc>
          <w:tcPr>
            <w:tcW w:type="dxa" w:w="8640"/>
            <w:tcMar>
              <w:top w:w="80" w:type="dxa"/>
              <w:start w:w="120" w:type="dxa"/>
              <w:bottom w:w="80" w:type="dxa"/>
              <w:end w:w="120" w:type="dxa"/>
            </w:tcMar>
            <w:vAlign w:val="center"/>
          </w:tcPr>
          <w:p>
            <w:hyperlink w:anchor="security">
              <w:r>
                <w:rPr>
                  <w:color w:val="2E74B5"/>
                  <w:u w:val="single"/>
                </w:rPr>
                <w:t>Security, data, resilience and storage</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11</w:t>
            </w:r>
          </w:p>
        </w:tc>
        <w:tc>
          <w:tcPr>
            <w:tcW w:type="dxa" w:w="8640"/>
            <w:tcMar>
              <w:top w:w="80" w:type="dxa"/>
              <w:start w:w="120" w:type="dxa"/>
              <w:bottom w:w="80" w:type="dxa"/>
              <w:end w:w="120" w:type="dxa"/>
            </w:tcMar>
            <w:vAlign w:val="center"/>
          </w:tcPr>
          <w:p>
            <w:hyperlink w:anchor="work-packages">
              <w:r>
                <w:rPr>
                  <w:color w:val="2E74B5"/>
                  <w:u w:val="single"/>
                </w:rPr>
                <w:t>Work-package one-pager</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12</w:t>
            </w:r>
          </w:p>
        </w:tc>
        <w:tc>
          <w:tcPr>
            <w:tcW w:type="dxa" w:w="8640"/>
            <w:tcMar>
              <w:top w:w="80" w:type="dxa"/>
              <w:start w:w="120" w:type="dxa"/>
              <w:bottom w:w="80" w:type="dxa"/>
              <w:end w:w="120" w:type="dxa"/>
            </w:tcMar>
            <w:vAlign w:val="center"/>
          </w:tcPr>
          <w:p>
            <w:hyperlink w:anchor="roadmap">
              <w:r>
                <w:rPr>
                  <w:color w:val="2E74B5"/>
                  <w:u w:val="single"/>
                </w:rPr>
                <w:t>Procurement, roadmap and go/no-go gates</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13</w:t>
            </w:r>
          </w:p>
        </w:tc>
        <w:tc>
          <w:tcPr>
            <w:tcW w:type="dxa" w:w="8640"/>
            <w:tcMar>
              <w:top w:w="80" w:type="dxa"/>
              <w:start w:w="120" w:type="dxa"/>
              <w:bottom w:w="80" w:type="dxa"/>
              <w:end w:w="120" w:type="dxa"/>
            </w:tcMar>
            <w:vAlign w:val="center"/>
          </w:tcPr>
          <w:p>
            <w:hyperlink w:anchor="risks">
              <w:r>
                <w:rPr>
                  <w:color w:val="2E74B5"/>
                  <w:u w:val="single"/>
                </w:rPr>
                <w:t>Risk, dependency and open-decision register</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A</w:t>
            </w:r>
          </w:p>
        </w:tc>
        <w:tc>
          <w:tcPr>
            <w:tcW w:type="dxa" w:w="8640"/>
            <w:tcMar>
              <w:top w:w="80" w:type="dxa"/>
              <w:start w:w="120" w:type="dxa"/>
              <w:bottom w:w="80" w:type="dxa"/>
              <w:end w:w="120" w:type="dxa"/>
            </w:tcMar>
            <w:vAlign w:val="center"/>
          </w:tcPr>
          <w:p>
            <w:hyperlink w:anchor="formula-book">
              <w:r>
                <w:rPr>
                  <w:color w:val="2E74B5"/>
                  <w:u w:val="single"/>
                </w:rPr>
                <w:t>Formula book and worked examples</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B</w:t>
            </w:r>
          </w:p>
        </w:tc>
        <w:tc>
          <w:tcPr>
            <w:tcW w:type="dxa" w:w="8640"/>
            <w:tcMar>
              <w:top w:w="80" w:type="dxa"/>
              <w:start w:w="120" w:type="dxa"/>
              <w:bottom w:w="80" w:type="dxa"/>
              <w:end w:w="120" w:type="dxa"/>
            </w:tcMar>
            <w:vAlign w:val="center"/>
          </w:tcPr>
          <w:p>
            <w:hyperlink w:anchor="price-book">
              <w:r>
                <w:rPr>
                  <w:color w:val="2E74B5"/>
                  <w:u w:val="single"/>
                </w:rPr>
                <w:t>Provider price book</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C</w:t>
            </w:r>
          </w:p>
        </w:tc>
        <w:tc>
          <w:tcPr>
            <w:tcW w:type="dxa" w:w="8640"/>
            <w:tcMar>
              <w:top w:w="80" w:type="dxa"/>
              <w:start w:w="120" w:type="dxa"/>
              <w:bottom w:w="80" w:type="dxa"/>
              <w:end w:w="120" w:type="dxa"/>
            </w:tcMar>
            <w:vAlign w:val="center"/>
          </w:tcPr>
          <w:p>
            <w:hyperlink w:anchor="verification">
              <w:r>
                <w:rPr>
                  <w:color w:val="2E74B5"/>
                  <w:u w:val="single"/>
                </w:rPr>
                <w:t>Source and verification register</w:t>
              </w:r>
            </w:hyperlink>
          </w:p>
        </w:tc>
      </w:tr>
      <w:tr>
        <w:trPr>
          <w:cantSplit/>
        </w:trPr>
        <w:tc>
          <w:tcPr>
            <w:tcW w:type="dxa" w:w="720"/>
            <w:shd w:fill="EAF2F8"/>
            <w:tcMar>
              <w:top w:w="80" w:type="dxa"/>
              <w:start w:w="120" w:type="dxa"/>
              <w:bottom w:w="80" w:type="dxa"/>
              <w:end w:w="120" w:type="dxa"/>
            </w:tcMar>
            <w:vAlign w:val="center"/>
          </w:tcPr>
          <w:p>
            <w:r>
              <w:rPr>
                <w:rFonts w:ascii="Calibri" w:hAnsi="Calibri"/>
                <w:b/>
                <w:i w:val="0"/>
                <w:color w:val="102A43"/>
                <w:sz w:val="18"/>
              </w:rPr>
              <w:t>D</w:t>
            </w:r>
          </w:p>
        </w:tc>
        <w:tc>
          <w:tcPr>
            <w:tcW w:type="dxa" w:w="8640"/>
            <w:tcMar>
              <w:top w:w="80" w:type="dxa"/>
              <w:start w:w="120" w:type="dxa"/>
              <w:bottom w:w="80" w:type="dxa"/>
              <w:end w:w="120" w:type="dxa"/>
            </w:tcMar>
            <w:vAlign w:val="center"/>
          </w:tcPr>
          <w:p>
            <w:hyperlink w:anchor="glossary">
              <w:r>
                <w:rPr>
                  <w:color w:val="2E74B5"/>
                  <w:u w:val="single"/>
                </w:rPr>
                <w:t>Glossary</w:t>
              </w:r>
            </w:hyperlink>
          </w:p>
        </w:tc>
      </w:tr>
    </w:tbl>
    <w:p>
      <w:r>
        <w:br w:type="page"/>
      </w:r>
    </w:p>
    <w:p>
      <w:bookmarkStart w:id="102" w:name="multilingual-overview"/>
      <w:pPr>
        <w:pStyle w:val="Heading1"/>
      </w:pPr>
      <w:r>
        <w:t>Multilingual executive overview | Mehrsprachiger Überblick | Çok dilli özet | Многоязычный обзор</w:t>
      </w:r>
      <w:bookmarkEnd w:id="102"/>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cantSplit/>
          <w:tblHeader w:val="true"/>
        </w:trPr>
        <w:tc>
          <w:tcPr>
            <w:tcW w:type="dxa" w:w="9360"/>
            <w:shd w:fill="EAF2F8"/>
            <w:tcMar>
              <w:top w:w="80" w:type="dxa"/>
              <w:start w:w="120" w:type="dxa"/>
              <w:bottom w:w="80" w:type="dxa"/>
              <w:end w:w="120" w:type="dxa"/>
            </w:tcMar>
            <w:vAlign w:val="center"/>
          </w:tcPr>
          <w:p>
            <w:r>
              <w:rPr>
                <w:rFonts w:ascii="Calibri" w:hAnsi="Calibri"/>
                <w:b/>
                <w:i w:val="0"/>
                <w:color w:val="2E74B5"/>
                <w:sz w:val="20"/>
              </w:rPr>
              <w:t>One model, four management languages</w:t>
              <w:br/>
            </w:r>
            <w:r>
              <w:rPr>
                <w:rFonts w:ascii="Calibri" w:hAnsi="Calibri"/>
                <w:b w:val="0"/>
                <w:i w:val="0"/>
                <w:color w:val="1F2937"/>
                <w:sz w:val="19"/>
              </w:rPr>
              <w:t>The detailed English master below is the single source of truth for formulas and citations. This opening section translates the executive meaning, cost snapshot, decisions and work-package map into German, Turkish and Russian so management can present the same numbers without maintaining four conflicting calculators.</w:t>
            </w:r>
          </w:p>
        </w:tc>
      </w:tr>
    </w:tbl>
    <w:p>
      <w:pPr>
        <w:spacing w:after="40"/>
      </w:pPr>
    </w:p>
    <w:p>
      <w:pPr>
        <w:pStyle w:val="Heading2"/>
      </w:pPr>
      <w:r>
        <w:t>English — simple management overview</w:t>
      </w:r>
    </w:p>
    <w:p>
      <w:r>
        <w:rPr>
          <w:rFonts w:ascii="Calibri" w:hAnsi="Calibri"/>
          <w:b w:val="0"/>
          <w:i w:val="0"/>
          <w:color w:val="1F2937"/>
          <w:sz w:val="20"/>
        </w:rPr>
        <w:t>1Çatı is already a credible demonstration and internal-QA foundation. Production launch still requires provider contracts, Turkish legal/accounting decisions, real data, security evidence, end-to-end testing, training and named operational owners. Hosting itself is not the largest risk: payment commission, staff licences, messages, AI use, regulatory duties, support and physical integrations can cost more.</w:t>
      </w:r>
    </w:p>
    <w:p>
      <w:pPr>
        <w:pStyle w:val="ListBullet"/>
        <w:spacing w:after="80"/>
        <w:ind w:left="720" w:hanging="360"/>
      </w:pPr>
      <w:r>
        <w:rPr>
          <w:rFonts w:ascii="Calibri" w:hAnsi="Calibri"/>
          <w:b w:val="0"/>
          <w:i w:val="0"/>
          <w:color w:val="1F2937"/>
          <w:sz w:val="20"/>
        </w:rPr>
        <w:t>At 1,000 users, the known management-scenario subtotal is about $429.46/month plus TRY 4,212.72/month local run-rate and TRY 10,737.50/month payment fees.</w:t>
      </w:r>
    </w:p>
    <w:p>
      <w:pPr>
        <w:pStyle w:val="ListBullet"/>
        <w:spacing w:after="80"/>
        <w:ind w:left="720" w:hanging="360"/>
      </w:pPr>
      <w:r>
        <w:rPr>
          <w:rFonts w:ascii="Calibri" w:hAnsi="Calibri"/>
          <w:b w:val="0"/>
          <w:i w:val="0"/>
          <w:color w:val="1F2937"/>
          <w:sz w:val="20"/>
        </w:rPr>
        <w:t>At 5,000 users, it is about $901.96/month plus TRY 7,196.39/month local run-rate and TRY 53,687.50/month payment fees.</w:t>
      </w:r>
    </w:p>
    <w:p>
      <w:pPr>
        <w:pStyle w:val="ListBullet"/>
        <w:spacing w:after="80"/>
        <w:ind w:left="720" w:hanging="360"/>
      </w:pPr>
      <w:r>
        <w:rPr>
          <w:rFonts w:ascii="Calibri" w:hAnsi="Calibri"/>
          <w:b w:val="0"/>
          <w:i w:val="0"/>
          <w:color w:val="1F2937"/>
          <w:sz w:val="20"/>
        </w:rPr>
        <w:t>At 10,000 users, it is about $1,604.46/month plus TRY 10,976.39/month local run-rate and TRY 107,375.00/month payment fees.</w:t>
      </w:r>
    </w:p>
    <w:p>
      <w:pPr>
        <w:pStyle w:val="ListBullet"/>
        <w:spacing w:after="80"/>
        <w:ind w:left="720" w:hanging="360"/>
      </w:pPr>
      <w:r>
        <w:rPr>
          <w:rFonts w:ascii="Calibri" w:hAnsi="Calibri"/>
          <w:b w:val="0"/>
          <w:i w:val="0"/>
          <w:color w:val="1F2937"/>
          <w:sz w:val="20"/>
        </w:rPr>
        <w:t>These are known subtotals, not final budgets: legal, accounting, KEP, WhatsApp, Secure Property Payment, portal, bank API, hardware, migration, security testing and support remain quotation items.</w:t>
      </w:r>
    </w:p>
    <w:p>
      <w:pPr>
        <w:pStyle w:val="Heading2"/>
      </w:pPr>
      <w:r>
        <w:t>Deutsch — einfache Management-Zusammenfassung</w:t>
      </w:r>
    </w:p>
    <w:p>
      <w:r>
        <w:rPr>
          <w:rFonts w:ascii="Calibri" w:hAnsi="Calibri"/>
          <w:b w:val="0"/>
          <w:i w:val="0"/>
          <w:color w:val="1F2937"/>
          <w:sz w:val="20"/>
        </w:rPr>
        <w:t>1Çatı ist bereits eine überzeugende Demo- und interne QA-Grundlage. Für den Produktivstart fehlen jedoch noch Provider-Verträge, türkische Rechts- und Buchhaltungsentscheidungen, Echtdaten, Sicherheitsnachweise, Ende-zu-Ende-Tests, Schulungen und klar benannte Betriebsverantwortliche. Das Hosting ist nicht der größte Kostentreiber: Zahlungsprovisionen, interne Benutzerlizenzen, Nachrichten, KI-Nutzung, Compliance, Support und physische Integrationen können deutlich mehr kosten.</w:t>
      </w:r>
    </w:p>
    <w:p>
      <w:pPr>
        <w:pStyle w:val="ListBullet"/>
        <w:spacing w:after="80"/>
        <w:ind w:left="720" w:hanging="360"/>
      </w:pPr>
      <w:r>
        <w:rPr>
          <w:rFonts w:ascii="Calibri" w:hAnsi="Calibri"/>
          <w:b w:val="0"/>
          <w:i w:val="0"/>
          <w:color w:val="1F2937"/>
          <w:sz w:val="20"/>
        </w:rPr>
        <w:t>Bei 1.000 aktiven Nutzern: ca. 429,46 USD/Monat bekannte USD-Kosten, plus 4.212,72 TRY/Monat lokale Kosten und 10.737,50 TRY/Monat Zahlungsgebühren.</w:t>
      </w:r>
    </w:p>
    <w:p>
      <w:pPr>
        <w:pStyle w:val="ListBullet"/>
        <w:spacing w:after="80"/>
        <w:ind w:left="720" w:hanging="360"/>
      </w:pPr>
      <w:r>
        <w:rPr>
          <w:rFonts w:ascii="Calibri" w:hAnsi="Calibri"/>
          <w:b w:val="0"/>
          <w:i w:val="0"/>
          <w:color w:val="1F2937"/>
          <w:sz w:val="20"/>
        </w:rPr>
        <w:t>Bei 5.000 aktiven Nutzern: ca. 901,96 USD/Monat, plus 7.196,39 TRY/Monat lokale Kosten und 53.687,50 TRY/Monat Zahlungsgebühren.</w:t>
      </w:r>
    </w:p>
    <w:p>
      <w:pPr>
        <w:pStyle w:val="ListBullet"/>
        <w:spacing w:after="80"/>
        <w:ind w:left="720" w:hanging="360"/>
      </w:pPr>
      <w:r>
        <w:rPr>
          <w:rFonts w:ascii="Calibri" w:hAnsi="Calibri"/>
          <w:b w:val="0"/>
          <w:i w:val="0"/>
          <w:color w:val="1F2937"/>
          <w:sz w:val="20"/>
        </w:rPr>
        <w:t>Bei 10.000 aktiven Nutzern: ca. 1.604,46 USD/Monat, plus 10.976,39 TRY/Monat lokale Kosten und 107.375,00 TRY/Monat Zahlungsgebühren.</w:t>
      </w:r>
    </w:p>
    <w:p>
      <w:pPr>
        <w:pStyle w:val="ListBullet"/>
        <w:spacing w:after="80"/>
        <w:ind w:left="720" w:hanging="360"/>
      </w:pPr>
      <w:r>
        <w:rPr>
          <w:rFonts w:ascii="Calibri" w:hAnsi="Calibri"/>
          <w:b w:val="0"/>
          <w:i w:val="0"/>
          <w:color w:val="1F2937"/>
          <w:sz w:val="20"/>
        </w:rPr>
        <w:t>Dies sind bekannte Zwischensummen, kein endgültiges Budget. Rechtsberatung, Buchhaltung, KEP, WhatsApp, das sichere Immobilien-Zahlungssystem, Portale, Bank-APIs, Hardware, Migration, Sicherheitstests und Support benötigen Angebote.</w:t>
      </w:r>
    </w:p>
    <w:p>
      <w:pPr>
        <w:pStyle w:val="Heading2"/>
      </w:pPr>
      <w:r>
        <w:t>Türkçe — sade yönetim özeti</w:t>
      </w:r>
    </w:p>
    <w:p>
      <w:r>
        <w:rPr>
          <w:rFonts w:ascii="Calibri" w:hAnsi="Calibri"/>
          <w:b w:val="0"/>
          <w:i w:val="0"/>
          <w:color w:val="1F2937"/>
          <w:sz w:val="20"/>
        </w:rPr>
        <w:t>1Çatı şu anda güçlü bir demo ve iç kalite kontrol temelidir. Canlı kullanıma geçmek için sağlayıcı sözleşmeleri, Türkiye mevzuatı ve muhasebe kararları, gerçek veri doğrulaması, güvenlik kanıtları, uçtan uca testler, eğitim ve sorumlu operasyon sahipleri gerekir. En büyük konu yalnızca barındırma maliyeti değildir; ödeme komisyonu, personel lisansları, mesajlar, yapay zekâ kullanımı, yasal yükümlülükler, destek ve fiziksel sistem bağlantıları daha yüksek maliyet yaratabilir.</w:t>
      </w:r>
    </w:p>
    <w:p>
      <w:pPr>
        <w:pStyle w:val="ListBullet"/>
        <w:spacing w:after="80"/>
        <w:ind w:left="720" w:hanging="360"/>
      </w:pPr>
      <w:r>
        <w:rPr>
          <w:rFonts w:ascii="Calibri" w:hAnsi="Calibri"/>
          <w:b w:val="0"/>
          <w:i w:val="0"/>
          <w:color w:val="1F2937"/>
          <w:sz w:val="20"/>
        </w:rPr>
        <w:t>1.000 aktif kullanıcıda: yaklaşık 429,46 USD/ay bilinen USD maliyeti; ayrıca 4.212,72 TRY/ay yerel gider ve 10.737,50 TRY/ay ödeme sağlayıcısı ücreti.</w:t>
      </w:r>
    </w:p>
    <w:p>
      <w:pPr>
        <w:pStyle w:val="ListBullet"/>
        <w:spacing w:after="80"/>
        <w:ind w:left="720" w:hanging="360"/>
      </w:pPr>
      <w:r>
        <w:rPr>
          <w:rFonts w:ascii="Calibri" w:hAnsi="Calibri"/>
          <w:b w:val="0"/>
          <w:i w:val="0"/>
          <w:color w:val="1F2937"/>
          <w:sz w:val="20"/>
        </w:rPr>
        <w:t>5.000 aktif kullanıcıda: yaklaşık 901,96 USD/ay; ayrıca 7.196,39 TRY/ay yerel gider ve 53.687,50 TRY/ay ödeme sağlayıcısı ücreti.</w:t>
      </w:r>
    </w:p>
    <w:p>
      <w:pPr>
        <w:pStyle w:val="ListBullet"/>
        <w:spacing w:after="80"/>
        <w:ind w:left="720" w:hanging="360"/>
      </w:pPr>
      <w:r>
        <w:rPr>
          <w:rFonts w:ascii="Calibri" w:hAnsi="Calibri"/>
          <w:b w:val="0"/>
          <w:i w:val="0"/>
          <w:color w:val="1F2937"/>
          <w:sz w:val="20"/>
        </w:rPr>
        <w:t>10.000 aktif kullanıcıda: yaklaşık 1.604,46 USD/ay; ayrıca 10.976,39 TRY/ay yerel gider ve 107.375,00 TRY/ay ödeme sağlayıcısı ücreti.</w:t>
      </w:r>
    </w:p>
    <w:p>
      <w:pPr>
        <w:pStyle w:val="ListBullet"/>
        <w:spacing w:after="80"/>
        <w:ind w:left="720" w:hanging="360"/>
      </w:pPr>
      <w:r>
        <w:rPr>
          <w:rFonts w:ascii="Calibri" w:hAnsi="Calibri"/>
          <w:b w:val="0"/>
          <w:i w:val="0"/>
          <w:color w:val="1F2937"/>
          <w:sz w:val="20"/>
        </w:rPr>
        <w:t>Bunlar bilinen ara toplamlardır, nihai bütçe değildir. Hukuk, muhasebe, KEP, WhatsApp, Güvenli Ödeme Sistemi, ilan portalları, banka API'leri, donanım, veri taşıma, sızma testi ve destek için teklif gerekir.</w:t>
      </w:r>
    </w:p>
    <w:p>
      <w:pPr>
        <w:pStyle w:val="Heading2"/>
      </w:pPr>
      <w:r>
        <w:t>Русский — простое объяснение для руководства</w:t>
      </w:r>
    </w:p>
    <w:p>
      <w:r>
        <w:rPr>
          <w:rFonts w:ascii="Calibri" w:hAnsi="Calibri"/>
          <w:b w:val="0"/>
          <w:i w:val="0"/>
          <w:color w:val="1F2937"/>
          <w:sz w:val="20"/>
        </w:rPr>
        <w:t>1Çatı уже является убедительной демонстрационной системой и хорошей основой для внутренней проверки. Для промышленного запуска ещё нужны договоры с провайдерами, решения по турецкому праву и бухгалтерии, проверка реальных данных, доказательства безопасности, сквозные тесты, обучение и назначенные ответственные. Сам хостинг не является главным расходом: комиссия за платежи, лицензии сотрудников, сообщения, использование ИИ, обязательные процедуры, поддержка и подключение оборудования могут стоить больше.</w:t>
      </w:r>
    </w:p>
    <w:p>
      <w:pPr>
        <w:pStyle w:val="ListBullet"/>
        <w:spacing w:after="80"/>
        <w:ind w:left="720" w:hanging="360"/>
      </w:pPr>
      <w:r>
        <w:rPr>
          <w:rFonts w:ascii="Calibri" w:hAnsi="Calibri"/>
          <w:b w:val="0"/>
          <w:i w:val="0"/>
          <w:color w:val="1F2937"/>
          <w:sz w:val="20"/>
        </w:rPr>
        <w:t>1 000 активных пользователей: примерно 429,46 USD в месяц известных расходов в долларах, плюс 4 212,72 TRY местных расходов и 10 737,50 TRY комиссии за платежи.</w:t>
      </w:r>
    </w:p>
    <w:p>
      <w:pPr>
        <w:pStyle w:val="ListBullet"/>
        <w:spacing w:after="80"/>
        <w:ind w:left="720" w:hanging="360"/>
      </w:pPr>
      <w:r>
        <w:rPr>
          <w:rFonts w:ascii="Calibri" w:hAnsi="Calibri"/>
          <w:b w:val="0"/>
          <w:i w:val="0"/>
          <w:color w:val="1F2937"/>
          <w:sz w:val="20"/>
        </w:rPr>
        <w:t>5 000 активных пользователей: примерно 901,96 USD в месяц, плюс 7 196,39 TRY местных расходов и 53 687,50 TRY комиссии за платежи.</w:t>
      </w:r>
    </w:p>
    <w:p>
      <w:pPr>
        <w:pStyle w:val="ListBullet"/>
        <w:spacing w:after="80"/>
        <w:ind w:left="720" w:hanging="360"/>
      </w:pPr>
      <w:r>
        <w:rPr>
          <w:rFonts w:ascii="Calibri" w:hAnsi="Calibri"/>
          <w:b w:val="0"/>
          <w:i w:val="0"/>
          <w:color w:val="1F2937"/>
          <w:sz w:val="20"/>
        </w:rPr>
        <w:t>10 000 активных пользователей: примерно 1 604,46 USD в месяц, плюс 10 976,39 TRY местных расходов и 107 375,00 TRY комиссии за платежи.</w:t>
      </w:r>
    </w:p>
    <w:p>
      <w:pPr>
        <w:pStyle w:val="ListBullet"/>
        <w:spacing w:after="80"/>
        <w:ind w:left="720" w:hanging="360"/>
      </w:pPr>
      <w:r>
        <w:rPr>
          <w:rFonts w:ascii="Calibri" w:hAnsi="Calibri"/>
          <w:b w:val="0"/>
          <w:i w:val="0"/>
          <w:color w:val="1F2937"/>
          <w:sz w:val="20"/>
        </w:rPr>
        <w:t>Это известная промежуточная сумма, а не окончательный бюджет. Юристы, бухгалтерия, KEP, WhatsApp, государственная система безопасной оплаты недвижимости, порталы, банковские API, оборудование, перенос данных, тест безопасности и поддержка пока требуют коммерческих предложений.</w:t>
      </w:r>
    </w:p>
    <w:p>
      <w:pPr>
        <w:pStyle w:val="Heading2"/>
      </w:pPr>
      <w:r>
        <w:t>Four-language price key | Preislogik | Fiyat açıklaması | Как читать цены</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370"/>
        <w:gridCol w:w="2330"/>
        <w:gridCol w:w="2330"/>
        <w:gridCol w:w="2330"/>
      </w:tblGrid>
      <w:tr>
        <w:trPr>
          <w:cantSplit/>
          <w:tblHeader w:val="true"/>
          <w:cantSplit/>
        </w:trPr>
        <w:tc>
          <w:tcPr>
            <w:tcW w:type="dxa" w:w="2370"/>
            <w:shd w:fill="102A43"/>
            <w:tcMar>
              <w:top w:w="80" w:type="dxa"/>
              <w:start w:w="120" w:type="dxa"/>
              <w:bottom w:w="80" w:type="dxa"/>
              <w:end w:w="120" w:type="dxa"/>
            </w:tcMar>
            <w:vAlign w:val="center"/>
          </w:tcPr>
          <w:p>
            <w:r>
              <w:rPr>
                <w:rFonts w:ascii="Calibri" w:hAnsi="Calibri"/>
                <w:b/>
                <w:i w:val="0"/>
                <w:color w:val="FFFFFF"/>
                <w:sz w:val="15"/>
              </w:rPr>
              <w:t>Meaning</w:t>
            </w:r>
          </w:p>
        </w:tc>
        <w:tc>
          <w:tcPr>
            <w:tcW w:type="dxa" w:w="2330"/>
            <w:shd w:fill="102A43"/>
            <w:tcMar>
              <w:top w:w="80" w:type="dxa"/>
              <w:start w:w="120" w:type="dxa"/>
              <w:bottom w:w="80" w:type="dxa"/>
              <w:end w:w="120" w:type="dxa"/>
            </w:tcMar>
            <w:vAlign w:val="center"/>
          </w:tcPr>
          <w:p>
            <w:r>
              <w:rPr>
                <w:rFonts w:ascii="Calibri" w:hAnsi="Calibri"/>
                <w:b/>
                <w:i w:val="0"/>
                <w:color w:val="FFFFFF"/>
                <w:sz w:val="15"/>
              </w:rPr>
              <w:t>Deutsch</w:t>
            </w:r>
          </w:p>
        </w:tc>
        <w:tc>
          <w:tcPr>
            <w:tcW w:type="dxa" w:w="2330"/>
            <w:shd w:fill="102A43"/>
            <w:tcMar>
              <w:top w:w="80" w:type="dxa"/>
              <w:start w:w="120" w:type="dxa"/>
              <w:bottom w:w="80" w:type="dxa"/>
              <w:end w:w="120" w:type="dxa"/>
            </w:tcMar>
            <w:vAlign w:val="center"/>
          </w:tcPr>
          <w:p>
            <w:r>
              <w:rPr>
                <w:rFonts w:ascii="Calibri" w:hAnsi="Calibri"/>
                <w:b/>
                <w:i w:val="0"/>
                <w:color w:val="FFFFFF"/>
                <w:sz w:val="15"/>
              </w:rPr>
              <w:t>Türkçe</w:t>
            </w:r>
          </w:p>
        </w:tc>
        <w:tc>
          <w:tcPr>
            <w:tcW w:type="dxa" w:w="2330"/>
            <w:shd w:fill="102A43"/>
            <w:tcMar>
              <w:top w:w="80" w:type="dxa"/>
              <w:start w:w="120" w:type="dxa"/>
              <w:bottom w:w="80" w:type="dxa"/>
              <w:end w:w="120" w:type="dxa"/>
            </w:tcMar>
            <w:vAlign w:val="center"/>
          </w:tcPr>
          <w:p>
            <w:r>
              <w:rPr>
                <w:rFonts w:ascii="Calibri" w:hAnsi="Calibri"/>
                <w:b/>
                <w:i w:val="0"/>
                <w:color w:val="FFFFFF"/>
                <w:sz w:val="15"/>
              </w:rPr>
              <w:t>Русский</w:t>
            </w:r>
          </w:p>
        </w:tc>
      </w:tr>
      <w:tr>
        <w:trPr>
          <w:cantSplit/>
        </w:trPr>
        <w:tc>
          <w:tcPr>
            <w:tcW w:type="dxa" w:w="2370"/>
            <w:tcMar>
              <w:top w:w="80" w:type="dxa"/>
              <w:start w:w="120" w:type="dxa"/>
              <w:bottom w:w="80" w:type="dxa"/>
              <w:end w:w="120" w:type="dxa"/>
            </w:tcMar>
            <w:vAlign w:val="center"/>
          </w:tcPr>
          <w:p>
            <w:r>
              <w:rPr>
                <w:rFonts w:ascii="Calibri" w:hAnsi="Calibri"/>
                <w:b/>
                <w:i w:val="0"/>
                <w:color w:val="102A43"/>
                <w:sz w:val="15"/>
              </w:rPr>
              <w:t>Known USD/month: foreign software and usage</w:t>
            </w:r>
          </w:p>
        </w:tc>
        <w:tc>
          <w:tcPr>
            <w:tcW w:type="dxa" w:w="2330"/>
            <w:tcMar>
              <w:top w:w="80" w:type="dxa"/>
              <w:start w:w="120" w:type="dxa"/>
              <w:bottom w:w="80" w:type="dxa"/>
              <w:end w:w="120" w:type="dxa"/>
            </w:tcMar>
            <w:vAlign w:val="center"/>
          </w:tcPr>
          <w:p>
            <w:r>
              <w:rPr>
                <w:rFonts w:ascii="Calibri" w:hAnsi="Calibri"/>
                <w:b w:val="0"/>
                <w:i w:val="0"/>
                <w:color w:val="1F2937"/>
                <w:sz w:val="15"/>
              </w:rPr>
              <w:t>Bekannte USD-Kosten: ausländische Software und Nutzung</w:t>
            </w:r>
          </w:p>
        </w:tc>
        <w:tc>
          <w:tcPr>
            <w:tcW w:type="dxa" w:w="2330"/>
            <w:tcMar>
              <w:top w:w="80" w:type="dxa"/>
              <w:start w:w="120" w:type="dxa"/>
              <w:bottom w:w="80" w:type="dxa"/>
              <w:end w:w="120" w:type="dxa"/>
            </w:tcMar>
            <w:vAlign w:val="center"/>
          </w:tcPr>
          <w:p>
            <w:r>
              <w:rPr>
                <w:rFonts w:ascii="Calibri" w:hAnsi="Calibri"/>
                <w:b w:val="0"/>
                <w:i w:val="0"/>
                <w:color w:val="1F2937"/>
                <w:sz w:val="15"/>
              </w:rPr>
              <w:t>Bilinen USD/ay: yabancı yazılım ve kullanım</w:t>
            </w:r>
          </w:p>
        </w:tc>
        <w:tc>
          <w:tcPr>
            <w:tcW w:type="dxa" w:w="2330"/>
            <w:tcMar>
              <w:top w:w="80" w:type="dxa"/>
              <w:start w:w="120" w:type="dxa"/>
              <w:bottom w:w="80" w:type="dxa"/>
              <w:end w:w="120" w:type="dxa"/>
            </w:tcMar>
            <w:vAlign w:val="center"/>
          </w:tcPr>
          <w:p>
            <w:r>
              <w:rPr>
                <w:rFonts w:ascii="Calibri" w:hAnsi="Calibri"/>
                <w:b w:val="0"/>
                <w:i w:val="0"/>
                <w:color w:val="1F2937"/>
                <w:sz w:val="15"/>
              </w:rPr>
              <w:t>Известные USD/мес.: зарубежные сервисы и использование</w:t>
            </w:r>
          </w:p>
        </w:tc>
      </w:tr>
      <w:tr>
        <w:trPr>
          <w:cantSplit/>
        </w:trPr>
        <w:tc>
          <w:tcPr>
            <w:tcW w:type="dxa" w:w="2370"/>
            <w:shd w:fill="F8FAFC"/>
            <w:tcMar>
              <w:top w:w="80" w:type="dxa"/>
              <w:start w:w="120" w:type="dxa"/>
              <w:bottom w:w="80" w:type="dxa"/>
              <w:end w:w="120" w:type="dxa"/>
            </w:tcMar>
            <w:vAlign w:val="center"/>
          </w:tcPr>
          <w:p>
            <w:r>
              <w:rPr>
                <w:rFonts w:ascii="Calibri" w:hAnsi="Calibri"/>
                <w:b/>
                <w:i w:val="0"/>
                <w:color w:val="102A43"/>
                <w:sz w:val="15"/>
              </w:rPr>
              <w:t>Known local TRY/month: normalised Turkish packages/statutory items</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Bekannte TRY-Kosten: monatlich verteilte türkische Pakete und Gebühren</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Bilinen yerel TRY/ay: aylığa bölünmüş paketler ve yasal kalemler</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Известные TRY/мес.: пересчитанные на месяц турецкие пакеты и обязательные сборы</w:t>
            </w:r>
          </w:p>
        </w:tc>
      </w:tr>
      <w:tr>
        <w:trPr>
          <w:cantSplit/>
        </w:trPr>
        <w:tc>
          <w:tcPr>
            <w:tcW w:type="dxa" w:w="2370"/>
            <w:tcMar>
              <w:top w:w="80" w:type="dxa"/>
              <w:start w:w="120" w:type="dxa"/>
              <w:bottom w:w="80" w:type="dxa"/>
              <w:end w:w="120" w:type="dxa"/>
            </w:tcMar>
            <w:vAlign w:val="center"/>
          </w:tcPr>
          <w:p>
            <w:r>
              <w:rPr>
                <w:rFonts w:ascii="Calibri" w:hAnsi="Calibri"/>
                <w:b/>
                <w:i w:val="0"/>
                <w:color w:val="102A43"/>
                <w:sz w:val="15"/>
              </w:rPr>
              <w:t>Payment fee: percentage of processed money</w:t>
            </w:r>
          </w:p>
        </w:tc>
        <w:tc>
          <w:tcPr>
            <w:tcW w:type="dxa" w:w="2330"/>
            <w:tcMar>
              <w:top w:w="80" w:type="dxa"/>
              <w:start w:w="120" w:type="dxa"/>
              <w:bottom w:w="80" w:type="dxa"/>
              <w:end w:w="120" w:type="dxa"/>
            </w:tcMar>
            <w:vAlign w:val="center"/>
          </w:tcPr>
          <w:p>
            <w:r>
              <w:rPr>
                <w:rFonts w:ascii="Calibri" w:hAnsi="Calibri"/>
                <w:b w:val="0"/>
                <w:i w:val="0"/>
                <w:color w:val="1F2937"/>
                <w:sz w:val="15"/>
              </w:rPr>
              <w:t>Zahlungsgebühr: Anteil am verarbeiteten Geld</w:t>
            </w:r>
          </w:p>
        </w:tc>
        <w:tc>
          <w:tcPr>
            <w:tcW w:type="dxa" w:w="2330"/>
            <w:tcMar>
              <w:top w:w="80" w:type="dxa"/>
              <w:start w:w="120" w:type="dxa"/>
              <w:bottom w:w="80" w:type="dxa"/>
              <w:end w:w="120" w:type="dxa"/>
            </w:tcMar>
            <w:vAlign w:val="center"/>
          </w:tcPr>
          <w:p>
            <w:r>
              <w:rPr>
                <w:rFonts w:ascii="Calibri" w:hAnsi="Calibri"/>
                <w:b w:val="0"/>
                <w:i w:val="0"/>
                <w:color w:val="1F2937"/>
                <w:sz w:val="15"/>
              </w:rPr>
              <w:t>Ödeme ücreti: tahsil edilen tutarın yüzdesi</w:t>
            </w:r>
          </w:p>
        </w:tc>
        <w:tc>
          <w:tcPr>
            <w:tcW w:type="dxa" w:w="2330"/>
            <w:tcMar>
              <w:top w:w="80" w:type="dxa"/>
              <w:start w:w="120" w:type="dxa"/>
              <w:bottom w:w="80" w:type="dxa"/>
              <w:end w:w="120" w:type="dxa"/>
            </w:tcMar>
            <w:vAlign w:val="center"/>
          </w:tcPr>
          <w:p>
            <w:r>
              <w:rPr>
                <w:rFonts w:ascii="Calibri" w:hAnsi="Calibri"/>
                <w:b w:val="0"/>
                <w:i w:val="0"/>
                <w:color w:val="1F2937"/>
                <w:sz w:val="15"/>
              </w:rPr>
              <w:t>Комиссия за платежи: процент от обработанных денег</w:t>
            </w:r>
          </w:p>
        </w:tc>
      </w:tr>
      <w:tr>
        <w:trPr>
          <w:cantSplit/>
        </w:trPr>
        <w:tc>
          <w:tcPr>
            <w:tcW w:type="dxa" w:w="2370"/>
            <w:shd w:fill="F8FAFC"/>
            <w:tcMar>
              <w:top w:w="80" w:type="dxa"/>
              <w:start w:w="120" w:type="dxa"/>
              <w:bottom w:w="80" w:type="dxa"/>
              <w:end w:w="120" w:type="dxa"/>
            </w:tcMar>
            <w:vAlign w:val="center"/>
          </w:tcPr>
          <w:p>
            <w:r>
              <w:rPr>
                <w:rFonts w:ascii="Calibri" w:hAnsi="Calibri"/>
                <w:b/>
                <w:i w:val="0"/>
                <w:color w:val="102A43"/>
                <w:sz w:val="15"/>
              </w:rPr>
              <w:t>One-time/year-one: activation, certificates, migration</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Einmalig/Jahr 1: Aktivierung, Zertifikate, Migration</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Tek seferlik/ilk yıl: aktivasyon, sertifika, veri taşıma</w:t>
            </w:r>
          </w:p>
        </w:tc>
        <w:tc>
          <w:tcPr>
            <w:tcW w:type="dxa" w:w="2330"/>
            <w:shd w:fill="F8FAFC"/>
            <w:tcMar>
              <w:top w:w="80" w:type="dxa"/>
              <w:start w:w="120" w:type="dxa"/>
              <w:bottom w:w="80" w:type="dxa"/>
              <w:end w:w="120" w:type="dxa"/>
            </w:tcMar>
            <w:vAlign w:val="center"/>
          </w:tcPr>
          <w:p>
            <w:r>
              <w:rPr>
                <w:rFonts w:ascii="Calibri" w:hAnsi="Calibri"/>
                <w:b w:val="0"/>
                <w:i w:val="0"/>
                <w:color w:val="1F2937"/>
                <w:sz w:val="15"/>
              </w:rPr>
              <w:t>Разово/первый год: подключение, сертификаты, перенос данных</w:t>
            </w:r>
          </w:p>
        </w:tc>
      </w:tr>
      <w:tr>
        <w:trPr>
          <w:cantSplit/>
        </w:trPr>
        <w:tc>
          <w:tcPr>
            <w:tcW w:type="dxa" w:w="2370"/>
            <w:tcMar>
              <w:top w:w="80" w:type="dxa"/>
              <w:start w:w="120" w:type="dxa"/>
              <w:bottom w:w="80" w:type="dxa"/>
              <w:end w:w="120" w:type="dxa"/>
            </w:tcMar>
            <w:vAlign w:val="center"/>
          </w:tcPr>
          <w:p>
            <w:r>
              <w:rPr>
                <w:rFonts w:ascii="Calibri" w:hAnsi="Calibri"/>
                <w:b/>
                <w:i w:val="0"/>
                <w:color w:val="102A43"/>
                <w:sz w:val="15"/>
              </w:rPr>
              <w:t>Quote required: not zero; price is still unknown</w:t>
            </w:r>
          </w:p>
        </w:tc>
        <w:tc>
          <w:tcPr>
            <w:tcW w:type="dxa" w:w="2330"/>
            <w:tcMar>
              <w:top w:w="80" w:type="dxa"/>
              <w:start w:w="120" w:type="dxa"/>
              <w:bottom w:w="80" w:type="dxa"/>
              <w:end w:w="120" w:type="dxa"/>
            </w:tcMar>
            <w:vAlign w:val="center"/>
          </w:tcPr>
          <w:p>
            <w:r>
              <w:rPr>
                <w:rFonts w:ascii="Calibri" w:hAnsi="Calibri"/>
                <w:b w:val="0"/>
                <w:i w:val="0"/>
                <w:color w:val="1F2937"/>
                <w:sz w:val="15"/>
              </w:rPr>
              <w:t>Angebot erforderlich: nicht null, sondern noch unbekannt</w:t>
            </w:r>
          </w:p>
        </w:tc>
        <w:tc>
          <w:tcPr>
            <w:tcW w:type="dxa" w:w="2330"/>
            <w:tcMar>
              <w:top w:w="80" w:type="dxa"/>
              <w:start w:w="120" w:type="dxa"/>
              <w:bottom w:w="80" w:type="dxa"/>
              <w:end w:w="120" w:type="dxa"/>
            </w:tcMar>
            <w:vAlign w:val="center"/>
          </w:tcPr>
          <w:p>
            <w:r>
              <w:rPr>
                <w:rFonts w:ascii="Calibri" w:hAnsi="Calibri"/>
                <w:b w:val="0"/>
                <w:i w:val="0"/>
                <w:color w:val="1F2937"/>
                <w:sz w:val="15"/>
              </w:rPr>
              <w:t>Teklif gerekli: sıfır değil, fiyat henüz bilinmiyor</w:t>
            </w:r>
          </w:p>
        </w:tc>
        <w:tc>
          <w:tcPr>
            <w:tcW w:type="dxa" w:w="2330"/>
            <w:tcMar>
              <w:top w:w="80" w:type="dxa"/>
              <w:start w:w="120" w:type="dxa"/>
              <w:bottom w:w="80" w:type="dxa"/>
              <w:end w:w="120" w:type="dxa"/>
            </w:tcMar>
            <w:vAlign w:val="center"/>
          </w:tcPr>
          <w:p>
            <w:r>
              <w:rPr>
                <w:rFonts w:ascii="Calibri" w:hAnsi="Calibri"/>
                <w:b w:val="0"/>
                <w:i w:val="0"/>
                <w:color w:val="1F2937"/>
                <w:sz w:val="15"/>
              </w:rPr>
              <w:t>Нужно предложение: это не ноль, цена пока неизвестна</w:t>
            </w:r>
          </w:p>
        </w:tc>
      </w:tr>
    </w:tbl>
    <w:p>
      <w:pPr>
        <w:pStyle w:val="Heading2"/>
      </w:pPr>
      <w:r>
        <w:t>Four-language work-package map | Arbeitspakete | İş paketleri | Пакеты работ</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760"/>
        <w:gridCol w:w="2200"/>
        <w:gridCol w:w="2200"/>
        <w:gridCol w:w="2100"/>
        <w:gridCol w:w="2100"/>
      </w:tblGrid>
      <w:tr>
        <w:trPr>
          <w:cantSplit/>
          <w:tblHeader w:val="true"/>
          <w:cantSplit/>
        </w:trPr>
        <w:tc>
          <w:tcPr>
            <w:tcW w:type="dxa" w:w="760"/>
            <w:shd w:fill="102A43"/>
            <w:tcMar>
              <w:top w:w="80" w:type="dxa"/>
              <w:start w:w="120" w:type="dxa"/>
              <w:bottom w:w="80" w:type="dxa"/>
              <w:end w:w="120" w:type="dxa"/>
            </w:tcMar>
            <w:vAlign w:val="center"/>
          </w:tcPr>
          <w:p>
            <w:r>
              <w:rPr>
                <w:rFonts w:ascii="Calibri" w:hAnsi="Calibri"/>
                <w:b/>
                <w:i w:val="0"/>
                <w:color w:val="FFFFFF"/>
                <w:sz w:val="13"/>
              </w:rPr>
              <w:t>WP</w:t>
            </w:r>
          </w:p>
        </w:tc>
        <w:tc>
          <w:tcPr>
            <w:tcW w:type="dxa" w:w="2200"/>
            <w:shd w:fill="102A43"/>
            <w:tcMar>
              <w:top w:w="80" w:type="dxa"/>
              <w:start w:w="120" w:type="dxa"/>
              <w:bottom w:w="80" w:type="dxa"/>
              <w:end w:w="120" w:type="dxa"/>
            </w:tcMar>
            <w:vAlign w:val="center"/>
          </w:tcPr>
          <w:p>
            <w:r>
              <w:rPr>
                <w:rFonts w:ascii="Calibri" w:hAnsi="Calibri"/>
                <w:b/>
                <w:i w:val="0"/>
                <w:color w:val="FFFFFF"/>
                <w:sz w:val="13"/>
              </w:rPr>
              <w:t>English</w:t>
            </w:r>
          </w:p>
        </w:tc>
        <w:tc>
          <w:tcPr>
            <w:tcW w:type="dxa" w:w="2200"/>
            <w:shd w:fill="102A43"/>
            <w:tcMar>
              <w:top w:w="80" w:type="dxa"/>
              <w:start w:w="120" w:type="dxa"/>
              <w:bottom w:w="80" w:type="dxa"/>
              <w:end w:w="120" w:type="dxa"/>
            </w:tcMar>
            <w:vAlign w:val="center"/>
          </w:tcPr>
          <w:p>
            <w:r>
              <w:rPr>
                <w:rFonts w:ascii="Calibri" w:hAnsi="Calibri"/>
                <w:b/>
                <w:i w:val="0"/>
                <w:color w:val="FFFFFF"/>
                <w:sz w:val="13"/>
              </w:rPr>
              <w:t>Deutsch</w:t>
            </w:r>
          </w:p>
        </w:tc>
        <w:tc>
          <w:tcPr>
            <w:tcW w:type="dxa" w:w="2100"/>
            <w:shd w:fill="102A43"/>
            <w:tcMar>
              <w:top w:w="80" w:type="dxa"/>
              <w:start w:w="120" w:type="dxa"/>
              <w:bottom w:w="80" w:type="dxa"/>
              <w:end w:w="120" w:type="dxa"/>
            </w:tcMar>
            <w:vAlign w:val="center"/>
          </w:tcPr>
          <w:p>
            <w:r>
              <w:rPr>
                <w:rFonts w:ascii="Calibri" w:hAnsi="Calibri"/>
                <w:b/>
                <w:i w:val="0"/>
                <w:color w:val="FFFFFF"/>
                <w:sz w:val="13"/>
              </w:rPr>
              <w:t>Türkçe</w:t>
            </w:r>
          </w:p>
        </w:tc>
        <w:tc>
          <w:tcPr>
            <w:tcW w:type="dxa" w:w="2100"/>
            <w:shd w:fill="102A43"/>
            <w:tcMar>
              <w:top w:w="80" w:type="dxa"/>
              <w:start w:w="120" w:type="dxa"/>
              <w:bottom w:w="80" w:type="dxa"/>
              <w:end w:w="120" w:type="dxa"/>
            </w:tcMar>
            <w:vAlign w:val="center"/>
          </w:tcPr>
          <w:p>
            <w:r>
              <w:rPr>
                <w:rFonts w:ascii="Calibri" w:hAnsi="Calibri"/>
                <w:b/>
                <w:i w:val="0"/>
                <w:color w:val="FFFFFF"/>
                <w:sz w:val="13"/>
              </w:rPr>
              <w:t>Русский</w:t>
            </w:r>
          </w:p>
        </w:tc>
      </w:tr>
      <w:tr>
        <w:trPr>
          <w:cantSplit/>
        </w:trPr>
        <w:tc>
          <w:tcPr>
            <w:tcW w:type="dxa" w:w="760"/>
            <w:tcMar>
              <w:top w:w="80" w:type="dxa"/>
              <w:start w:w="120" w:type="dxa"/>
              <w:bottom w:w="80" w:type="dxa"/>
              <w:end w:w="120" w:type="dxa"/>
            </w:tcMar>
            <w:vAlign w:val="center"/>
          </w:tcPr>
          <w:p>
            <w:r>
              <w:rPr>
                <w:rFonts w:ascii="Calibri" w:hAnsi="Calibri"/>
                <w:b/>
                <w:i w:val="0"/>
                <w:color w:val="102A43"/>
                <w:sz w:val="13"/>
              </w:rPr>
              <w:t>WP0–2</w:t>
            </w:r>
          </w:p>
        </w:tc>
        <w:tc>
          <w:tcPr>
            <w:tcW w:type="dxa" w:w="2200"/>
            <w:tcMar>
              <w:top w:w="80" w:type="dxa"/>
              <w:start w:w="120" w:type="dxa"/>
              <w:bottom w:w="80" w:type="dxa"/>
              <w:end w:w="120" w:type="dxa"/>
            </w:tcMar>
            <w:vAlign w:val="center"/>
          </w:tcPr>
          <w:p>
            <w:r>
              <w:rPr>
                <w:rFonts w:ascii="Calibri" w:hAnsi="Calibri"/>
                <w:b w:val="0"/>
                <w:i w:val="0"/>
                <w:color w:val="1F2937"/>
                <w:sz w:val="13"/>
              </w:rPr>
              <w:t>Decisions, legal/compliance, architecture</w:t>
            </w:r>
          </w:p>
        </w:tc>
        <w:tc>
          <w:tcPr>
            <w:tcW w:type="dxa" w:w="2200"/>
            <w:tcMar>
              <w:top w:w="80" w:type="dxa"/>
              <w:start w:w="120" w:type="dxa"/>
              <w:bottom w:w="80" w:type="dxa"/>
              <w:end w:w="120" w:type="dxa"/>
            </w:tcMar>
            <w:vAlign w:val="center"/>
          </w:tcPr>
          <w:p>
            <w:r>
              <w:rPr>
                <w:rFonts w:ascii="Calibri" w:hAnsi="Calibri"/>
                <w:b w:val="0"/>
                <w:i w:val="0"/>
                <w:color w:val="1F2937"/>
                <w:sz w:val="13"/>
              </w:rPr>
              <w:t>Entscheidungen, Recht/Compliance, Architektur</w:t>
            </w:r>
          </w:p>
        </w:tc>
        <w:tc>
          <w:tcPr>
            <w:tcW w:type="dxa" w:w="2100"/>
            <w:tcMar>
              <w:top w:w="80" w:type="dxa"/>
              <w:start w:w="120" w:type="dxa"/>
              <w:bottom w:w="80" w:type="dxa"/>
              <w:end w:w="120" w:type="dxa"/>
            </w:tcMar>
            <w:vAlign w:val="center"/>
          </w:tcPr>
          <w:p>
            <w:r>
              <w:rPr>
                <w:rFonts w:ascii="Calibri" w:hAnsi="Calibri"/>
                <w:b w:val="0"/>
                <w:i w:val="0"/>
                <w:color w:val="1F2937"/>
                <w:sz w:val="13"/>
              </w:rPr>
              <w:t>Kararlar, hukuk/uyum, mimari</w:t>
            </w:r>
          </w:p>
        </w:tc>
        <w:tc>
          <w:tcPr>
            <w:tcW w:type="dxa" w:w="2100"/>
            <w:tcMar>
              <w:top w:w="80" w:type="dxa"/>
              <w:start w:w="120" w:type="dxa"/>
              <w:bottom w:w="80" w:type="dxa"/>
              <w:end w:w="120" w:type="dxa"/>
            </w:tcMar>
            <w:vAlign w:val="center"/>
          </w:tcPr>
          <w:p>
            <w:r>
              <w:rPr>
                <w:rFonts w:ascii="Calibri" w:hAnsi="Calibri"/>
                <w:b w:val="0"/>
                <w:i w:val="0"/>
                <w:color w:val="1F2937"/>
                <w:sz w:val="13"/>
              </w:rPr>
              <w:t>Решения, право/комплаенс, архитектура</w:t>
            </w:r>
          </w:p>
        </w:tc>
      </w:tr>
      <w:tr>
        <w:trPr>
          <w:cantSplit/>
        </w:trPr>
        <w:tc>
          <w:tcPr>
            <w:tcW w:type="dxa" w:w="760"/>
            <w:shd w:fill="F8FAFC"/>
            <w:tcMar>
              <w:top w:w="80" w:type="dxa"/>
              <w:start w:w="120" w:type="dxa"/>
              <w:bottom w:w="80" w:type="dxa"/>
              <w:end w:w="120" w:type="dxa"/>
            </w:tcMar>
            <w:vAlign w:val="center"/>
          </w:tcPr>
          <w:p>
            <w:r>
              <w:rPr>
                <w:rFonts w:ascii="Calibri" w:hAnsi="Calibri"/>
                <w:b/>
                <w:i w:val="0"/>
                <w:color w:val="102A43"/>
                <w:sz w:val="13"/>
              </w:rPr>
              <w:t>WP3–4</w:t>
            </w:r>
          </w:p>
        </w:tc>
        <w:tc>
          <w:tcPr>
            <w:tcW w:type="dxa" w:w="2200"/>
            <w:shd w:fill="F8FAFC"/>
            <w:tcMar>
              <w:top w:w="80" w:type="dxa"/>
              <w:start w:w="120" w:type="dxa"/>
              <w:bottom w:w="80" w:type="dxa"/>
              <w:end w:w="120" w:type="dxa"/>
            </w:tcMar>
            <w:vAlign w:val="center"/>
          </w:tcPr>
          <w:p>
            <w:r>
              <w:rPr>
                <w:rFonts w:ascii="Calibri" w:hAnsi="Calibri"/>
                <w:b w:val="0"/>
                <w:i w:val="0"/>
                <w:color w:val="1F2937"/>
                <w:sz w:val="13"/>
              </w:rPr>
              <w:t>Identity/RBAC and migration/storage</w:t>
            </w:r>
          </w:p>
        </w:tc>
        <w:tc>
          <w:tcPr>
            <w:tcW w:type="dxa" w:w="2200"/>
            <w:shd w:fill="F8FAFC"/>
            <w:tcMar>
              <w:top w:w="80" w:type="dxa"/>
              <w:start w:w="120" w:type="dxa"/>
              <w:bottom w:w="80" w:type="dxa"/>
              <w:end w:w="120" w:type="dxa"/>
            </w:tcMar>
            <w:vAlign w:val="center"/>
          </w:tcPr>
          <w:p>
            <w:r>
              <w:rPr>
                <w:rFonts w:ascii="Calibri" w:hAnsi="Calibri"/>
                <w:b w:val="0"/>
                <w:i w:val="0"/>
                <w:color w:val="1F2937"/>
                <w:sz w:val="13"/>
              </w:rPr>
              <w:t>Identität/Rollen und Migration/Speicher</w:t>
            </w:r>
          </w:p>
        </w:tc>
        <w:tc>
          <w:tcPr>
            <w:tcW w:type="dxa" w:w="2100"/>
            <w:shd w:fill="F8FAFC"/>
            <w:tcMar>
              <w:top w:w="80" w:type="dxa"/>
              <w:start w:w="120" w:type="dxa"/>
              <w:bottom w:w="80" w:type="dxa"/>
              <w:end w:w="120" w:type="dxa"/>
            </w:tcMar>
            <w:vAlign w:val="center"/>
          </w:tcPr>
          <w:p>
            <w:r>
              <w:rPr>
                <w:rFonts w:ascii="Calibri" w:hAnsi="Calibri"/>
                <w:b w:val="0"/>
                <w:i w:val="0"/>
                <w:color w:val="1F2937"/>
                <w:sz w:val="13"/>
              </w:rPr>
              <w:t>Kimlik/roller ve veri taşıma/depolama</w:t>
            </w:r>
          </w:p>
        </w:tc>
        <w:tc>
          <w:tcPr>
            <w:tcW w:type="dxa" w:w="2100"/>
            <w:shd w:fill="F8FAFC"/>
            <w:tcMar>
              <w:top w:w="80" w:type="dxa"/>
              <w:start w:w="120" w:type="dxa"/>
              <w:bottom w:w="80" w:type="dxa"/>
              <w:end w:w="120" w:type="dxa"/>
            </w:tcMar>
            <w:vAlign w:val="center"/>
          </w:tcPr>
          <w:p>
            <w:r>
              <w:rPr>
                <w:rFonts w:ascii="Calibri" w:hAnsi="Calibri"/>
                <w:b w:val="0"/>
                <w:i w:val="0"/>
                <w:color w:val="1F2937"/>
                <w:sz w:val="13"/>
              </w:rPr>
              <w:t>Доступ/роли и перенос/хранение данных</w:t>
            </w:r>
          </w:p>
        </w:tc>
      </w:tr>
      <w:tr>
        <w:trPr>
          <w:cantSplit/>
        </w:trPr>
        <w:tc>
          <w:tcPr>
            <w:tcW w:type="dxa" w:w="760"/>
            <w:tcMar>
              <w:top w:w="80" w:type="dxa"/>
              <w:start w:w="120" w:type="dxa"/>
              <w:bottom w:w="80" w:type="dxa"/>
              <w:end w:w="120" w:type="dxa"/>
            </w:tcMar>
            <w:vAlign w:val="center"/>
          </w:tcPr>
          <w:p>
            <w:r>
              <w:rPr>
                <w:rFonts w:ascii="Calibri" w:hAnsi="Calibri"/>
                <w:b/>
                <w:i w:val="0"/>
                <w:color w:val="102A43"/>
                <w:sz w:val="13"/>
              </w:rPr>
              <w:t>WP5–8</w:t>
            </w:r>
          </w:p>
        </w:tc>
        <w:tc>
          <w:tcPr>
            <w:tcW w:type="dxa" w:w="2200"/>
            <w:tcMar>
              <w:top w:w="80" w:type="dxa"/>
              <w:start w:w="120" w:type="dxa"/>
              <w:bottom w:w="80" w:type="dxa"/>
              <w:end w:w="120" w:type="dxa"/>
            </w:tcMar>
            <w:vAlign w:val="center"/>
          </w:tcPr>
          <w:p>
            <w:r>
              <w:rPr>
                <w:rFonts w:ascii="Calibri" w:hAnsi="Calibri"/>
                <w:b w:val="0"/>
                <w:i w:val="0"/>
                <w:color w:val="1F2937"/>
                <w:sz w:val="13"/>
              </w:rPr>
              <w:t>Payments, messages, e-documents, listings</w:t>
            </w:r>
          </w:p>
        </w:tc>
        <w:tc>
          <w:tcPr>
            <w:tcW w:type="dxa" w:w="2200"/>
            <w:tcMar>
              <w:top w:w="80" w:type="dxa"/>
              <w:start w:w="120" w:type="dxa"/>
              <w:bottom w:w="80" w:type="dxa"/>
              <w:end w:w="120" w:type="dxa"/>
            </w:tcMar>
            <w:vAlign w:val="center"/>
          </w:tcPr>
          <w:p>
            <w:r>
              <w:rPr>
                <w:rFonts w:ascii="Calibri" w:hAnsi="Calibri"/>
                <w:b w:val="0"/>
                <w:i w:val="0"/>
                <w:color w:val="1F2937"/>
                <w:sz w:val="13"/>
              </w:rPr>
              <w:t>Zahlungen, Nachrichten, E-Dokumente, Inserate</w:t>
            </w:r>
          </w:p>
        </w:tc>
        <w:tc>
          <w:tcPr>
            <w:tcW w:type="dxa" w:w="2100"/>
            <w:tcMar>
              <w:top w:w="80" w:type="dxa"/>
              <w:start w:w="120" w:type="dxa"/>
              <w:bottom w:w="80" w:type="dxa"/>
              <w:end w:w="120" w:type="dxa"/>
            </w:tcMar>
            <w:vAlign w:val="center"/>
          </w:tcPr>
          <w:p>
            <w:r>
              <w:rPr>
                <w:rFonts w:ascii="Calibri" w:hAnsi="Calibri"/>
                <w:b w:val="0"/>
                <w:i w:val="0"/>
                <w:color w:val="1F2937"/>
                <w:sz w:val="13"/>
              </w:rPr>
              <w:t>Ödeme, mesaj, e-belge, ilan</w:t>
            </w:r>
          </w:p>
        </w:tc>
        <w:tc>
          <w:tcPr>
            <w:tcW w:type="dxa" w:w="2100"/>
            <w:tcMar>
              <w:top w:w="80" w:type="dxa"/>
              <w:start w:w="120" w:type="dxa"/>
              <w:bottom w:w="80" w:type="dxa"/>
              <w:end w:w="120" w:type="dxa"/>
            </w:tcMar>
            <w:vAlign w:val="center"/>
          </w:tcPr>
          <w:p>
            <w:r>
              <w:rPr>
                <w:rFonts w:ascii="Calibri" w:hAnsi="Calibri"/>
                <w:b w:val="0"/>
                <w:i w:val="0"/>
                <w:color w:val="1F2937"/>
                <w:sz w:val="13"/>
              </w:rPr>
              <w:t>Платежи, сообщения, э-документы, объявления</w:t>
            </w:r>
          </w:p>
        </w:tc>
      </w:tr>
      <w:tr>
        <w:trPr>
          <w:cantSplit/>
        </w:trPr>
        <w:tc>
          <w:tcPr>
            <w:tcW w:type="dxa" w:w="760"/>
            <w:shd w:fill="F8FAFC"/>
            <w:tcMar>
              <w:top w:w="80" w:type="dxa"/>
              <w:start w:w="120" w:type="dxa"/>
              <w:bottom w:w="80" w:type="dxa"/>
              <w:end w:w="120" w:type="dxa"/>
            </w:tcMar>
            <w:vAlign w:val="center"/>
          </w:tcPr>
          <w:p>
            <w:r>
              <w:rPr>
                <w:rFonts w:ascii="Calibri" w:hAnsi="Calibri"/>
                <w:b/>
                <w:i w:val="0"/>
                <w:color w:val="102A43"/>
                <w:sz w:val="13"/>
              </w:rPr>
              <w:t>WP9–11</w:t>
            </w:r>
          </w:p>
        </w:tc>
        <w:tc>
          <w:tcPr>
            <w:tcW w:type="dxa" w:w="2200"/>
            <w:shd w:fill="F8FAFC"/>
            <w:tcMar>
              <w:top w:w="80" w:type="dxa"/>
              <w:start w:w="120" w:type="dxa"/>
              <w:bottom w:w="80" w:type="dxa"/>
              <w:end w:w="120" w:type="dxa"/>
            </w:tcMar>
            <w:vAlign w:val="center"/>
          </w:tcPr>
          <w:p>
            <w:r>
              <w:rPr>
                <w:rFonts w:ascii="Calibri" w:hAnsi="Calibri"/>
                <w:b w:val="0"/>
                <w:i w:val="0"/>
                <w:color w:val="1F2937"/>
                <w:sz w:val="13"/>
              </w:rPr>
              <w:t>AI, digital adapters and physical systems</w:t>
            </w:r>
          </w:p>
        </w:tc>
        <w:tc>
          <w:tcPr>
            <w:tcW w:type="dxa" w:w="2200"/>
            <w:shd w:fill="F8FAFC"/>
            <w:tcMar>
              <w:top w:w="80" w:type="dxa"/>
              <w:start w:w="120" w:type="dxa"/>
              <w:bottom w:w="80" w:type="dxa"/>
              <w:end w:w="120" w:type="dxa"/>
            </w:tcMar>
            <w:vAlign w:val="center"/>
          </w:tcPr>
          <w:p>
            <w:r>
              <w:rPr>
                <w:rFonts w:ascii="Calibri" w:hAnsi="Calibri"/>
                <w:b w:val="0"/>
                <w:i w:val="0"/>
                <w:color w:val="1F2937"/>
                <w:sz w:val="13"/>
              </w:rPr>
              <w:t>KI, digitale Adapter und physische Systeme</w:t>
            </w:r>
          </w:p>
        </w:tc>
        <w:tc>
          <w:tcPr>
            <w:tcW w:type="dxa" w:w="2100"/>
            <w:shd w:fill="F8FAFC"/>
            <w:tcMar>
              <w:top w:w="80" w:type="dxa"/>
              <w:start w:w="120" w:type="dxa"/>
              <w:bottom w:w="80" w:type="dxa"/>
              <w:end w:w="120" w:type="dxa"/>
            </w:tcMar>
            <w:vAlign w:val="center"/>
          </w:tcPr>
          <w:p>
            <w:r>
              <w:rPr>
                <w:rFonts w:ascii="Calibri" w:hAnsi="Calibri"/>
                <w:b w:val="0"/>
                <w:i w:val="0"/>
                <w:color w:val="1F2937"/>
                <w:sz w:val="13"/>
              </w:rPr>
              <w:t>Yapay zekâ, dijital bağlantılar ve fiziksel sistemler</w:t>
            </w:r>
          </w:p>
        </w:tc>
        <w:tc>
          <w:tcPr>
            <w:tcW w:type="dxa" w:w="2100"/>
            <w:shd w:fill="F8FAFC"/>
            <w:tcMar>
              <w:top w:w="80" w:type="dxa"/>
              <w:start w:w="120" w:type="dxa"/>
              <w:bottom w:w="80" w:type="dxa"/>
              <w:end w:w="120" w:type="dxa"/>
            </w:tcMar>
            <w:vAlign w:val="center"/>
          </w:tcPr>
          <w:p>
            <w:r>
              <w:rPr>
                <w:rFonts w:ascii="Calibri" w:hAnsi="Calibri"/>
                <w:b w:val="0"/>
                <w:i w:val="0"/>
                <w:color w:val="1F2937"/>
                <w:sz w:val="13"/>
              </w:rPr>
              <w:t>ИИ, цифровые интеграции и физические системы</w:t>
            </w:r>
          </w:p>
        </w:tc>
      </w:tr>
      <w:tr>
        <w:trPr>
          <w:cantSplit/>
        </w:trPr>
        <w:tc>
          <w:tcPr>
            <w:tcW w:type="dxa" w:w="760"/>
            <w:tcMar>
              <w:top w:w="80" w:type="dxa"/>
              <w:start w:w="120" w:type="dxa"/>
              <w:bottom w:w="80" w:type="dxa"/>
              <w:end w:w="120" w:type="dxa"/>
            </w:tcMar>
            <w:vAlign w:val="center"/>
          </w:tcPr>
          <w:p>
            <w:r>
              <w:rPr>
                <w:rFonts w:ascii="Calibri" w:hAnsi="Calibri"/>
                <w:b/>
                <w:i w:val="0"/>
                <w:color w:val="102A43"/>
                <w:sz w:val="13"/>
              </w:rPr>
              <w:t>WP12–13</w:t>
            </w:r>
          </w:p>
        </w:tc>
        <w:tc>
          <w:tcPr>
            <w:tcW w:type="dxa" w:w="2200"/>
            <w:tcMar>
              <w:top w:w="80" w:type="dxa"/>
              <w:start w:w="120" w:type="dxa"/>
              <w:bottom w:w="80" w:type="dxa"/>
              <w:end w:w="120" w:type="dxa"/>
            </w:tcMar>
            <w:vAlign w:val="center"/>
          </w:tcPr>
          <w:p>
            <w:r>
              <w:rPr>
                <w:rFonts w:ascii="Calibri" w:hAnsi="Calibri"/>
                <w:b w:val="0"/>
                <w:i w:val="0"/>
                <w:color w:val="1F2937"/>
                <w:sz w:val="13"/>
              </w:rPr>
              <w:t>Security/recovery, UAT, launch and hypercare</w:t>
            </w:r>
          </w:p>
        </w:tc>
        <w:tc>
          <w:tcPr>
            <w:tcW w:type="dxa" w:w="2200"/>
            <w:tcMar>
              <w:top w:w="80" w:type="dxa"/>
              <w:start w:w="120" w:type="dxa"/>
              <w:bottom w:w="80" w:type="dxa"/>
              <w:end w:w="120" w:type="dxa"/>
            </w:tcMar>
            <w:vAlign w:val="center"/>
          </w:tcPr>
          <w:p>
            <w:r>
              <w:rPr>
                <w:rFonts w:ascii="Calibri" w:hAnsi="Calibri"/>
                <w:b w:val="0"/>
                <w:i w:val="0"/>
                <w:color w:val="1F2937"/>
                <w:sz w:val="13"/>
              </w:rPr>
              <w:t>Sicherheit/Wiederherstellung, UAT, Start und Hypercare</w:t>
            </w:r>
          </w:p>
        </w:tc>
        <w:tc>
          <w:tcPr>
            <w:tcW w:type="dxa" w:w="2100"/>
            <w:tcMar>
              <w:top w:w="80" w:type="dxa"/>
              <w:start w:w="120" w:type="dxa"/>
              <w:bottom w:w="80" w:type="dxa"/>
              <w:end w:w="120" w:type="dxa"/>
            </w:tcMar>
            <w:vAlign w:val="center"/>
          </w:tcPr>
          <w:p>
            <w:r>
              <w:rPr>
                <w:rFonts w:ascii="Calibri" w:hAnsi="Calibri"/>
                <w:b w:val="0"/>
                <w:i w:val="0"/>
                <w:color w:val="1F2937"/>
                <w:sz w:val="13"/>
              </w:rPr>
              <w:t>Güvenlik/kurtarma, UAT, canlıya geçiş ve yakın destek</w:t>
            </w:r>
          </w:p>
        </w:tc>
        <w:tc>
          <w:tcPr>
            <w:tcW w:type="dxa" w:w="2100"/>
            <w:tcMar>
              <w:top w:w="80" w:type="dxa"/>
              <w:start w:w="120" w:type="dxa"/>
              <w:bottom w:w="80" w:type="dxa"/>
              <w:end w:w="120" w:type="dxa"/>
            </w:tcMar>
            <w:vAlign w:val="center"/>
          </w:tcPr>
          <w:p>
            <w:r>
              <w:rPr>
                <w:rFonts w:ascii="Calibri" w:hAnsi="Calibri"/>
                <w:b w:val="0"/>
                <w:i w:val="0"/>
                <w:color w:val="1F2937"/>
                <w:sz w:val="13"/>
              </w:rPr>
              <w:t>Безопасность/восстановление, UAT, запуск и усиленная поддержка</w:t>
            </w:r>
          </w:p>
        </w:tc>
      </w:tr>
    </w:tbl>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rPr>
          <w:cantSplit/>
          <w:tblHeader w:val="true"/>
        </w:trPr>
        <w:tc>
          <w:tcPr>
            <w:tcW w:type="dxa" w:w="9360"/>
            <w:shd w:fill="E8F5F2"/>
            <w:tcMar>
              <w:top w:w="80" w:type="dxa"/>
              <w:start w:w="120" w:type="dxa"/>
              <w:bottom w:w="80" w:type="dxa"/>
              <w:end w:w="120" w:type="dxa"/>
            </w:tcMar>
            <w:vAlign w:val="center"/>
          </w:tcPr>
          <w:p>
            <w:r>
              <w:rPr>
                <w:rFonts w:ascii="Calibri" w:hAnsi="Calibri"/>
                <w:b/>
                <w:i w:val="0"/>
                <w:color w:val="0F766E"/>
                <w:sz w:val="20"/>
              </w:rPr>
              <w:t>Language note | Sprachhinweis | Dil notu | Примечание о языке</w:t>
              <w:br/>
            </w:r>
            <w:r>
              <w:rPr>
                <w:rFonts w:ascii="Calibri" w:hAnsi="Calibri"/>
                <w:b w:val="0"/>
                <w:i w:val="0"/>
                <w:color w:val="1F2937"/>
                <w:sz w:val="19"/>
              </w:rPr>
              <w:t>Provider names, official Turkish terms, formulas and source IDs stay unchanged in every language. This prevents translation from changing the legal name or the mathematics. The interactive HTML applies one shared calculation engine to EN/DE/TR/RU labels and explanations.</w:t>
            </w:r>
          </w:p>
        </w:tc>
      </w:tr>
    </w:tbl>
    <w:p>
      <w:pPr>
        <w:spacing w:after="40"/>
      </w:pPr>
    </w:p>
    <w:p>
      <w:r>
        <w:br w:type="page"/>
      </w:r>
    </w:p>
    <w:p>
      <w:bookmarkStart w:id="103" w:name="exec"/>
      <w:pPr>
        <w:pStyle w:val="Heading1"/>
      </w:pPr>
      <w:r>
        <w:t>1. Executive summary</w:t>
      </w:r>
      <w:bookmarkEnd w:id="103"/>
    </w:p>
    <w:p>
      <w:pPr>
        <w:pStyle w:val="ExecutiveLead"/>
      </w:pPr>
      <w:r>
        <w:rPr>
          <w:rFonts w:ascii="Calibri" w:hAnsi="Calibri"/>
          <w:b w:val="0"/>
          <w:i w:val="0"/>
          <w:color w:val="1F2937"/>
          <w:sz w:val="20"/>
        </w:rPr>
        <w:t>1Çatı already demonstrates the operating concept, role-based workflows and provider-ready foundations. The remaining path to a production service is primarily a controlled programme of provider procurement, Turkish compliance, operational ownership, real-data validation and end-to-end evidence—not simply a larger hosting plan.</w:t>
      </w:r>
    </w:p>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rPr>
          <w:cantSplit/>
          <w:tblHeader w:val="true"/>
        </w:trPr>
        <w:tc>
          <w:tcPr>
            <w:tcW w:type="dxa" w:w="9360"/>
            <w:shd w:fill="E8F5F2"/>
            <w:tcMar>
              <w:top w:w="80" w:type="dxa"/>
              <w:start w:w="120" w:type="dxa"/>
              <w:bottom w:w="80" w:type="dxa"/>
              <w:end w:w="120" w:type="dxa"/>
            </w:tcMar>
            <w:vAlign w:val="center"/>
          </w:tcPr>
          <w:p>
            <w:r>
              <w:rPr>
                <w:rFonts w:ascii="Calibri" w:hAnsi="Calibri"/>
                <w:b/>
                <w:i w:val="0"/>
                <w:color w:val="0F766E"/>
                <w:sz w:val="20"/>
              </w:rPr>
              <w:t>Executive conclusion</w:t>
              <w:br/>
            </w:r>
            <w:r>
              <w:rPr>
                <w:rFonts w:ascii="Calibri" w:hAnsi="Calibri"/>
                <w:b w:val="0"/>
                <w:i w:val="0"/>
                <w:color w:val="1F2937"/>
                <w:sz w:val="19"/>
              </w:rPr>
              <w:t>Core cloud cost can remain comparatively modest at 1,000–10,000 monthly active users. The faster-growing cost drivers are payment turnover, internal CRM seats, AI actions, SMS volume, Maps calls, compliance certificates, physical integrations and professional support. Management should approve the operating model before buying providers.</w:t>
            </w:r>
          </w:p>
        </w:tc>
      </w:tr>
    </w:tbl>
    <w:p>
      <w:pPr>
        <w:spacing w:after="40"/>
      </w:pPr>
    </w:p>
    <w:p>
      <w:pPr>
        <w:pStyle w:val="Heading2"/>
      </w:pPr>
      <w:r>
        <w:t>1.1 What is ready and what is not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550"/>
        <w:gridCol w:w="3300"/>
        <w:gridCol w:w="4510"/>
      </w:tblGrid>
      <w:tr>
        <w:trPr>
          <w:cantSplit/>
          <w:tblHeader w:val="true"/>
          <w:cantSplit/>
        </w:trPr>
        <w:tc>
          <w:tcPr>
            <w:tcW w:type="dxa" w:w="1550"/>
            <w:shd w:fill="102A43"/>
            <w:tcMar>
              <w:top w:w="80" w:type="dxa"/>
              <w:start w:w="120" w:type="dxa"/>
              <w:bottom w:w="80" w:type="dxa"/>
              <w:end w:w="120" w:type="dxa"/>
            </w:tcMar>
            <w:vAlign w:val="center"/>
          </w:tcPr>
          <w:p>
            <w:r>
              <w:rPr>
                <w:rFonts w:ascii="Calibri" w:hAnsi="Calibri"/>
                <w:b/>
                <w:i w:val="0"/>
                <w:color w:val="FFFFFF"/>
                <w:sz w:val="16"/>
              </w:rPr>
              <w:t>Area</w:t>
            </w:r>
          </w:p>
        </w:tc>
        <w:tc>
          <w:tcPr>
            <w:tcW w:type="dxa" w:w="3300"/>
            <w:shd w:fill="102A43"/>
            <w:tcMar>
              <w:top w:w="80" w:type="dxa"/>
              <w:start w:w="120" w:type="dxa"/>
              <w:bottom w:w="80" w:type="dxa"/>
              <w:end w:w="120" w:type="dxa"/>
            </w:tcMar>
            <w:vAlign w:val="center"/>
          </w:tcPr>
          <w:p>
            <w:r>
              <w:rPr>
                <w:rFonts w:ascii="Calibri" w:hAnsi="Calibri"/>
                <w:b/>
                <w:i w:val="0"/>
                <w:color w:val="FFFFFF"/>
                <w:sz w:val="16"/>
              </w:rPr>
              <w:t>Current demo position</w:t>
            </w:r>
          </w:p>
        </w:tc>
        <w:tc>
          <w:tcPr>
            <w:tcW w:type="dxa" w:w="4510"/>
            <w:shd w:fill="102A43"/>
            <w:tcMar>
              <w:top w:w="80" w:type="dxa"/>
              <w:start w:w="120" w:type="dxa"/>
              <w:bottom w:w="80" w:type="dxa"/>
              <w:end w:w="120" w:type="dxa"/>
            </w:tcMar>
            <w:vAlign w:val="center"/>
          </w:tcPr>
          <w:p>
            <w:r>
              <w:rPr>
                <w:rFonts w:ascii="Calibri" w:hAnsi="Calibri"/>
                <w:b/>
                <w:i w:val="0"/>
                <w:color w:val="FFFFFF"/>
                <w:sz w:val="16"/>
              </w:rPr>
              <w:t>Production meaning</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Web/PWA and workflows</w:t>
            </w:r>
          </w:p>
        </w:tc>
        <w:tc>
          <w:tcPr>
            <w:tcW w:type="dxa" w:w="3300"/>
            <w:tcMar>
              <w:top w:w="80" w:type="dxa"/>
              <w:start w:w="120" w:type="dxa"/>
              <w:bottom w:w="80" w:type="dxa"/>
              <w:end w:w="120" w:type="dxa"/>
            </w:tcMar>
            <w:vAlign w:val="center"/>
          </w:tcPr>
          <w:p>
            <w:r>
              <w:rPr>
                <w:rFonts w:ascii="Calibri" w:hAnsi="Calibri"/>
                <w:b w:val="0"/>
                <w:i w:val="0"/>
                <w:color w:val="1F2937"/>
                <w:sz w:val="16"/>
              </w:rPr>
              <w:t>Implemented demo/internal-QA foundation across the 15-phase operating model.</w:t>
            </w:r>
          </w:p>
        </w:tc>
        <w:tc>
          <w:tcPr>
            <w:tcW w:type="dxa" w:w="4510"/>
            <w:tcMar>
              <w:top w:w="80" w:type="dxa"/>
              <w:start w:w="120" w:type="dxa"/>
              <w:bottom w:w="80" w:type="dxa"/>
              <w:end w:w="120" w:type="dxa"/>
            </w:tcMar>
            <w:vAlign w:val="center"/>
          </w:tcPr>
          <w:p>
            <w:r>
              <w:rPr>
                <w:rFonts w:ascii="Calibri" w:hAnsi="Calibri"/>
                <w:b w:val="0"/>
                <w:i w:val="0"/>
                <w:color w:val="1F2937"/>
                <w:sz w:val="16"/>
              </w:rPr>
              <w:t>Validate with real client roles, data, exceptions and UAT.</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Supabase/Auth/Storage</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Code and schema are ready for environment activation; upload contract is DB/API-ready.</w:t>
            </w:r>
          </w:p>
        </w:tc>
        <w:tc>
          <w:tcPr>
            <w:tcW w:type="dxa" w:w="4510"/>
            <w:shd w:fill="F8FAFC"/>
            <w:tcMar>
              <w:top w:w="80" w:type="dxa"/>
              <w:start w:w="120" w:type="dxa"/>
              <w:bottom w:w="80" w:type="dxa"/>
              <w:end w:w="120" w:type="dxa"/>
            </w:tcMar>
            <w:vAlign w:val="center"/>
          </w:tcPr>
          <w:p>
            <w:r>
              <w:rPr>
                <w:rFonts w:ascii="Calibri" w:hAnsi="Calibri"/>
                <w:b w:val="0"/>
                <w:i w:val="0"/>
                <w:color w:val="1F2937"/>
                <w:sz w:val="16"/>
              </w:rPr>
              <w:t>Create production project, RLS evidence, storage/retention decision, backup and restore proof.</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Twenty CRM</w:t>
            </w:r>
          </w:p>
        </w:tc>
        <w:tc>
          <w:tcPr>
            <w:tcW w:type="dxa" w:w="3300"/>
            <w:tcMar>
              <w:top w:w="80" w:type="dxa"/>
              <w:start w:w="120" w:type="dxa"/>
              <w:bottom w:w="80" w:type="dxa"/>
              <w:end w:w="120" w:type="dxa"/>
            </w:tcMar>
            <w:vAlign w:val="center"/>
          </w:tcPr>
          <w:p>
            <w:r>
              <w:rPr>
                <w:rFonts w:ascii="Calibri" w:hAnsi="Calibri"/>
                <w:b w:val="0"/>
                <w:i w:val="0"/>
                <w:color w:val="1F2937"/>
                <w:sz w:val="16"/>
              </w:rPr>
              <w:t>Architecture-selected CRM core; deployment and commercial choice remain.</w:t>
            </w:r>
          </w:p>
        </w:tc>
        <w:tc>
          <w:tcPr>
            <w:tcW w:type="dxa" w:w="4510"/>
            <w:tcMar>
              <w:top w:w="80" w:type="dxa"/>
              <w:start w:w="120" w:type="dxa"/>
              <w:bottom w:w="80" w:type="dxa"/>
              <w:end w:w="120" w:type="dxa"/>
            </w:tcMar>
            <w:vAlign w:val="center"/>
          </w:tcPr>
          <w:p>
            <w:r>
              <w:rPr>
                <w:rFonts w:ascii="Calibri" w:hAnsi="Calibri"/>
                <w:b w:val="0"/>
                <w:i w:val="0"/>
                <w:color w:val="1F2937"/>
                <w:sz w:val="16"/>
              </w:rPr>
              <w:t>Choose Cloud vs self-host and Pro vs Organization; count only internal staff seats.</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Payments/banking</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Provider-ready placeholders and finance model; no contracted live provider.</w:t>
            </w:r>
          </w:p>
        </w:tc>
        <w:tc>
          <w:tcPr>
            <w:tcW w:type="dxa" w:w="4510"/>
            <w:shd w:fill="F8FAFC"/>
            <w:tcMar>
              <w:top w:w="80" w:type="dxa"/>
              <w:start w:w="120" w:type="dxa"/>
              <w:bottom w:w="80" w:type="dxa"/>
              <w:end w:w="120" w:type="dxa"/>
            </w:tcMar>
            <w:vAlign w:val="center"/>
          </w:tcPr>
          <w:p>
            <w:r>
              <w:rPr>
                <w:rFonts w:ascii="Calibri" w:hAnsi="Calibri"/>
                <w:b w:val="0"/>
                <w:i w:val="0"/>
                <w:color w:val="1F2937"/>
                <w:sz w:val="16"/>
              </w:rPr>
              <w:t>Select licensed provider, complete sandbox, signed webhooks, refunds, reconciliation and legal review.</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Messaging</w:t>
            </w:r>
          </w:p>
        </w:tc>
        <w:tc>
          <w:tcPr>
            <w:tcW w:type="dxa" w:w="3300"/>
            <w:tcMar>
              <w:top w:w="80" w:type="dxa"/>
              <w:start w:w="120" w:type="dxa"/>
              <w:bottom w:w="80" w:type="dxa"/>
              <w:end w:w="120" w:type="dxa"/>
            </w:tcMar>
            <w:vAlign w:val="center"/>
          </w:tcPr>
          <w:p>
            <w:r>
              <w:rPr>
                <w:rFonts w:ascii="Calibri" w:hAnsi="Calibri"/>
                <w:b w:val="0"/>
                <w:i w:val="0"/>
                <w:color w:val="1F2937"/>
                <w:sz w:val="16"/>
              </w:rPr>
              <w:t>Communication centre and retry concepts exist; no production SMS/email/IYS provider activated.</w:t>
            </w:r>
          </w:p>
        </w:tc>
        <w:tc>
          <w:tcPr>
            <w:tcW w:type="dxa" w:w="4510"/>
            <w:tcMar>
              <w:top w:w="80" w:type="dxa"/>
              <w:start w:w="120" w:type="dxa"/>
              <w:bottom w:w="80" w:type="dxa"/>
              <w:end w:w="120" w:type="dxa"/>
            </w:tcMar>
            <w:vAlign w:val="center"/>
          </w:tcPr>
          <w:p>
            <w:r>
              <w:rPr>
                <w:rFonts w:ascii="Calibri" w:hAnsi="Calibri"/>
                <w:b w:val="0"/>
                <w:i w:val="0"/>
                <w:color w:val="1F2937"/>
                <w:sz w:val="16"/>
              </w:rPr>
              <w:t>Classify operational vs marketing messages, procure sender IDs/domains and prove delivery/opt-out.</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AI</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Guardrailed recommendation/reporting foundation.</w:t>
            </w:r>
          </w:p>
        </w:tc>
        <w:tc>
          <w:tcPr>
            <w:tcW w:type="dxa" w:w="4510"/>
            <w:shd w:fill="F8FAFC"/>
            <w:tcMar>
              <w:top w:w="80" w:type="dxa"/>
              <w:start w:w="120" w:type="dxa"/>
              <w:bottom w:w="80" w:type="dxa"/>
              <w:end w:w="120" w:type="dxa"/>
            </w:tcMar>
            <w:vAlign w:val="center"/>
          </w:tcPr>
          <w:p>
            <w:r>
              <w:rPr>
                <w:rFonts w:ascii="Calibri" w:hAnsi="Calibri"/>
                <w:b w:val="0"/>
                <w:i w:val="0"/>
                <w:color w:val="1F2937"/>
                <w:sz w:val="16"/>
              </w:rPr>
              <w:t>Approve data classes, routing, redaction, evaluations, budget caps and human approvals.</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Physical access/camera</w:t>
            </w:r>
          </w:p>
        </w:tc>
        <w:tc>
          <w:tcPr>
            <w:tcW w:type="dxa" w:w="3300"/>
            <w:tcMar>
              <w:top w:w="80" w:type="dxa"/>
              <w:start w:w="120" w:type="dxa"/>
              <w:bottom w:w="80" w:type="dxa"/>
              <w:end w:w="120" w:type="dxa"/>
            </w:tcMar>
            <w:vAlign w:val="center"/>
          </w:tcPr>
          <w:p>
            <w:r>
              <w:rPr>
                <w:rFonts w:ascii="Calibri" w:hAnsi="Calibri"/>
                <w:b w:val="0"/>
                <w:i w:val="0"/>
                <w:color w:val="1F2937"/>
                <w:sz w:val="16"/>
              </w:rPr>
              <w:t>No vendor should be assumed without a site survey.</w:t>
            </w:r>
          </w:p>
        </w:tc>
        <w:tc>
          <w:tcPr>
            <w:tcW w:type="dxa" w:w="4510"/>
            <w:tcMar>
              <w:top w:w="80" w:type="dxa"/>
              <w:start w:w="120" w:type="dxa"/>
              <w:bottom w:w="80" w:type="dxa"/>
              <w:end w:w="120" w:type="dxa"/>
            </w:tcMar>
            <w:vAlign w:val="center"/>
          </w:tcPr>
          <w:p>
            <w:r>
              <w:rPr>
                <w:rFonts w:ascii="Calibri" w:hAnsi="Calibri"/>
                <w:b w:val="0"/>
                <w:i w:val="0"/>
                <w:color w:val="1F2937"/>
                <w:sz w:val="16"/>
              </w:rPr>
              <w:t>Inventory hardware, network, API/licence, retention and installer responsibilities.</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Compliance</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KVKK-aware design principles documented.</w:t>
            </w:r>
          </w:p>
        </w:tc>
        <w:tc>
          <w:tcPr>
            <w:tcW w:type="dxa" w:w="4510"/>
            <w:shd w:fill="F8FAFC"/>
            <w:tcMar>
              <w:top w:w="80" w:type="dxa"/>
              <w:start w:w="120" w:type="dxa"/>
              <w:bottom w:w="80" w:type="dxa"/>
              <w:end w:w="120" w:type="dxa"/>
            </w:tcMar>
            <w:vAlign w:val="center"/>
          </w:tcPr>
          <w:p>
            <w:r>
              <w:rPr>
                <w:rFonts w:ascii="Calibri" w:hAnsi="Calibri"/>
                <w:b w:val="0"/>
                <w:i w:val="0"/>
                <w:color w:val="1F2937"/>
                <w:sz w:val="16"/>
              </w:rPr>
              <w:t>Complete entity-specific VERBİS, SCC, EİDS, e-document, MASAK and Secure Payment assessments.</w:t>
            </w:r>
          </w:p>
        </w:tc>
      </w:tr>
    </w:tbl>
    <w:p>
      <w:pPr>
        <w:pStyle w:val="Heading2"/>
      </w:pPr>
      <w:r>
        <w:t>1.2 Management scenario at a glance</w:t>
      </w:r>
    </w:p>
    <w:p>
      <w:r>
        <w:rPr>
          <w:rFonts w:ascii="Calibri" w:hAnsi="Calibri"/>
          <w:b w:val="0"/>
          <w:i w:val="0"/>
          <w:color w:val="1F2937"/>
          <w:sz w:val="20"/>
        </w:rPr>
        <w:t>The following planning example uses 50% AI adoption × 10 AI actions per AI user (equivalent to five actions per total active user), 100 MB cached traffic per active user, one optimised image copy per stored origin, one authorization certificate in a qualifying metropolitan district, two OTP messages per active user, 5% monthly payers and an average TRY 5,000 transaction. It is deliberately transparent and editable in the HTML calculator.</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380"/>
        <w:gridCol w:w="900"/>
        <w:gridCol w:w="1600"/>
        <w:gridCol w:w="1880"/>
        <w:gridCol w:w="1700"/>
        <w:gridCol w:w="1900"/>
      </w:tblGrid>
      <w:tr>
        <w:trPr>
          <w:cantSplit/>
          <w:tblHeader w:val="true"/>
          <w:cantSplit/>
        </w:trPr>
        <w:tc>
          <w:tcPr>
            <w:tcW w:type="dxa" w:w="1380"/>
            <w:shd w:fill="102A43"/>
            <w:tcMar>
              <w:top w:w="80" w:type="dxa"/>
              <w:start w:w="120" w:type="dxa"/>
              <w:bottom w:w="80" w:type="dxa"/>
              <w:end w:w="120" w:type="dxa"/>
            </w:tcMar>
            <w:vAlign w:val="center"/>
          </w:tcPr>
          <w:p>
            <w:r>
              <w:rPr>
                <w:rFonts w:ascii="Calibri" w:hAnsi="Calibri"/>
                <w:b/>
                <w:i w:val="0"/>
                <w:color w:val="FFFFFF"/>
                <w:sz w:val="15"/>
              </w:rPr>
              <w:t>Monthly active users</w:t>
            </w:r>
          </w:p>
        </w:tc>
        <w:tc>
          <w:tcPr>
            <w:tcW w:type="dxa" w:w="900"/>
            <w:shd w:fill="102A43"/>
            <w:tcMar>
              <w:top w:w="80" w:type="dxa"/>
              <w:start w:w="120" w:type="dxa"/>
              <w:bottom w:w="80" w:type="dxa"/>
              <w:end w:w="120" w:type="dxa"/>
            </w:tcMar>
            <w:vAlign w:val="center"/>
          </w:tcPr>
          <w:p>
            <w:r>
              <w:rPr>
                <w:rFonts w:ascii="Calibri" w:hAnsi="Calibri"/>
                <w:b/>
                <w:i w:val="0"/>
                <w:color w:val="FFFFFF"/>
                <w:sz w:val="15"/>
              </w:rPr>
              <w:t>CRM staff*</w:t>
            </w:r>
          </w:p>
        </w:tc>
        <w:tc>
          <w:tcPr>
            <w:tcW w:type="dxa" w:w="1600"/>
            <w:shd w:fill="102A43"/>
            <w:tcMar>
              <w:top w:w="80" w:type="dxa"/>
              <w:start w:w="120" w:type="dxa"/>
              <w:bottom w:w="80" w:type="dxa"/>
              <w:end w:w="120" w:type="dxa"/>
            </w:tcMar>
            <w:vAlign w:val="center"/>
          </w:tcPr>
          <w:p>
            <w:r>
              <w:rPr>
                <w:rFonts w:ascii="Calibri" w:hAnsi="Calibri"/>
                <w:b/>
                <w:i w:val="0"/>
                <w:color w:val="FFFFFF"/>
                <w:sz w:val="15"/>
              </w:rPr>
              <w:t>Known USD / month</w:t>
            </w:r>
          </w:p>
        </w:tc>
        <w:tc>
          <w:tcPr>
            <w:tcW w:type="dxa" w:w="1880"/>
            <w:shd w:fill="102A43"/>
            <w:tcMar>
              <w:top w:w="80" w:type="dxa"/>
              <w:start w:w="120" w:type="dxa"/>
              <w:bottom w:w="80" w:type="dxa"/>
              <w:end w:w="120" w:type="dxa"/>
            </w:tcMar>
            <w:vAlign w:val="center"/>
          </w:tcPr>
          <w:p>
            <w:r>
              <w:rPr>
                <w:rFonts w:ascii="Calibri" w:hAnsi="Calibri"/>
                <w:b/>
                <w:i w:val="0"/>
                <w:color w:val="FFFFFF"/>
                <w:sz w:val="15"/>
              </w:rPr>
              <w:t>Known local TRY / month**</w:t>
            </w:r>
          </w:p>
        </w:tc>
        <w:tc>
          <w:tcPr>
            <w:tcW w:type="dxa" w:w="1700"/>
            <w:shd w:fill="102A43"/>
            <w:tcMar>
              <w:top w:w="80" w:type="dxa"/>
              <w:start w:w="120" w:type="dxa"/>
              <w:bottom w:w="80" w:type="dxa"/>
              <w:end w:w="120" w:type="dxa"/>
            </w:tcMar>
            <w:vAlign w:val="center"/>
          </w:tcPr>
          <w:p>
            <w:r>
              <w:rPr>
                <w:rFonts w:ascii="Calibri" w:hAnsi="Calibri"/>
                <w:b/>
                <w:i w:val="0"/>
                <w:color w:val="FFFFFF"/>
                <w:sz w:val="15"/>
              </w:rPr>
              <w:t>Payment fee / month</w:t>
            </w:r>
          </w:p>
        </w:tc>
        <w:tc>
          <w:tcPr>
            <w:tcW w:type="dxa" w:w="1900"/>
            <w:shd w:fill="102A43"/>
            <w:tcMar>
              <w:top w:w="80" w:type="dxa"/>
              <w:start w:w="120" w:type="dxa"/>
              <w:bottom w:w="80" w:type="dxa"/>
              <w:end w:w="120" w:type="dxa"/>
            </w:tcMar>
            <w:vAlign w:val="center"/>
          </w:tcPr>
          <w:p>
            <w:r>
              <w:rPr>
                <w:rFonts w:ascii="Calibri" w:hAnsi="Calibri"/>
                <w:b/>
                <w:i w:val="0"/>
                <w:color w:val="FFFFFF"/>
                <w:sz w:val="15"/>
              </w:rPr>
              <w:t>USD / active user</w:t>
            </w:r>
          </w:p>
        </w:tc>
      </w:tr>
      <w:tr>
        <w:trPr>
          <w:cantSplit/>
        </w:trPr>
        <w:tc>
          <w:tcPr>
            <w:tcW w:type="dxa" w:w="1380"/>
            <w:tcMar>
              <w:top w:w="80" w:type="dxa"/>
              <w:start w:w="120" w:type="dxa"/>
              <w:bottom w:w="80" w:type="dxa"/>
              <w:end w:w="120" w:type="dxa"/>
            </w:tcMar>
            <w:vAlign w:val="center"/>
          </w:tcPr>
          <w:p>
            <w:r>
              <w:rPr>
                <w:rFonts w:ascii="Calibri" w:hAnsi="Calibri"/>
                <w:b w:val="0"/>
                <w:i w:val="0"/>
                <w:color w:val="1F2937"/>
                <w:sz w:val="15"/>
              </w:rPr>
              <w:t>1,000</w:t>
            </w:r>
          </w:p>
        </w:tc>
        <w:tc>
          <w:tcPr>
            <w:tcW w:type="dxa" w:w="900"/>
            <w:tcMar>
              <w:top w:w="80" w:type="dxa"/>
              <w:start w:w="120" w:type="dxa"/>
              <w:bottom w:w="80" w:type="dxa"/>
              <w:end w:w="120" w:type="dxa"/>
            </w:tcMar>
            <w:vAlign w:val="center"/>
          </w:tcPr>
          <w:p>
            <w:r>
              <w:rPr>
                <w:rFonts w:ascii="Calibri" w:hAnsi="Calibri"/>
                <w:b w:val="0"/>
                <w:i w:val="0"/>
                <w:color w:val="1F2937"/>
                <w:sz w:val="15"/>
              </w:rPr>
              <w:t>10</w:t>
            </w:r>
          </w:p>
        </w:tc>
        <w:tc>
          <w:tcPr>
            <w:tcW w:type="dxa" w:w="1600"/>
            <w:tcMar>
              <w:top w:w="80" w:type="dxa"/>
              <w:start w:w="120" w:type="dxa"/>
              <w:bottom w:w="80" w:type="dxa"/>
              <w:end w:w="120" w:type="dxa"/>
            </w:tcMar>
            <w:vAlign w:val="center"/>
          </w:tcPr>
          <w:p>
            <w:r>
              <w:rPr>
                <w:rFonts w:ascii="Calibri" w:hAnsi="Calibri"/>
                <w:b w:val="0"/>
                <w:i w:val="0"/>
                <w:color w:val="1F2937"/>
                <w:sz w:val="15"/>
              </w:rPr>
              <w:t>$429.46</w:t>
            </w:r>
          </w:p>
        </w:tc>
        <w:tc>
          <w:tcPr>
            <w:tcW w:type="dxa" w:w="1880"/>
            <w:tcMar>
              <w:top w:w="80" w:type="dxa"/>
              <w:start w:w="120" w:type="dxa"/>
              <w:bottom w:w="80" w:type="dxa"/>
              <w:end w:w="120" w:type="dxa"/>
            </w:tcMar>
            <w:vAlign w:val="center"/>
          </w:tcPr>
          <w:p>
            <w:r>
              <w:rPr>
                <w:rFonts w:ascii="Calibri" w:hAnsi="Calibri"/>
                <w:b w:val="0"/>
                <w:i w:val="0"/>
                <w:color w:val="1F2937"/>
                <w:sz w:val="15"/>
              </w:rPr>
              <w:t>TRY 4,212.72</w:t>
            </w:r>
          </w:p>
        </w:tc>
        <w:tc>
          <w:tcPr>
            <w:tcW w:type="dxa" w:w="1700"/>
            <w:tcMar>
              <w:top w:w="80" w:type="dxa"/>
              <w:start w:w="120" w:type="dxa"/>
              <w:bottom w:w="80" w:type="dxa"/>
              <w:end w:w="120" w:type="dxa"/>
            </w:tcMar>
            <w:vAlign w:val="center"/>
          </w:tcPr>
          <w:p>
            <w:r>
              <w:rPr>
                <w:rFonts w:ascii="Calibri" w:hAnsi="Calibri"/>
                <w:b w:val="0"/>
                <w:i w:val="0"/>
                <w:color w:val="1F2937"/>
                <w:sz w:val="15"/>
              </w:rPr>
              <w:t>TRY 10,737.50</w:t>
            </w:r>
          </w:p>
        </w:tc>
        <w:tc>
          <w:tcPr>
            <w:tcW w:type="dxa" w:w="1900"/>
            <w:tcMar>
              <w:top w:w="80" w:type="dxa"/>
              <w:start w:w="120" w:type="dxa"/>
              <w:bottom w:w="80" w:type="dxa"/>
              <w:end w:w="120" w:type="dxa"/>
            </w:tcMar>
            <w:vAlign w:val="center"/>
          </w:tcPr>
          <w:p>
            <w:r>
              <w:rPr>
                <w:rFonts w:ascii="Calibri" w:hAnsi="Calibri"/>
                <w:b w:val="0"/>
                <w:i w:val="0"/>
                <w:color w:val="1F2937"/>
                <w:sz w:val="15"/>
              </w:rPr>
              <w:t>$0.429</w:t>
            </w:r>
          </w:p>
        </w:tc>
      </w:tr>
      <w:tr>
        <w:trPr>
          <w:cantSplit/>
        </w:trPr>
        <w:tc>
          <w:tcPr>
            <w:tcW w:type="dxa" w:w="1380"/>
            <w:shd w:fill="F8FAFC"/>
            <w:tcMar>
              <w:top w:w="80" w:type="dxa"/>
              <w:start w:w="120" w:type="dxa"/>
              <w:bottom w:w="80" w:type="dxa"/>
              <w:end w:w="120" w:type="dxa"/>
            </w:tcMar>
            <w:vAlign w:val="center"/>
          </w:tcPr>
          <w:p>
            <w:r>
              <w:rPr>
                <w:rFonts w:ascii="Calibri" w:hAnsi="Calibri"/>
                <w:b w:val="0"/>
                <w:i w:val="0"/>
                <w:color w:val="1F2937"/>
                <w:sz w:val="15"/>
              </w:rPr>
              <w:t>5,000</w:t>
            </w:r>
          </w:p>
        </w:tc>
        <w:tc>
          <w:tcPr>
            <w:tcW w:type="dxa" w:w="900"/>
            <w:shd w:fill="F8FAFC"/>
            <w:tcMar>
              <w:top w:w="80" w:type="dxa"/>
              <w:start w:w="120" w:type="dxa"/>
              <w:bottom w:w="80" w:type="dxa"/>
              <w:end w:w="120" w:type="dxa"/>
            </w:tcMar>
            <w:vAlign w:val="center"/>
          </w:tcPr>
          <w:p>
            <w:r>
              <w:rPr>
                <w:rFonts w:ascii="Calibri" w:hAnsi="Calibri"/>
                <w:b w:val="0"/>
                <w:i w:val="0"/>
                <w:color w:val="1F2937"/>
                <w:sz w:val="15"/>
              </w:rPr>
              <w:t>25</w:t>
            </w:r>
          </w:p>
        </w:tc>
        <w:tc>
          <w:tcPr>
            <w:tcW w:type="dxa" w:w="1600"/>
            <w:shd w:fill="F8FAFC"/>
            <w:tcMar>
              <w:top w:w="80" w:type="dxa"/>
              <w:start w:w="120" w:type="dxa"/>
              <w:bottom w:w="80" w:type="dxa"/>
              <w:end w:w="120" w:type="dxa"/>
            </w:tcMar>
            <w:vAlign w:val="center"/>
          </w:tcPr>
          <w:p>
            <w:r>
              <w:rPr>
                <w:rFonts w:ascii="Calibri" w:hAnsi="Calibri"/>
                <w:b w:val="0"/>
                <w:i w:val="0"/>
                <w:color w:val="1F2937"/>
                <w:sz w:val="15"/>
              </w:rPr>
              <w:t>$901.96</w:t>
            </w:r>
          </w:p>
        </w:tc>
        <w:tc>
          <w:tcPr>
            <w:tcW w:type="dxa" w:w="1880"/>
            <w:shd w:fill="F8FAFC"/>
            <w:tcMar>
              <w:top w:w="80" w:type="dxa"/>
              <w:start w:w="120" w:type="dxa"/>
              <w:bottom w:w="80" w:type="dxa"/>
              <w:end w:w="120" w:type="dxa"/>
            </w:tcMar>
            <w:vAlign w:val="center"/>
          </w:tcPr>
          <w:p>
            <w:r>
              <w:rPr>
                <w:rFonts w:ascii="Calibri" w:hAnsi="Calibri"/>
                <w:b w:val="0"/>
                <w:i w:val="0"/>
                <w:color w:val="1F2937"/>
                <w:sz w:val="15"/>
              </w:rPr>
              <w:t>TRY 7,196.39</w:t>
            </w:r>
          </w:p>
        </w:tc>
        <w:tc>
          <w:tcPr>
            <w:tcW w:type="dxa" w:w="1700"/>
            <w:shd w:fill="F8FAFC"/>
            <w:tcMar>
              <w:top w:w="80" w:type="dxa"/>
              <w:start w:w="120" w:type="dxa"/>
              <w:bottom w:w="80" w:type="dxa"/>
              <w:end w:w="120" w:type="dxa"/>
            </w:tcMar>
            <w:vAlign w:val="center"/>
          </w:tcPr>
          <w:p>
            <w:r>
              <w:rPr>
                <w:rFonts w:ascii="Calibri" w:hAnsi="Calibri"/>
                <w:b w:val="0"/>
                <w:i w:val="0"/>
                <w:color w:val="1F2937"/>
                <w:sz w:val="15"/>
              </w:rPr>
              <w:t>TRY 53,687.50</w:t>
            </w:r>
          </w:p>
        </w:tc>
        <w:tc>
          <w:tcPr>
            <w:tcW w:type="dxa" w:w="1900"/>
            <w:shd w:fill="F8FAFC"/>
            <w:tcMar>
              <w:top w:w="80" w:type="dxa"/>
              <w:start w:w="120" w:type="dxa"/>
              <w:bottom w:w="80" w:type="dxa"/>
              <w:end w:w="120" w:type="dxa"/>
            </w:tcMar>
            <w:vAlign w:val="center"/>
          </w:tcPr>
          <w:p>
            <w:r>
              <w:rPr>
                <w:rFonts w:ascii="Calibri" w:hAnsi="Calibri"/>
                <w:b w:val="0"/>
                <w:i w:val="0"/>
                <w:color w:val="1F2937"/>
                <w:sz w:val="15"/>
              </w:rPr>
              <w:t>$0.180</w:t>
            </w:r>
          </w:p>
        </w:tc>
      </w:tr>
      <w:tr>
        <w:trPr>
          <w:cantSplit/>
        </w:trPr>
        <w:tc>
          <w:tcPr>
            <w:tcW w:type="dxa" w:w="1380"/>
            <w:tcMar>
              <w:top w:w="80" w:type="dxa"/>
              <w:start w:w="120" w:type="dxa"/>
              <w:bottom w:w="80" w:type="dxa"/>
              <w:end w:w="120" w:type="dxa"/>
            </w:tcMar>
            <w:vAlign w:val="center"/>
          </w:tcPr>
          <w:p>
            <w:r>
              <w:rPr>
                <w:rFonts w:ascii="Calibri" w:hAnsi="Calibri"/>
                <w:b w:val="0"/>
                <w:i w:val="0"/>
                <w:color w:val="1F2937"/>
                <w:sz w:val="15"/>
              </w:rPr>
              <w:t>10,000</w:t>
            </w:r>
          </w:p>
        </w:tc>
        <w:tc>
          <w:tcPr>
            <w:tcW w:type="dxa" w:w="900"/>
            <w:tcMar>
              <w:top w:w="80" w:type="dxa"/>
              <w:start w:w="120" w:type="dxa"/>
              <w:bottom w:w="80" w:type="dxa"/>
              <w:end w:w="120" w:type="dxa"/>
            </w:tcMar>
            <w:vAlign w:val="center"/>
          </w:tcPr>
          <w:p>
            <w:r>
              <w:rPr>
                <w:rFonts w:ascii="Calibri" w:hAnsi="Calibri"/>
                <w:b w:val="0"/>
                <w:i w:val="0"/>
                <w:color w:val="1F2937"/>
                <w:sz w:val="15"/>
              </w:rPr>
              <w:t>50</w:t>
            </w:r>
          </w:p>
        </w:tc>
        <w:tc>
          <w:tcPr>
            <w:tcW w:type="dxa" w:w="1600"/>
            <w:tcMar>
              <w:top w:w="80" w:type="dxa"/>
              <w:start w:w="120" w:type="dxa"/>
              <w:bottom w:w="80" w:type="dxa"/>
              <w:end w:w="120" w:type="dxa"/>
            </w:tcMar>
            <w:vAlign w:val="center"/>
          </w:tcPr>
          <w:p>
            <w:r>
              <w:rPr>
                <w:rFonts w:ascii="Calibri" w:hAnsi="Calibri"/>
                <w:b w:val="0"/>
                <w:i w:val="0"/>
                <w:color w:val="1F2937"/>
                <w:sz w:val="15"/>
              </w:rPr>
              <w:t>$1,604.46</w:t>
            </w:r>
          </w:p>
        </w:tc>
        <w:tc>
          <w:tcPr>
            <w:tcW w:type="dxa" w:w="1880"/>
            <w:tcMar>
              <w:top w:w="80" w:type="dxa"/>
              <w:start w:w="120" w:type="dxa"/>
              <w:bottom w:w="80" w:type="dxa"/>
              <w:end w:w="120" w:type="dxa"/>
            </w:tcMar>
            <w:vAlign w:val="center"/>
          </w:tcPr>
          <w:p>
            <w:r>
              <w:rPr>
                <w:rFonts w:ascii="Calibri" w:hAnsi="Calibri"/>
                <w:b w:val="0"/>
                <w:i w:val="0"/>
                <w:color w:val="1F2937"/>
                <w:sz w:val="15"/>
              </w:rPr>
              <w:t>TRY 10,976.39</w:t>
            </w:r>
          </w:p>
        </w:tc>
        <w:tc>
          <w:tcPr>
            <w:tcW w:type="dxa" w:w="1700"/>
            <w:tcMar>
              <w:top w:w="80" w:type="dxa"/>
              <w:start w:w="120" w:type="dxa"/>
              <w:bottom w:w="80" w:type="dxa"/>
              <w:end w:w="120" w:type="dxa"/>
            </w:tcMar>
            <w:vAlign w:val="center"/>
          </w:tcPr>
          <w:p>
            <w:r>
              <w:rPr>
                <w:rFonts w:ascii="Calibri" w:hAnsi="Calibri"/>
                <w:b w:val="0"/>
                <w:i w:val="0"/>
                <w:color w:val="1F2937"/>
                <w:sz w:val="15"/>
              </w:rPr>
              <w:t>TRY 107,375.00</w:t>
            </w:r>
          </w:p>
        </w:tc>
        <w:tc>
          <w:tcPr>
            <w:tcW w:type="dxa" w:w="1900"/>
            <w:tcMar>
              <w:top w:w="80" w:type="dxa"/>
              <w:start w:w="120" w:type="dxa"/>
              <w:bottom w:w="80" w:type="dxa"/>
              <w:end w:w="120" w:type="dxa"/>
            </w:tcMar>
            <w:vAlign w:val="center"/>
          </w:tcPr>
          <w:p>
            <w:r>
              <w:rPr>
                <w:rFonts w:ascii="Calibri" w:hAnsi="Calibri"/>
                <w:b w:val="0"/>
                <w:i w:val="0"/>
                <w:color w:val="1F2937"/>
                <w:sz w:val="15"/>
              </w:rPr>
              <w:t>$0.160</w:t>
            </w:r>
          </w:p>
        </w:tc>
      </w:tr>
    </w:tbl>
    <w:p>
      <w:pPr>
        <w:pStyle w:val="CaptionSmall"/>
      </w:pPr>
      <w:r>
        <w:rPr>
          <w:rFonts w:ascii="Calibri" w:hAnsi="Calibri"/>
          <w:b w:val="0"/>
          <w:i w:val="0"/>
          <w:color w:val="1F2937"/>
          <w:sz w:val="20"/>
        </w:rPr>
        <w:t>* Optional business staffing assumption: max(10, ceiling(users ÷ 200)); not a system requirement. ** Normalised monthly allocation for known OTP packs, one qualifying authorisation certificate, optional private-integrator document credits and one e-signature. It excludes legal, tax, support, hardware, KEP, WhatsApp and other quote-only costs.</w:t>
      </w:r>
    </w:p>
    <w:p>
      <w:pPr>
        <w:jc w:val="center"/>
      </w:pPr>
      <w:r>
        <w:drawing>
          <wp:inline xmlns:a="http://schemas.openxmlformats.org/drawingml/2006/main" xmlns:pic="http://schemas.openxmlformats.org/drawingml/2006/picture">
            <wp:extent cx="5715000" cy="3020786"/>
            <wp:docPr id="1" name="Known monthly USD cost at scale" title="Known monthly USD cost at scale" descr="Stacked columns for 1,000, 5,000 and 10,000 users, separating core SaaS, AI, traffic and storage, and Twenty Organization staff seats."/>
            <wp:cNvGraphicFramePr>
              <a:graphicFrameLocks noChangeAspect="1"/>
            </wp:cNvGraphicFramePr>
            <a:graphic>
              <a:graphicData uri="http://schemas.openxmlformats.org/drawingml/2006/picture">
                <pic:pic>
                  <pic:nvPicPr>
                    <pic:cNvPr id="0" name="known-usd-scale.png"/>
                    <pic:cNvPicPr/>
                  </pic:nvPicPr>
                  <pic:blipFill>
                    <a:blip r:embed="rId11"/>
                    <a:stretch>
                      <a:fillRect/>
                    </a:stretch>
                  </pic:blipFill>
                  <pic:spPr>
                    <a:xfrm>
                      <a:off x="0" y="0"/>
                      <a:ext cx="5715000" cy="3020786"/>
                    </a:xfrm>
                    <a:prstGeom prst="rect"/>
                  </pic:spPr>
                </pic:pic>
              </a:graphicData>
            </a:graphic>
          </wp:inline>
        </w:drawing>
      </w:r>
    </w:p>
    <w:p>
      <w:pPr>
        <w:pStyle w:val="CaptionSmall"/>
        <w:jc w:val="center"/>
      </w:pPr>
      <w:r>
        <w:t>Figure 1 — Known USD planning subtotal. It is not a final budget while quotation-only items remain.</w:t>
      </w:r>
    </w:p>
    <w:p>
      <w:pPr>
        <w:pStyle w:val="Heading2"/>
      </w:pPr>
      <w:r>
        <w:t>1.3 The five numbers management should monitor</w:t>
      </w:r>
    </w:p>
    <w:p>
      <w:pPr>
        <w:pStyle w:val="ListNumber"/>
        <w:numPr>
          <w:ilvl w:val="0"/>
          <w:numId w:val="10"/>
        </w:numPr>
        <w:spacing w:after="80"/>
        <w:ind w:left="720" w:hanging="360"/>
      </w:pPr>
      <w:r>
        <w:rPr>
          <w:rFonts w:ascii="Calibri" w:hAnsi="Calibri"/>
          <w:b w:val="0"/>
          <w:i w:val="0"/>
          <w:color w:val="1F2937"/>
          <w:sz w:val="20"/>
        </w:rPr>
        <w:t>Known monthly platform cost in USD — hosting, database, monitoring, email, AI, traffic/storage and internal CRM seats.</w:t>
      </w:r>
    </w:p>
    <w:p>
      <w:pPr>
        <w:pStyle w:val="ListNumber"/>
        <w:numPr>
          <w:ilvl w:val="0"/>
          <w:numId w:val="10"/>
        </w:numPr>
        <w:spacing w:after="80"/>
        <w:ind w:left="720" w:hanging="360"/>
      </w:pPr>
      <w:r>
        <w:rPr>
          <w:rFonts w:ascii="Calibri" w:hAnsi="Calibri"/>
          <w:b w:val="0"/>
          <w:i w:val="0"/>
          <w:color w:val="1F2937"/>
          <w:sz w:val="20"/>
        </w:rPr>
        <w:t>Known Turkish/local cost in TRY — statutory fees and Turkish packages that can be priced publicly.</w:t>
      </w:r>
    </w:p>
    <w:p>
      <w:pPr>
        <w:pStyle w:val="ListNumber"/>
        <w:numPr>
          <w:ilvl w:val="0"/>
          <w:numId w:val="10"/>
        </w:numPr>
        <w:spacing w:after="80"/>
        <w:ind w:left="720" w:hanging="360"/>
      </w:pPr>
      <w:r>
        <w:rPr>
          <w:rFonts w:ascii="Calibri" w:hAnsi="Calibri"/>
          <w:b w:val="0"/>
          <w:i w:val="0"/>
          <w:color w:val="1F2937"/>
          <w:sz w:val="20"/>
        </w:rPr>
        <w:t>Payment-provider cost in TRY — driven by gross merchandise value (GMV), not by server load.</w:t>
      </w:r>
    </w:p>
    <w:p>
      <w:pPr>
        <w:pStyle w:val="ListNumber"/>
        <w:numPr>
          <w:ilvl w:val="0"/>
          <w:numId w:val="10"/>
        </w:numPr>
        <w:spacing w:after="80"/>
        <w:ind w:left="720" w:hanging="360"/>
      </w:pPr>
      <w:r>
        <w:rPr>
          <w:rFonts w:ascii="Calibri" w:hAnsi="Calibri"/>
          <w:b w:val="0"/>
          <w:i w:val="0"/>
          <w:color w:val="1F2937"/>
          <w:sz w:val="20"/>
        </w:rPr>
        <w:t>Year-one setup/compliance cash requirement — activation, certificates, annual prepaid packages and professional work.</w:t>
      </w:r>
    </w:p>
    <w:p>
      <w:pPr>
        <w:pStyle w:val="ListNumber"/>
        <w:numPr>
          <w:ilvl w:val="0"/>
          <w:numId w:val="10"/>
        </w:numPr>
        <w:spacing w:after="80"/>
        <w:ind w:left="720" w:hanging="360"/>
      </w:pPr>
      <w:r>
        <w:rPr>
          <w:rFonts w:ascii="Calibri" w:hAnsi="Calibri"/>
          <w:b w:val="0"/>
          <w:i w:val="0"/>
          <w:color w:val="1F2937"/>
          <w:sz w:val="20"/>
        </w:rPr>
        <w:t>Unpriced dependencies — each open quotation must remain visible until a signed offer is entered.</w:t>
      </w:r>
    </w:p>
    <w:p>
      <w:pPr>
        <w:pStyle w:val="Heading2"/>
        <w:pageBreakBefore/>
      </w:pPr>
      <w:r>
        <w:t>1.4 Largest cost and risk drivers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3480"/>
        <w:gridCol w:w="3980"/>
      </w:tblGrid>
      <w:tr>
        <w:trPr>
          <w:cantSplit/>
          <w:tblHeader w:val="true"/>
          <w:cantSplit/>
        </w:trPr>
        <w:tc>
          <w:tcPr>
            <w:tcW w:type="dxa" w:w="1900"/>
            <w:shd w:fill="102A43"/>
            <w:tcMar>
              <w:top w:w="80" w:type="dxa"/>
              <w:start w:w="120" w:type="dxa"/>
              <w:bottom w:w="80" w:type="dxa"/>
              <w:end w:w="120" w:type="dxa"/>
            </w:tcMar>
            <w:vAlign w:val="center"/>
          </w:tcPr>
          <w:p>
            <w:r>
              <w:rPr>
                <w:rFonts w:ascii="Calibri" w:hAnsi="Calibri"/>
                <w:b/>
                <w:i w:val="0"/>
                <w:color w:val="FFFFFF"/>
                <w:sz w:val="16"/>
              </w:rPr>
              <w:t>Driver</w:t>
            </w:r>
          </w:p>
        </w:tc>
        <w:tc>
          <w:tcPr>
            <w:tcW w:type="dxa" w:w="3480"/>
            <w:shd w:fill="102A43"/>
            <w:tcMar>
              <w:top w:w="80" w:type="dxa"/>
              <w:start w:w="120" w:type="dxa"/>
              <w:bottom w:w="80" w:type="dxa"/>
              <w:end w:w="120" w:type="dxa"/>
            </w:tcMar>
            <w:vAlign w:val="center"/>
          </w:tcPr>
          <w:p>
            <w:r>
              <w:rPr>
                <w:rFonts w:ascii="Calibri" w:hAnsi="Calibri"/>
                <w:b/>
                <w:i w:val="0"/>
                <w:color w:val="FFFFFF"/>
                <w:sz w:val="16"/>
              </w:rPr>
              <w:t>Why it moves</w:t>
            </w:r>
          </w:p>
        </w:tc>
        <w:tc>
          <w:tcPr>
            <w:tcW w:type="dxa" w:w="3980"/>
            <w:shd w:fill="102A43"/>
            <w:tcMar>
              <w:top w:w="80" w:type="dxa"/>
              <w:start w:w="120" w:type="dxa"/>
              <w:bottom w:w="80" w:type="dxa"/>
              <w:end w:w="120" w:type="dxa"/>
            </w:tcMar>
            <w:vAlign w:val="center"/>
          </w:tcPr>
          <w:p>
            <w:r>
              <w:rPr>
                <w:rFonts w:ascii="Calibri" w:hAnsi="Calibri"/>
                <w:b/>
                <w:i w:val="0"/>
                <w:color w:val="FFFFFF"/>
                <w:sz w:val="16"/>
              </w:rPr>
              <w:t>Management control</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Payment GMV</w:t>
            </w:r>
          </w:p>
        </w:tc>
        <w:tc>
          <w:tcPr>
            <w:tcW w:type="dxa" w:w="3480"/>
            <w:tcMar>
              <w:top w:w="80" w:type="dxa"/>
              <w:start w:w="120" w:type="dxa"/>
              <w:bottom w:w="80" w:type="dxa"/>
              <w:end w:w="120" w:type="dxa"/>
            </w:tcMar>
            <w:vAlign w:val="center"/>
          </w:tcPr>
          <w:p>
            <w:r>
              <w:rPr>
                <w:rFonts w:ascii="Calibri" w:hAnsi="Calibri"/>
                <w:b w:val="0"/>
                <w:i w:val="0"/>
                <w:color w:val="1F2937"/>
                <w:sz w:val="16"/>
              </w:rPr>
              <w:t>A percentage of money collected can dwarf hosting cost.</w:t>
            </w:r>
          </w:p>
        </w:tc>
        <w:tc>
          <w:tcPr>
            <w:tcW w:type="dxa" w:w="3980"/>
            <w:tcMar>
              <w:top w:w="80" w:type="dxa"/>
              <w:start w:w="120" w:type="dxa"/>
              <w:bottom w:w="80" w:type="dxa"/>
              <w:end w:w="120" w:type="dxa"/>
            </w:tcMar>
            <w:vAlign w:val="center"/>
          </w:tcPr>
          <w:p>
            <w:r>
              <w:rPr>
                <w:rFonts w:ascii="Calibri" w:hAnsi="Calibri"/>
                <w:b w:val="0"/>
                <w:i w:val="0"/>
                <w:color w:val="1F2937"/>
                <w:sz w:val="16"/>
              </w:rPr>
              <w:t>Negotiate commission/settlement; favour bank transfer where operationally suitable; measure every 0.1%.</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CRM staff seats</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Twenty Cloud is per internal user, not customer account.</w:t>
            </w:r>
          </w:p>
        </w:tc>
        <w:tc>
          <w:tcPr>
            <w:tcW w:type="dxa" w:w="3980"/>
            <w:shd w:fill="F8FAFC"/>
            <w:tcMar>
              <w:top w:w="80" w:type="dxa"/>
              <w:start w:w="120" w:type="dxa"/>
              <w:bottom w:w="80" w:type="dxa"/>
              <w:end w:w="120" w:type="dxa"/>
            </w:tcMar>
            <w:vAlign w:val="center"/>
          </w:tcPr>
          <w:p>
            <w:r>
              <w:rPr>
                <w:rFonts w:ascii="Calibri" w:hAnsi="Calibri"/>
                <w:b w:val="0"/>
                <w:i w:val="0"/>
                <w:color w:val="1F2937"/>
                <w:sz w:val="16"/>
              </w:rPr>
              <w:t>Limit privileged staff accounts; compare Organization features with self-host operational cost.</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AI actions</w:t>
            </w:r>
          </w:p>
        </w:tc>
        <w:tc>
          <w:tcPr>
            <w:tcW w:type="dxa" w:w="3480"/>
            <w:tcMar>
              <w:top w:w="80" w:type="dxa"/>
              <w:start w:w="120" w:type="dxa"/>
              <w:bottom w:w="80" w:type="dxa"/>
              <w:end w:w="120" w:type="dxa"/>
            </w:tcMar>
            <w:vAlign w:val="center"/>
          </w:tcPr>
          <w:p>
            <w:r>
              <w:rPr>
                <w:rFonts w:ascii="Calibri" w:hAnsi="Calibri"/>
                <w:b w:val="0"/>
                <w:i w:val="0"/>
                <w:color w:val="1F2937"/>
                <w:sz w:val="16"/>
              </w:rPr>
              <w:t>Tokens scale with adoption, action count and model tier.</w:t>
            </w:r>
          </w:p>
        </w:tc>
        <w:tc>
          <w:tcPr>
            <w:tcW w:type="dxa" w:w="3980"/>
            <w:tcMar>
              <w:top w:w="80" w:type="dxa"/>
              <w:start w:w="120" w:type="dxa"/>
              <w:bottom w:w="80" w:type="dxa"/>
              <w:end w:w="120" w:type="dxa"/>
            </w:tcMar>
            <w:vAlign w:val="center"/>
          </w:tcPr>
          <w:p>
            <w:r>
              <w:rPr>
                <w:rFonts w:ascii="Calibri" w:hAnsi="Calibri"/>
                <w:b w:val="0"/>
                <w:i w:val="0"/>
                <w:color w:val="1F2937"/>
                <w:sz w:val="16"/>
              </w:rPr>
              <w:t>Use Luna-first routing, caps, caching and human-approved premium workflows.</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SMS</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Packages are prepaid, often time-limited, and have unused capacity.</w:t>
            </w:r>
          </w:p>
        </w:tc>
        <w:tc>
          <w:tcPr>
            <w:tcW w:type="dxa" w:w="3980"/>
            <w:shd w:fill="F8FAFC"/>
            <w:tcMar>
              <w:top w:w="80" w:type="dxa"/>
              <w:start w:w="120" w:type="dxa"/>
              <w:bottom w:w="80" w:type="dxa"/>
              <w:end w:w="120" w:type="dxa"/>
            </w:tcMar>
            <w:vAlign w:val="center"/>
          </w:tcPr>
          <w:p>
            <w:r>
              <w:rPr>
                <w:rFonts w:ascii="Calibri" w:hAnsi="Calibri"/>
                <w:b w:val="0"/>
                <w:i w:val="0"/>
                <w:color w:val="1F2937"/>
                <w:sz w:val="16"/>
              </w:rPr>
              <w:t>Reserve OTP/urgent messages for SMS; use email/push for routine communication.</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Maps</w:t>
            </w:r>
          </w:p>
        </w:tc>
        <w:tc>
          <w:tcPr>
            <w:tcW w:type="dxa" w:w="3480"/>
            <w:tcMar>
              <w:top w:w="80" w:type="dxa"/>
              <w:start w:w="120" w:type="dxa"/>
              <w:bottom w:w="80" w:type="dxa"/>
              <w:end w:w="120" w:type="dxa"/>
            </w:tcMar>
            <w:vAlign w:val="center"/>
          </w:tcPr>
          <w:p>
            <w:r>
              <w:rPr>
                <w:rFonts w:ascii="Calibri" w:hAnsi="Calibri"/>
                <w:b w:val="0"/>
                <w:i w:val="0"/>
                <w:color w:val="1F2937"/>
                <w:sz w:val="16"/>
              </w:rPr>
              <w:t>Dynamic calls scale with page usage; subscriptions may beat PAYG at certain mixes.</w:t>
            </w:r>
          </w:p>
        </w:tc>
        <w:tc>
          <w:tcPr>
            <w:tcW w:type="dxa" w:w="3980"/>
            <w:tcMar>
              <w:top w:w="80" w:type="dxa"/>
              <w:start w:w="120" w:type="dxa"/>
              <w:bottom w:w="80" w:type="dxa"/>
              <w:end w:w="120" w:type="dxa"/>
            </w:tcMar>
            <w:vAlign w:val="center"/>
          </w:tcPr>
          <w:p>
            <w:r>
              <w:rPr>
                <w:rFonts w:ascii="Calibri" w:hAnsi="Calibri"/>
                <w:b w:val="0"/>
                <w:i w:val="0"/>
                <w:color w:val="1F2937"/>
                <w:sz w:val="16"/>
              </w:rPr>
              <w:t>Use Embed/static alternatives, caching and compare PAYG vs current subscriptions.</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Images</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The portfolio is large even before user growth; transformations can be expensive.</w:t>
            </w:r>
          </w:p>
        </w:tc>
        <w:tc>
          <w:tcPr>
            <w:tcW w:type="dxa" w:w="3980"/>
            <w:shd w:fill="F8FAFC"/>
            <w:tcMar>
              <w:top w:w="80" w:type="dxa"/>
              <w:start w:w="120" w:type="dxa"/>
              <w:bottom w:w="80" w:type="dxa"/>
              <w:end w:w="120" w:type="dxa"/>
            </w:tcMar>
            <w:vAlign w:val="center"/>
          </w:tcPr>
          <w:p>
            <w:r>
              <w:rPr>
                <w:rFonts w:ascii="Calibri" w:hAnsi="Calibri"/>
                <w:b w:val="0"/>
                <w:i w:val="0"/>
                <w:color w:val="1F2937"/>
                <w:sz w:val="16"/>
              </w:rPr>
              <w:t>Compress, pre-generate thumbnails, deduplicate and enforce lifecycle policies.</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Compliance/professional services</w:t>
            </w:r>
          </w:p>
        </w:tc>
        <w:tc>
          <w:tcPr>
            <w:tcW w:type="dxa" w:w="3480"/>
            <w:tcMar>
              <w:top w:w="80" w:type="dxa"/>
              <w:start w:w="120" w:type="dxa"/>
              <w:bottom w:w="80" w:type="dxa"/>
              <w:end w:w="120" w:type="dxa"/>
            </w:tcMar>
            <w:vAlign w:val="center"/>
          </w:tcPr>
          <w:p>
            <w:r>
              <w:rPr>
                <w:rFonts w:ascii="Calibri" w:hAnsi="Calibri"/>
                <w:b w:val="0"/>
                <w:i w:val="0"/>
                <w:color w:val="1F2937"/>
                <w:sz w:val="16"/>
              </w:rPr>
              <w:t>Entity facts, cross-border transfers and transaction flows determine work.</w:t>
            </w:r>
          </w:p>
        </w:tc>
        <w:tc>
          <w:tcPr>
            <w:tcW w:type="dxa" w:w="3980"/>
            <w:tcMar>
              <w:top w:w="80" w:type="dxa"/>
              <w:start w:w="120" w:type="dxa"/>
              <w:bottom w:w="80" w:type="dxa"/>
              <w:end w:w="120" w:type="dxa"/>
            </w:tcMar>
            <w:vAlign w:val="center"/>
          </w:tcPr>
          <w:p>
            <w:r>
              <w:rPr>
                <w:rFonts w:ascii="Calibri" w:hAnsi="Calibri"/>
                <w:b w:val="0"/>
                <w:i w:val="0"/>
                <w:color w:val="1F2937"/>
                <w:sz w:val="16"/>
              </w:rPr>
              <w:t>Obtain written legal/accounting assessments and budget owner sign-off before launch.</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Hardware/access/camera</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Site equipment, installer API and network conditions are unknown.</w:t>
            </w:r>
          </w:p>
        </w:tc>
        <w:tc>
          <w:tcPr>
            <w:tcW w:type="dxa" w:w="3980"/>
            <w:shd w:fill="F8FAFC"/>
            <w:tcMar>
              <w:top w:w="80" w:type="dxa"/>
              <w:start w:w="120" w:type="dxa"/>
              <w:bottom w:w="80" w:type="dxa"/>
              <w:end w:w="120" w:type="dxa"/>
            </w:tcMar>
            <w:vAlign w:val="center"/>
          </w:tcPr>
          <w:p>
            <w:r>
              <w:rPr>
                <w:rFonts w:ascii="Calibri" w:hAnsi="Calibri"/>
                <w:b w:val="0"/>
                <w:i w:val="0"/>
                <w:color w:val="1F2937"/>
                <w:sz w:val="16"/>
              </w:rPr>
              <w:t>Complete on-site inventory and fixed-scope quotation before adapter development.</w:t>
            </w:r>
          </w:p>
        </w:tc>
      </w:tr>
    </w:tbl>
    <w:p>
      <w:pPr>
        <w:pStyle w:val="CaptionSmall"/>
      </w:pPr>
      <w:r>
        <w:rPr>
          <w:rFonts w:ascii="Calibri" w:hAnsi="Calibri"/>
          <w:b/>
          <w:i w:val="0"/>
          <w:color w:val="5B6673"/>
          <w:sz w:val="17"/>
        </w:rPr>
        <w:t xml:space="preserve">Sources checked 15 July 2026: </w:t>
      </w:r>
      <w:hyperlink r:id="rId12">
        <w:r>
          <w:rPr>
            <w:color w:val="2E74B5"/>
            <w:u w:val="single"/>
          </w:rPr>
          <w:t>S01 Supabase</w:t>
        </w:r>
      </w:hyperlink>
      <w:r>
        <w:rPr>
          <w:rFonts w:ascii="Calibri" w:hAnsi="Calibri"/>
          <w:b w:val="0"/>
          <w:i w:val="0"/>
          <w:color w:val="5B6673"/>
          <w:sz w:val="17"/>
        </w:rPr>
        <w:t xml:space="preserve">; </w:t>
      </w:r>
      <w:hyperlink r:id="rId13">
        <w:r>
          <w:rPr>
            <w:color w:val="2E74B5"/>
            <w:u w:val="single"/>
          </w:rPr>
          <w:t>S02 Vercel</w:t>
        </w:r>
      </w:hyperlink>
      <w:r>
        <w:rPr>
          <w:rFonts w:ascii="Calibri" w:hAnsi="Calibri"/>
          <w:b w:val="0"/>
          <w:i w:val="0"/>
          <w:color w:val="5B6673"/>
          <w:sz w:val="17"/>
        </w:rPr>
        <w:t xml:space="preserve">; </w:t>
      </w:r>
      <w:hyperlink r:id="rId14">
        <w:r>
          <w:rPr>
            <w:color w:val="2E74B5"/>
            <w:u w:val="single"/>
          </w:rPr>
          <w:t>S03 Twenty</w:t>
        </w:r>
      </w:hyperlink>
      <w:r>
        <w:rPr>
          <w:rFonts w:ascii="Calibri" w:hAnsi="Calibri"/>
          <w:b w:val="0"/>
          <w:i w:val="0"/>
          <w:color w:val="5B6673"/>
          <w:sz w:val="17"/>
        </w:rPr>
        <w:t xml:space="preserve">; </w:t>
      </w:r>
      <w:hyperlink r:id="rId15">
        <w:r>
          <w:rPr>
            <w:color w:val="2E74B5"/>
            <w:u w:val="single"/>
          </w:rPr>
          <w:t>S05 OpenAI</w:t>
        </w:r>
      </w:hyperlink>
      <w:r>
        <w:rPr>
          <w:rFonts w:ascii="Calibri" w:hAnsi="Calibri"/>
          <w:b w:val="0"/>
          <w:i w:val="0"/>
          <w:color w:val="5B6673"/>
          <w:sz w:val="17"/>
        </w:rPr>
        <w:t xml:space="preserve">; </w:t>
      </w:r>
      <w:hyperlink r:id="rId16">
        <w:r>
          <w:rPr>
            <w:color w:val="2E74B5"/>
            <w:u w:val="single"/>
          </w:rPr>
          <w:t>S07 Google</w:t>
        </w:r>
      </w:hyperlink>
      <w:r>
        <w:rPr>
          <w:rFonts w:ascii="Calibri" w:hAnsi="Calibri"/>
          <w:b w:val="0"/>
          <w:i w:val="0"/>
          <w:color w:val="5B6673"/>
          <w:sz w:val="17"/>
        </w:rPr>
        <w:t xml:space="preserve">; </w:t>
      </w:r>
      <w:hyperlink r:id="rId17">
        <w:r>
          <w:rPr>
            <w:color w:val="2E74B5"/>
            <w:u w:val="single"/>
          </w:rPr>
          <w:t>S12 iyzico</w:t>
        </w:r>
      </w:hyperlink>
      <w:r>
        <w:rPr>
          <w:rFonts w:ascii="Calibri" w:hAnsi="Calibri"/>
          <w:b w:val="0"/>
          <w:i w:val="0"/>
          <w:color w:val="5B6673"/>
          <w:sz w:val="17"/>
        </w:rPr>
        <w:t xml:space="preserve">; </w:t>
      </w:r>
      <w:hyperlink r:id="rId18">
        <w:r>
          <w:rPr>
            <w:color w:val="2E74B5"/>
            <w:u w:val="single"/>
          </w:rPr>
          <w:t>S16 Netgsm</w:t>
        </w:r>
      </w:hyperlink>
      <w:r>
        <w:rPr>
          <w:rFonts w:ascii="Calibri" w:hAnsi="Calibri"/>
          <w:b w:val="0"/>
          <w:i w:val="0"/>
          <w:color w:val="5B6673"/>
          <w:sz w:val="17"/>
        </w:rPr>
        <w:t xml:space="preserve">; </w:t>
      </w:r>
      <w:hyperlink r:id="rId19">
        <w:r>
          <w:rPr>
            <w:color w:val="2E74B5"/>
            <w:u w:val="single"/>
          </w:rPr>
          <w:t>S36 Ministry of Trade</w:t>
        </w:r>
      </w:hyperlink>
    </w:p>
    <w:p>
      <w:bookmarkStart w:id="104" w:name="decisions"/>
      <w:pPr>
        <w:pStyle w:val="Heading1"/>
      </w:pPr>
      <w:r>
        <w:t>2. Decisions required from management</w:t>
      </w:r>
      <w:bookmarkEnd w:id="104"/>
    </w:p>
    <w:p>
      <w:pPr>
        <w:pStyle w:val="ExecutiveLead"/>
      </w:pPr>
      <w:r>
        <w:rPr>
          <w:rFonts w:ascii="Calibri" w:hAnsi="Calibri"/>
          <w:b w:val="0"/>
          <w:i w:val="0"/>
          <w:color w:val="1F2937"/>
          <w:sz w:val="20"/>
        </w:rPr>
        <w:t>The programme should not start buying production subscriptions until the following decisions have named owners, due dates and written evidence.</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650"/>
        <w:gridCol w:w="2200"/>
        <w:gridCol w:w="4680"/>
        <w:gridCol w:w="1830"/>
      </w:tblGrid>
      <w:tr>
        <w:trPr>
          <w:cantSplit/>
          <w:tblHeader w:val="true"/>
          <w:cantSplit/>
        </w:trPr>
        <w:tc>
          <w:tcPr>
            <w:tcW w:type="dxa" w:w="650"/>
            <w:shd w:fill="102A43"/>
            <w:tcMar>
              <w:top w:w="80" w:type="dxa"/>
              <w:start w:w="120" w:type="dxa"/>
              <w:bottom w:w="80" w:type="dxa"/>
              <w:end w:w="120" w:type="dxa"/>
            </w:tcMar>
            <w:vAlign w:val="center"/>
          </w:tcPr>
          <w:p>
            <w:r>
              <w:rPr>
                <w:rFonts w:ascii="Calibri" w:hAnsi="Calibri"/>
                <w:b/>
                <w:i w:val="0"/>
                <w:color w:val="FFFFFF"/>
                <w:sz w:val="16"/>
              </w:rPr>
              <w:t>ID</w:t>
            </w:r>
          </w:p>
        </w:tc>
        <w:tc>
          <w:tcPr>
            <w:tcW w:type="dxa" w:w="2200"/>
            <w:shd w:fill="102A43"/>
            <w:tcMar>
              <w:top w:w="80" w:type="dxa"/>
              <w:start w:w="120" w:type="dxa"/>
              <w:bottom w:w="80" w:type="dxa"/>
              <w:end w:w="120" w:type="dxa"/>
            </w:tcMar>
            <w:vAlign w:val="center"/>
          </w:tcPr>
          <w:p>
            <w:r>
              <w:rPr>
                <w:rFonts w:ascii="Calibri" w:hAnsi="Calibri"/>
                <w:b/>
                <w:i w:val="0"/>
                <w:color w:val="FFFFFF"/>
                <w:sz w:val="16"/>
              </w:rPr>
              <w:t>Decision</w:t>
            </w:r>
          </w:p>
        </w:tc>
        <w:tc>
          <w:tcPr>
            <w:tcW w:type="dxa" w:w="4680"/>
            <w:shd w:fill="102A43"/>
            <w:tcMar>
              <w:top w:w="80" w:type="dxa"/>
              <w:start w:w="120" w:type="dxa"/>
              <w:bottom w:w="80" w:type="dxa"/>
              <w:end w:w="120" w:type="dxa"/>
            </w:tcMar>
            <w:vAlign w:val="center"/>
          </w:tcPr>
          <w:p>
            <w:r>
              <w:rPr>
                <w:rFonts w:ascii="Calibri" w:hAnsi="Calibri"/>
                <w:b/>
                <w:i w:val="0"/>
                <w:color w:val="FFFFFF"/>
                <w:sz w:val="16"/>
              </w:rPr>
              <w:t>Required outcome</w:t>
            </w:r>
          </w:p>
        </w:tc>
        <w:tc>
          <w:tcPr>
            <w:tcW w:type="dxa" w:w="1830"/>
            <w:shd w:fill="102A43"/>
            <w:tcMar>
              <w:top w:w="80" w:type="dxa"/>
              <w:start w:w="120" w:type="dxa"/>
              <w:bottom w:w="80" w:type="dxa"/>
              <w:end w:w="120" w:type="dxa"/>
            </w:tcMar>
            <w:vAlign w:val="center"/>
          </w:tcPr>
          <w:p>
            <w:r>
              <w:rPr>
                <w:rFonts w:ascii="Calibri" w:hAnsi="Calibri"/>
                <w:b/>
                <w:i w:val="0"/>
                <w:color w:val="FFFFFF"/>
                <w:sz w:val="16"/>
              </w:rPr>
              <w:t>Accountable owner</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D01</w:t>
            </w:r>
          </w:p>
        </w:tc>
        <w:tc>
          <w:tcPr>
            <w:tcW w:type="dxa" w:w="2200"/>
            <w:tcMar>
              <w:top w:w="80" w:type="dxa"/>
              <w:start w:w="120" w:type="dxa"/>
              <w:bottom w:w="80" w:type="dxa"/>
              <w:end w:w="120" w:type="dxa"/>
            </w:tcMar>
            <w:vAlign w:val="center"/>
          </w:tcPr>
          <w:p>
            <w:r>
              <w:rPr>
                <w:rFonts w:ascii="Calibri" w:hAnsi="Calibri"/>
                <w:b w:val="0"/>
                <w:i w:val="0"/>
                <w:color w:val="1F2937"/>
                <w:sz w:val="16"/>
              </w:rPr>
              <w:t>Production cloud and cross-border model</w:t>
            </w:r>
          </w:p>
        </w:tc>
        <w:tc>
          <w:tcPr>
            <w:tcW w:type="dxa" w:w="4680"/>
            <w:tcMar>
              <w:top w:w="80" w:type="dxa"/>
              <w:start w:w="120" w:type="dxa"/>
              <w:bottom w:w="80" w:type="dxa"/>
              <w:end w:w="120" w:type="dxa"/>
            </w:tcMar>
            <w:vAlign w:val="center"/>
          </w:tcPr>
          <w:p>
            <w:r>
              <w:rPr>
                <w:rFonts w:ascii="Calibri" w:hAnsi="Calibri"/>
                <w:b w:val="0"/>
                <w:i w:val="0"/>
                <w:color w:val="1F2937"/>
                <w:sz w:val="16"/>
              </w:rPr>
              <w:t>Supabase/Vercel foreign-cloud route with SCC safeguards, Turkish-hosted alternatives, or hybrid.</w:t>
            </w:r>
          </w:p>
        </w:tc>
        <w:tc>
          <w:tcPr>
            <w:tcW w:type="dxa" w:w="1830"/>
            <w:tcMar>
              <w:top w:w="80" w:type="dxa"/>
              <w:start w:w="120" w:type="dxa"/>
              <w:bottom w:w="80" w:type="dxa"/>
              <w:end w:w="120" w:type="dxa"/>
            </w:tcMar>
            <w:vAlign w:val="center"/>
          </w:tcPr>
          <w:p>
            <w:r>
              <w:rPr>
                <w:rFonts w:ascii="Calibri" w:hAnsi="Calibri"/>
                <w:b w:val="0"/>
                <w:i w:val="0"/>
                <w:color w:val="1F2937"/>
                <w:sz w:val="16"/>
              </w:rPr>
              <w:t>Executive + legal + security</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D02</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Payment shortlist</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iyzico and one negotiated alternative; exclude unsettled providers pending current TCMB/legal confirmation.</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Finance + legal</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D03</w:t>
            </w:r>
          </w:p>
        </w:tc>
        <w:tc>
          <w:tcPr>
            <w:tcW w:type="dxa" w:w="2200"/>
            <w:tcMar>
              <w:top w:w="80" w:type="dxa"/>
              <w:start w:w="120" w:type="dxa"/>
              <w:bottom w:w="80" w:type="dxa"/>
              <w:end w:w="120" w:type="dxa"/>
            </w:tcMar>
            <w:vAlign w:val="center"/>
          </w:tcPr>
          <w:p>
            <w:r>
              <w:rPr>
                <w:rFonts w:ascii="Calibri" w:hAnsi="Calibri"/>
                <w:b w:val="0"/>
                <w:i w:val="0"/>
                <w:color w:val="1F2937"/>
                <w:sz w:val="16"/>
              </w:rPr>
              <w:t>Collection model</w:t>
            </w:r>
          </w:p>
        </w:tc>
        <w:tc>
          <w:tcPr>
            <w:tcW w:type="dxa" w:w="4680"/>
            <w:tcMar>
              <w:top w:w="80" w:type="dxa"/>
              <w:start w:w="120" w:type="dxa"/>
              <w:bottom w:w="80" w:type="dxa"/>
              <w:end w:w="120" w:type="dxa"/>
            </w:tcMar>
            <w:vAlign w:val="center"/>
          </w:tcPr>
          <w:p>
            <w:r>
              <w:rPr>
                <w:rFonts w:ascii="Calibri" w:hAnsi="Calibri"/>
                <w:b w:val="0"/>
                <w:i w:val="0"/>
                <w:color w:val="1F2937"/>
                <w:sz w:val="16"/>
              </w:rPr>
              <w:t>Bank transfer first, card at launch, recurring collection, deposits, refunds and chargeback ownership.</w:t>
            </w:r>
          </w:p>
        </w:tc>
        <w:tc>
          <w:tcPr>
            <w:tcW w:type="dxa" w:w="1830"/>
            <w:tcMar>
              <w:top w:w="80" w:type="dxa"/>
              <w:start w:w="120" w:type="dxa"/>
              <w:bottom w:w="80" w:type="dxa"/>
              <w:end w:w="120" w:type="dxa"/>
            </w:tcMar>
            <w:vAlign w:val="center"/>
          </w:tcPr>
          <w:p>
            <w:r>
              <w:rPr>
                <w:rFonts w:ascii="Calibri" w:hAnsi="Calibri"/>
                <w:b w:val="0"/>
                <w:i w:val="0"/>
                <w:color w:val="1F2937"/>
                <w:sz w:val="16"/>
              </w:rPr>
              <w:t>Finance + operations</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D04</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Secure Payment System</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Owner and readiness plan for the statutory property-sale flow starting 1 October 2026.</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Legal + sales operations</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D05</w:t>
            </w:r>
          </w:p>
        </w:tc>
        <w:tc>
          <w:tcPr>
            <w:tcW w:type="dxa" w:w="2200"/>
            <w:tcMar>
              <w:top w:w="80" w:type="dxa"/>
              <w:start w:w="120" w:type="dxa"/>
              <w:bottom w:w="80" w:type="dxa"/>
              <w:end w:w="120" w:type="dxa"/>
            </w:tcMar>
            <w:vAlign w:val="center"/>
          </w:tcPr>
          <w:p>
            <w:r>
              <w:rPr>
                <w:rFonts w:ascii="Calibri" w:hAnsi="Calibri"/>
                <w:b w:val="0"/>
                <w:i w:val="0"/>
                <w:color w:val="1F2937"/>
                <w:sz w:val="16"/>
              </w:rPr>
              <w:t>Twenty deployment</w:t>
            </w:r>
          </w:p>
        </w:tc>
        <w:tc>
          <w:tcPr>
            <w:tcW w:type="dxa" w:w="4680"/>
            <w:tcMar>
              <w:top w:w="80" w:type="dxa"/>
              <w:start w:w="120" w:type="dxa"/>
              <w:bottom w:w="80" w:type="dxa"/>
              <w:end w:w="120" w:type="dxa"/>
            </w:tcMar>
            <w:vAlign w:val="center"/>
          </w:tcPr>
          <w:p>
            <w:r>
              <w:rPr>
                <w:rFonts w:ascii="Calibri" w:hAnsi="Calibri"/>
                <w:b w:val="0"/>
                <w:i w:val="0"/>
                <w:color w:val="1F2937"/>
                <w:sz w:val="16"/>
              </w:rPr>
              <w:t>Cloud Pro/Organization versus self-host, staff count, SSO/row-level permission needs and support owner.</w:t>
            </w:r>
          </w:p>
        </w:tc>
        <w:tc>
          <w:tcPr>
            <w:tcW w:type="dxa" w:w="1830"/>
            <w:tcMar>
              <w:top w:w="80" w:type="dxa"/>
              <w:start w:w="120" w:type="dxa"/>
              <w:bottom w:w="80" w:type="dxa"/>
              <w:end w:w="120" w:type="dxa"/>
            </w:tcMar>
            <w:vAlign w:val="center"/>
          </w:tcPr>
          <w:p>
            <w:r>
              <w:rPr>
                <w:rFonts w:ascii="Calibri" w:hAnsi="Calibri"/>
                <w:b w:val="0"/>
                <w:i w:val="0"/>
                <w:color w:val="1F2937"/>
                <w:sz w:val="16"/>
              </w:rPr>
              <w:t>Operations + IT</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D06</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Messaging policy</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OTP, operational, debt/access-critical and marketing message classification; sender and consent ownership.</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Operations + legal</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D07</w:t>
            </w:r>
          </w:p>
        </w:tc>
        <w:tc>
          <w:tcPr>
            <w:tcW w:type="dxa" w:w="2200"/>
            <w:tcMar>
              <w:top w:w="80" w:type="dxa"/>
              <w:start w:w="120" w:type="dxa"/>
              <w:bottom w:w="80" w:type="dxa"/>
              <w:end w:w="120" w:type="dxa"/>
            </w:tcMar>
            <w:vAlign w:val="center"/>
          </w:tcPr>
          <w:p>
            <w:r>
              <w:rPr>
                <w:rFonts w:ascii="Calibri" w:hAnsi="Calibri"/>
                <w:b w:val="0"/>
                <w:i w:val="0"/>
                <w:color w:val="1F2937"/>
                <w:sz w:val="16"/>
              </w:rPr>
              <w:t>e-Document route</w:t>
            </w:r>
          </w:p>
        </w:tc>
        <w:tc>
          <w:tcPr>
            <w:tcW w:type="dxa" w:w="4680"/>
            <w:tcMar>
              <w:top w:w="80" w:type="dxa"/>
              <w:start w:w="120" w:type="dxa"/>
              <w:bottom w:w="80" w:type="dxa"/>
              <w:end w:w="120" w:type="dxa"/>
            </w:tcMar>
            <w:vAlign w:val="center"/>
          </w:tcPr>
          <w:p>
            <w:r>
              <w:rPr>
                <w:rFonts w:ascii="Calibri" w:hAnsi="Calibri"/>
                <w:b w:val="0"/>
                <w:i w:val="0"/>
                <w:color w:val="1F2937"/>
                <w:sz w:val="16"/>
              </w:rPr>
              <w:t>GİB Portal, authorised integrator or direct integration; accountant confirms e-Fatura/e-Arşiv scope.</w:t>
            </w:r>
          </w:p>
        </w:tc>
        <w:tc>
          <w:tcPr>
            <w:tcW w:type="dxa" w:w="1830"/>
            <w:tcMar>
              <w:top w:w="80" w:type="dxa"/>
              <w:start w:w="120" w:type="dxa"/>
              <w:bottom w:w="80" w:type="dxa"/>
              <w:end w:w="120" w:type="dxa"/>
            </w:tcMar>
            <w:vAlign w:val="center"/>
          </w:tcPr>
          <w:p>
            <w:r>
              <w:rPr>
                <w:rFonts w:ascii="Calibri" w:hAnsi="Calibri"/>
                <w:b w:val="0"/>
                <w:i w:val="0"/>
                <w:color w:val="1F2937"/>
                <w:sz w:val="16"/>
              </w:rPr>
              <w:t>Finance + accountant</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D08</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AI scope</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Permitted data classes, providers, budgets, approvals and prohibited autonomous actions.</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Executive + DPO/security</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D09</w:t>
            </w:r>
          </w:p>
        </w:tc>
        <w:tc>
          <w:tcPr>
            <w:tcW w:type="dxa" w:w="2200"/>
            <w:tcMar>
              <w:top w:w="80" w:type="dxa"/>
              <w:start w:w="120" w:type="dxa"/>
              <w:bottom w:w="80" w:type="dxa"/>
              <w:end w:w="120" w:type="dxa"/>
            </w:tcMar>
            <w:vAlign w:val="center"/>
          </w:tcPr>
          <w:p>
            <w:r>
              <w:rPr>
                <w:rFonts w:ascii="Calibri" w:hAnsi="Calibri"/>
                <w:b w:val="0"/>
                <w:i w:val="0"/>
                <w:color w:val="1F2937"/>
                <w:sz w:val="16"/>
              </w:rPr>
              <w:t>Data and image strategy</w:t>
            </w:r>
          </w:p>
        </w:tc>
        <w:tc>
          <w:tcPr>
            <w:tcW w:type="dxa" w:w="4680"/>
            <w:tcMar>
              <w:top w:w="80" w:type="dxa"/>
              <w:start w:w="120" w:type="dxa"/>
              <w:bottom w:w="80" w:type="dxa"/>
              <w:end w:w="120" w:type="dxa"/>
            </w:tcMar>
            <w:vAlign w:val="center"/>
          </w:tcPr>
          <w:p>
            <w:r>
              <w:rPr>
                <w:rFonts w:ascii="Calibri" w:hAnsi="Calibri"/>
                <w:b w:val="0"/>
                <w:i w:val="0"/>
                <w:color w:val="1F2937"/>
                <w:sz w:val="16"/>
              </w:rPr>
              <w:t>Production region, storage provider, image compression, migration, retention and deletion.</w:t>
            </w:r>
          </w:p>
        </w:tc>
        <w:tc>
          <w:tcPr>
            <w:tcW w:type="dxa" w:w="1830"/>
            <w:tcMar>
              <w:top w:w="80" w:type="dxa"/>
              <w:start w:w="120" w:type="dxa"/>
              <w:bottom w:w="80" w:type="dxa"/>
              <w:end w:w="120" w:type="dxa"/>
            </w:tcMar>
            <w:vAlign w:val="center"/>
          </w:tcPr>
          <w:p>
            <w:r>
              <w:rPr>
                <w:rFonts w:ascii="Calibri" w:hAnsi="Calibri"/>
                <w:b w:val="0"/>
                <w:i w:val="0"/>
                <w:color w:val="1F2937"/>
                <w:sz w:val="16"/>
              </w:rPr>
              <w:t>IT + legal</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D10</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EİDS/listing channels</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Verified listing workflow for portals, website and social/WhatsApp sharing.</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Brokerage operations + legal</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D11</w:t>
            </w:r>
          </w:p>
        </w:tc>
        <w:tc>
          <w:tcPr>
            <w:tcW w:type="dxa" w:w="2200"/>
            <w:tcMar>
              <w:top w:w="80" w:type="dxa"/>
              <w:start w:w="120" w:type="dxa"/>
              <w:bottom w:w="80" w:type="dxa"/>
              <w:end w:w="120" w:type="dxa"/>
            </w:tcMar>
            <w:vAlign w:val="center"/>
          </w:tcPr>
          <w:p>
            <w:r>
              <w:rPr>
                <w:rFonts w:ascii="Calibri" w:hAnsi="Calibri"/>
                <w:b w:val="0"/>
                <w:i w:val="0"/>
                <w:color w:val="1F2937"/>
                <w:sz w:val="16"/>
              </w:rPr>
              <w:t>Authorisation certificates</w:t>
            </w:r>
          </w:p>
        </w:tc>
        <w:tc>
          <w:tcPr>
            <w:tcW w:type="dxa" w:w="4680"/>
            <w:tcMar>
              <w:top w:w="80" w:type="dxa"/>
              <w:start w:w="120" w:type="dxa"/>
              <w:bottom w:w="80" w:type="dxa"/>
              <w:end w:w="120" w:type="dxa"/>
            </w:tcMar>
            <w:vAlign w:val="center"/>
          </w:tcPr>
          <w:p>
            <w:r>
              <w:rPr>
                <w:rFonts w:ascii="Calibri" w:hAnsi="Calibri"/>
                <w:b w:val="0"/>
                <w:i w:val="0"/>
                <w:color w:val="1F2937"/>
                <w:sz w:val="16"/>
              </w:rPr>
              <w:t>Count qualifying head office, branches and contracted businesses; confirm TRY 20k/40k applicability.</w:t>
            </w:r>
          </w:p>
        </w:tc>
        <w:tc>
          <w:tcPr>
            <w:tcW w:type="dxa" w:w="1830"/>
            <w:tcMar>
              <w:top w:w="80" w:type="dxa"/>
              <w:start w:w="120" w:type="dxa"/>
              <w:bottom w:w="80" w:type="dxa"/>
              <w:end w:w="120" w:type="dxa"/>
            </w:tcMar>
            <w:vAlign w:val="center"/>
          </w:tcPr>
          <w:p>
            <w:r>
              <w:rPr>
                <w:rFonts w:ascii="Calibri" w:hAnsi="Calibri"/>
                <w:b w:val="0"/>
                <w:i w:val="0"/>
                <w:color w:val="1F2937"/>
                <w:sz w:val="16"/>
              </w:rPr>
              <w:t>Legal + finance</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6"/>
              </w:rPr>
              <w:t>D12</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Physical integration scope</w:t>
            </w:r>
          </w:p>
        </w:tc>
        <w:tc>
          <w:tcPr>
            <w:tcW w:type="dxa" w:w="4680"/>
            <w:shd w:fill="F8FAFC"/>
            <w:tcMar>
              <w:top w:w="80" w:type="dxa"/>
              <w:start w:w="120" w:type="dxa"/>
              <w:bottom w:w="80" w:type="dxa"/>
              <w:end w:w="120" w:type="dxa"/>
            </w:tcMar>
            <w:vAlign w:val="center"/>
          </w:tcPr>
          <w:p>
            <w:r>
              <w:rPr>
                <w:rFonts w:ascii="Calibri" w:hAnsi="Calibri"/>
                <w:b w:val="0"/>
                <w:i w:val="0"/>
                <w:color w:val="1F2937"/>
                <w:sz w:val="16"/>
              </w:rPr>
              <w:t>Which gates, cameras, cards, barriers, meters and sites enter launch scope.</w:t>
            </w:r>
          </w:p>
        </w:tc>
        <w:tc>
          <w:tcPr>
            <w:tcW w:type="dxa" w:w="1830"/>
            <w:shd w:fill="F8FAFC"/>
            <w:tcMar>
              <w:top w:w="80" w:type="dxa"/>
              <w:start w:w="120" w:type="dxa"/>
              <w:bottom w:w="80" w:type="dxa"/>
              <w:end w:w="120" w:type="dxa"/>
            </w:tcMar>
            <w:vAlign w:val="center"/>
          </w:tcPr>
          <w:p>
            <w:r>
              <w:rPr>
                <w:rFonts w:ascii="Calibri" w:hAnsi="Calibri"/>
                <w:b w:val="0"/>
                <w:i w:val="0"/>
                <w:color w:val="1F2937"/>
                <w:sz w:val="16"/>
              </w:rPr>
              <w:t>Operations + security</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6"/>
              </w:rPr>
              <w:t>D13</w:t>
            </w:r>
          </w:p>
        </w:tc>
        <w:tc>
          <w:tcPr>
            <w:tcW w:type="dxa" w:w="2200"/>
            <w:tcMar>
              <w:top w:w="80" w:type="dxa"/>
              <w:start w:w="120" w:type="dxa"/>
              <w:bottom w:w="80" w:type="dxa"/>
              <w:end w:w="120" w:type="dxa"/>
            </w:tcMar>
            <w:vAlign w:val="center"/>
          </w:tcPr>
          <w:p>
            <w:r>
              <w:rPr>
                <w:rFonts w:ascii="Calibri" w:hAnsi="Calibri"/>
                <w:b w:val="0"/>
                <w:i w:val="0"/>
                <w:color w:val="1F2937"/>
                <w:sz w:val="16"/>
              </w:rPr>
              <w:t>Launch service model</w:t>
            </w:r>
          </w:p>
        </w:tc>
        <w:tc>
          <w:tcPr>
            <w:tcW w:type="dxa" w:w="4680"/>
            <w:tcMar>
              <w:top w:w="80" w:type="dxa"/>
              <w:start w:w="120" w:type="dxa"/>
              <w:bottom w:w="80" w:type="dxa"/>
              <w:end w:w="120" w:type="dxa"/>
            </w:tcMar>
            <w:vAlign w:val="center"/>
          </w:tcPr>
          <w:p>
            <w:r>
              <w:rPr>
                <w:rFonts w:ascii="Calibri" w:hAnsi="Calibri"/>
                <w:b w:val="0"/>
                <w:i w:val="0"/>
                <w:color w:val="1F2937"/>
                <w:sz w:val="16"/>
              </w:rPr>
              <w:t>RTO/RPO, support hours, incident owner, backup/restore, training and hypercare budget.</w:t>
            </w:r>
          </w:p>
        </w:tc>
        <w:tc>
          <w:tcPr>
            <w:tcW w:type="dxa" w:w="1830"/>
            <w:tcMar>
              <w:top w:w="80" w:type="dxa"/>
              <w:start w:w="120" w:type="dxa"/>
              <w:bottom w:w="80" w:type="dxa"/>
              <w:end w:w="120" w:type="dxa"/>
            </w:tcMar>
            <w:vAlign w:val="center"/>
          </w:tcPr>
          <w:p>
            <w:r>
              <w:rPr>
                <w:rFonts w:ascii="Calibri" w:hAnsi="Calibri"/>
                <w:b w:val="0"/>
                <w:i w:val="0"/>
                <w:color w:val="1F2937"/>
                <w:sz w:val="16"/>
              </w:rPr>
              <w:t>Executive + IT + operations</w:t>
            </w:r>
          </w:p>
        </w:tc>
      </w:tr>
    </w:tbl>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cantSplit/>
          <w:tblHeader w:val="true"/>
        </w:trPr>
        <w:tc>
          <w:tcPr>
            <w:tcW w:type="dxa" w:w="9360"/>
            <w:shd w:fill="EAF2F8"/>
            <w:tcMar>
              <w:top w:w="80" w:type="dxa"/>
              <w:start w:w="120" w:type="dxa"/>
              <w:bottom w:w="80" w:type="dxa"/>
              <w:end w:w="120" w:type="dxa"/>
            </w:tcMar>
            <w:vAlign w:val="center"/>
          </w:tcPr>
          <w:p>
            <w:r>
              <w:rPr>
                <w:rFonts w:ascii="Calibri" w:hAnsi="Calibri"/>
                <w:b/>
                <w:i w:val="0"/>
                <w:color w:val="2E74B5"/>
                <w:sz w:val="20"/>
              </w:rPr>
              <w:t>Recommended decision sequence</w:t>
              <w:br/>
            </w:r>
            <w:r>
              <w:rPr>
                <w:rFonts w:ascii="Calibri" w:hAnsi="Calibri"/>
                <w:b w:val="0"/>
                <w:i w:val="0"/>
                <w:color w:val="1F2937"/>
                <w:sz w:val="19"/>
              </w:rPr>
              <w:t>Approve D01–D04 first because they determine architecture, contracts and cash flow. Then approve D05–D09 for the application and data operating model. Complete D10–D13 before production UAT.</w:t>
            </w:r>
          </w:p>
        </w:tc>
      </w:tr>
    </w:tbl>
    <w:p>
      <w:pPr>
        <w:spacing w:after="40"/>
      </w:pPr>
    </w:p>
    <w:p>
      <w:bookmarkStart w:id="105" w:name="context"/>
      <w:pPr>
        <w:pStyle w:val="Heading1"/>
      </w:pPr>
      <w:r>
        <w:t>3. Business context, scope and current state</w:t>
      </w:r>
      <w:bookmarkEnd w:id="105"/>
    </w:p>
    <w:p>
      <w:pPr>
        <w:pStyle w:val="Heading2"/>
      </w:pPr>
      <w:r>
        <w:t>3.1 Programme context</w:t>
      </w:r>
    </w:p>
    <w:p>
      <w:r>
        <w:rPr>
          <w:rFonts w:ascii="Calibri" w:hAnsi="Calibri"/>
          <w:b w:val="0"/>
          <w:i w:val="0"/>
          <w:color w:val="1F2937"/>
          <w:sz w:val="20"/>
        </w:rPr>
        <w:t>1Çatı is a Turkish-first, multilingual property-management, CRM and ERP platform for Ataberk Estate. The product combines public property experiences with a protected role-based operating portal covering property/unit records, owners, tenants, staff, accounting, payments, services, bookings, documents, communication, access workflows, reporting and an AI recommendation layer.</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500"/>
        <w:gridCol w:w="3550"/>
        <w:gridCol w:w="4310"/>
      </w:tblGrid>
      <w:tr>
        <w:trPr>
          <w:cantSplit/>
          <w:tblHeader w:val="true"/>
          <w:cantSplit/>
        </w:trPr>
        <w:tc>
          <w:tcPr>
            <w:tcW w:type="dxa" w:w="1500"/>
            <w:shd w:fill="102A43"/>
            <w:tcMar>
              <w:top w:w="80" w:type="dxa"/>
              <w:start w:w="120" w:type="dxa"/>
              <w:bottom w:w="80" w:type="dxa"/>
              <w:end w:w="120" w:type="dxa"/>
            </w:tcMar>
            <w:vAlign w:val="center"/>
          </w:tcPr>
          <w:p>
            <w:r>
              <w:rPr>
                <w:rFonts w:ascii="Calibri" w:hAnsi="Calibri"/>
                <w:b/>
                <w:i w:val="0"/>
                <w:color w:val="FFFFFF"/>
                <w:sz w:val="16"/>
              </w:rPr>
              <w:t>Context</w:t>
            </w:r>
          </w:p>
        </w:tc>
        <w:tc>
          <w:tcPr>
            <w:tcW w:type="dxa" w:w="3550"/>
            <w:shd w:fill="102A43"/>
            <w:tcMar>
              <w:top w:w="80" w:type="dxa"/>
              <w:start w:w="120" w:type="dxa"/>
              <w:bottom w:w="80" w:type="dxa"/>
              <w:end w:w="120" w:type="dxa"/>
            </w:tcMar>
            <w:vAlign w:val="center"/>
          </w:tcPr>
          <w:p>
            <w:r>
              <w:rPr>
                <w:rFonts w:ascii="Calibri" w:hAnsi="Calibri"/>
                <w:b/>
                <w:i w:val="0"/>
                <w:color w:val="FFFFFF"/>
                <w:sz w:val="16"/>
              </w:rPr>
              <w:t>Planning fact</w:t>
            </w:r>
          </w:p>
        </w:tc>
        <w:tc>
          <w:tcPr>
            <w:tcW w:type="dxa" w:w="4310"/>
            <w:shd w:fill="102A43"/>
            <w:tcMar>
              <w:top w:w="80" w:type="dxa"/>
              <w:start w:w="120" w:type="dxa"/>
              <w:bottom w:w="80" w:type="dxa"/>
              <w:end w:w="120" w:type="dxa"/>
            </w:tcMar>
            <w:vAlign w:val="center"/>
          </w:tcPr>
          <w:p>
            <w:r>
              <w:rPr>
                <w:rFonts w:ascii="Calibri" w:hAnsi="Calibri"/>
                <w:b/>
                <w:i w:val="0"/>
                <w:color w:val="FFFFFF"/>
                <w:sz w:val="16"/>
              </w:rPr>
              <w:t>Implication</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Primary market</w:t>
            </w:r>
          </w:p>
        </w:tc>
        <w:tc>
          <w:tcPr>
            <w:tcW w:type="dxa" w:w="3550"/>
            <w:tcMar>
              <w:top w:w="80" w:type="dxa"/>
              <w:start w:w="120" w:type="dxa"/>
              <w:bottom w:w="80" w:type="dxa"/>
              <w:end w:w="120" w:type="dxa"/>
            </w:tcMar>
            <w:vAlign w:val="center"/>
          </w:tcPr>
          <w:p>
            <w:r>
              <w:rPr>
                <w:rFonts w:ascii="Calibri" w:hAnsi="Calibri"/>
                <w:b w:val="0"/>
                <w:i w:val="0"/>
                <w:color w:val="1F2937"/>
                <w:sz w:val="16"/>
              </w:rPr>
              <w:t>Turkey; operational language Turkish; Russian, English and German support.</w:t>
            </w:r>
          </w:p>
        </w:tc>
        <w:tc>
          <w:tcPr>
            <w:tcW w:type="dxa" w:w="4310"/>
            <w:tcMar>
              <w:top w:w="80" w:type="dxa"/>
              <w:start w:w="120" w:type="dxa"/>
              <w:bottom w:w="80" w:type="dxa"/>
              <w:end w:w="120" w:type="dxa"/>
            </w:tcMar>
            <w:vAlign w:val="center"/>
          </w:tcPr>
          <w:p>
            <w:r>
              <w:rPr>
                <w:rFonts w:ascii="Calibri" w:hAnsi="Calibri"/>
                <w:b w:val="0"/>
                <w:i w:val="0"/>
                <w:color w:val="1F2937"/>
                <w:sz w:val="16"/>
              </w:rPr>
              <w:t>Providers, contracts, messages and policies require Turkish localisation and local legal validation.</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Portfolio</w:t>
            </w:r>
          </w:p>
        </w:tc>
        <w:tc>
          <w:tcPr>
            <w:tcW w:type="dxa" w:w="3550"/>
            <w:shd w:fill="F8FAFC"/>
            <w:tcMar>
              <w:top w:w="80" w:type="dxa"/>
              <w:start w:w="120" w:type="dxa"/>
              <w:bottom w:w="80" w:type="dxa"/>
              <w:end w:w="120" w:type="dxa"/>
            </w:tcMar>
            <w:vAlign w:val="center"/>
          </w:tcPr>
          <w:p>
            <w:r>
              <w:rPr>
                <w:rFonts w:ascii="Calibri" w:hAnsi="Calibri"/>
                <w:b w:val="0"/>
                <w:i w:val="0"/>
                <w:color w:val="1F2937"/>
                <w:sz w:val="16"/>
              </w:rPr>
              <w:t>212,298+ property records referenced in the programme baseline.</w:t>
            </w:r>
          </w:p>
        </w:tc>
        <w:tc>
          <w:tcPr>
            <w:tcW w:type="dxa" w:w="4310"/>
            <w:shd w:fill="F8FAFC"/>
            <w:tcMar>
              <w:top w:w="80" w:type="dxa"/>
              <w:start w:w="120" w:type="dxa"/>
              <w:bottom w:w="80" w:type="dxa"/>
              <w:end w:w="120" w:type="dxa"/>
            </w:tcMar>
            <w:vAlign w:val="center"/>
          </w:tcPr>
          <w:p>
            <w:r>
              <w:rPr>
                <w:rFonts w:ascii="Calibri" w:hAnsi="Calibri"/>
                <w:b w:val="0"/>
                <w:i w:val="0"/>
                <w:color w:val="1F2937"/>
                <w:sz w:val="16"/>
              </w:rPr>
              <w:t>Image and data volume can dominate storage/migration design before public user scale does.</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Product architecture</w:t>
            </w:r>
          </w:p>
        </w:tc>
        <w:tc>
          <w:tcPr>
            <w:tcW w:type="dxa" w:w="3550"/>
            <w:tcMar>
              <w:top w:w="80" w:type="dxa"/>
              <w:start w:w="120" w:type="dxa"/>
              <w:bottom w:w="80" w:type="dxa"/>
              <w:end w:w="120" w:type="dxa"/>
            </w:tcMar>
            <w:vAlign w:val="center"/>
          </w:tcPr>
          <w:p>
            <w:r>
              <w:rPr>
                <w:rFonts w:ascii="Calibri" w:hAnsi="Calibri"/>
                <w:b w:val="0"/>
                <w:i w:val="0"/>
                <w:color w:val="1F2937"/>
                <w:sz w:val="16"/>
              </w:rPr>
              <w:t>Next.js 16 / React 19 / TypeScript / Supabase / Twenty CRM.</w:t>
            </w:r>
          </w:p>
        </w:tc>
        <w:tc>
          <w:tcPr>
            <w:tcW w:type="dxa" w:w="4310"/>
            <w:tcMar>
              <w:top w:w="80" w:type="dxa"/>
              <w:start w:w="120" w:type="dxa"/>
              <w:bottom w:w="80" w:type="dxa"/>
              <w:end w:w="120" w:type="dxa"/>
            </w:tcMar>
            <w:vAlign w:val="center"/>
          </w:tcPr>
          <w:p>
            <w:r>
              <w:rPr>
                <w:rFonts w:ascii="Calibri" w:hAnsi="Calibri"/>
                <w:b w:val="0"/>
                <w:i w:val="0"/>
                <w:color w:val="1F2937"/>
                <w:sz w:val="16"/>
              </w:rPr>
              <w:t>Cloud usage, CRM staff seats and integration adapters are separable cost centres.</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Delivery state</w:t>
            </w:r>
          </w:p>
        </w:tc>
        <w:tc>
          <w:tcPr>
            <w:tcW w:type="dxa" w:w="3550"/>
            <w:shd w:fill="F8FAFC"/>
            <w:tcMar>
              <w:top w:w="80" w:type="dxa"/>
              <w:start w:w="120" w:type="dxa"/>
              <w:bottom w:w="80" w:type="dxa"/>
              <w:end w:w="120" w:type="dxa"/>
            </w:tcMar>
            <w:vAlign w:val="center"/>
          </w:tcPr>
          <w:p>
            <w:r>
              <w:rPr>
                <w:rFonts w:ascii="Calibri" w:hAnsi="Calibri"/>
                <w:b w:val="0"/>
                <w:i w:val="0"/>
                <w:color w:val="1F2937"/>
                <w:sz w:val="16"/>
              </w:rPr>
              <w:t>Demo/internal-QA foundation across phases 1–14; Phase 15 production work remains.</w:t>
            </w:r>
          </w:p>
        </w:tc>
        <w:tc>
          <w:tcPr>
            <w:tcW w:type="dxa" w:w="4310"/>
            <w:shd w:fill="F8FAFC"/>
            <w:tcMar>
              <w:top w:w="80" w:type="dxa"/>
              <w:start w:w="120" w:type="dxa"/>
              <w:bottom w:w="80" w:type="dxa"/>
              <w:end w:w="120" w:type="dxa"/>
            </w:tcMar>
            <w:vAlign w:val="center"/>
          </w:tcPr>
          <w:p>
            <w:r>
              <w:rPr>
                <w:rFonts w:ascii="Calibri" w:hAnsi="Calibri"/>
                <w:b w:val="0"/>
                <w:i w:val="0"/>
                <w:color w:val="1F2937"/>
                <w:sz w:val="16"/>
              </w:rPr>
              <w:t>No disconnected placeholder may be described as a live provider integration.</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Target channel</w:t>
            </w:r>
          </w:p>
        </w:tc>
        <w:tc>
          <w:tcPr>
            <w:tcW w:type="dxa" w:w="3550"/>
            <w:tcMar>
              <w:top w:w="80" w:type="dxa"/>
              <w:start w:w="120" w:type="dxa"/>
              <w:bottom w:w="80" w:type="dxa"/>
              <w:end w:w="120" w:type="dxa"/>
            </w:tcMar>
            <w:vAlign w:val="center"/>
          </w:tcPr>
          <w:p>
            <w:r>
              <w:rPr>
                <w:rFonts w:ascii="Calibri" w:hAnsi="Calibri"/>
                <w:b w:val="0"/>
                <w:i w:val="0"/>
                <w:color w:val="1F2937"/>
                <w:sz w:val="16"/>
              </w:rPr>
              <w:t>Responsive web/PWA first; no native store app unless separately approved.</w:t>
            </w:r>
          </w:p>
        </w:tc>
        <w:tc>
          <w:tcPr>
            <w:tcW w:type="dxa" w:w="4310"/>
            <w:tcMar>
              <w:top w:w="80" w:type="dxa"/>
              <w:start w:w="120" w:type="dxa"/>
              <w:bottom w:w="80" w:type="dxa"/>
              <w:end w:w="120" w:type="dxa"/>
            </w:tcMar>
            <w:vAlign w:val="center"/>
          </w:tcPr>
          <w:p>
            <w:r>
              <w:rPr>
                <w:rFonts w:ascii="Calibri" w:hAnsi="Calibri"/>
                <w:b w:val="0"/>
                <w:i w:val="0"/>
                <w:color w:val="1F2937"/>
                <w:sz w:val="16"/>
              </w:rPr>
              <w:t>Avoids duplicate native development and store-operation cost at launch.</w:t>
            </w:r>
          </w:p>
        </w:tc>
      </w:tr>
    </w:tbl>
    <w:p>
      <w:pPr>
        <w:pStyle w:val="Heading2"/>
      </w:pPr>
      <w:r>
        <w:t>3.2 Scope boundaries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rPr>
          <w:cantSplit/>
          <w:tblHeader w:val="true"/>
          <w:cantSplit/>
        </w:trPr>
        <w:tc>
          <w:tcPr>
            <w:tcW w:type="dxa" w:w="4680"/>
            <w:shd w:fill="102A43"/>
            <w:tcMar>
              <w:top w:w="80" w:type="dxa"/>
              <w:start w:w="120" w:type="dxa"/>
              <w:bottom w:w="80" w:type="dxa"/>
              <w:end w:w="120" w:type="dxa"/>
            </w:tcMar>
            <w:vAlign w:val="center"/>
          </w:tcPr>
          <w:p>
            <w:r>
              <w:rPr>
                <w:rFonts w:ascii="Calibri" w:hAnsi="Calibri"/>
                <w:b/>
                <w:i w:val="0"/>
                <w:color w:val="FFFFFF"/>
                <w:sz w:val="17"/>
              </w:rPr>
              <w:t>In management scope</w:t>
            </w:r>
          </w:p>
        </w:tc>
        <w:tc>
          <w:tcPr>
            <w:tcW w:type="dxa" w:w="4680"/>
            <w:shd w:fill="102A43"/>
            <w:tcMar>
              <w:top w:w="80" w:type="dxa"/>
              <w:start w:w="120" w:type="dxa"/>
              <w:bottom w:w="80" w:type="dxa"/>
              <w:end w:w="120" w:type="dxa"/>
            </w:tcMar>
            <w:vAlign w:val="center"/>
          </w:tcPr>
          <w:p>
            <w:r>
              <w:rPr>
                <w:rFonts w:ascii="Calibri" w:hAnsi="Calibri"/>
                <w:b/>
                <w:i w:val="0"/>
                <w:color w:val="FFFFFF"/>
                <w:sz w:val="17"/>
              </w:rPr>
              <w:t>Out of scope unless separately approved</w:t>
            </w:r>
          </w:p>
        </w:tc>
      </w:tr>
      <w:tr>
        <w:trPr>
          <w:cantSplit/>
        </w:trPr>
        <w:tc>
          <w:tcPr>
            <w:tcW w:type="dxa" w:w="4680"/>
            <w:tcMar>
              <w:top w:w="80" w:type="dxa"/>
              <w:start w:w="120" w:type="dxa"/>
              <w:bottom w:w="80" w:type="dxa"/>
              <w:end w:w="120" w:type="dxa"/>
            </w:tcMar>
            <w:vAlign w:val="center"/>
          </w:tcPr>
          <w:p>
            <w:r>
              <w:rPr>
                <w:rFonts w:ascii="Calibri" w:hAnsi="Calibri"/>
                <w:b w:val="0"/>
                <w:i w:val="0"/>
                <w:color w:val="1F2937"/>
                <w:sz w:val="17"/>
              </w:rPr>
              <w:t>Cloud, CRM, auth, data, storage, payments, bank reconciliation, SMS/email/push/WhatsApp, e-documents, EİDS, KEP/e-sign, AI, maps, portals, monitoring, backups, security, physical adapters and launch support.</w:t>
            </w:r>
          </w:p>
        </w:tc>
        <w:tc>
          <w:tcPr>
            <w:tcW w:type="dxa" w:w="4680"/>
            <w:tcMar>
              <w:top w:w="80" w:type="dxa"/>
              <w:start w:w="120" w:type="dxa"/>
              <w:bottom w:w="80" w:type="dxa"/>
              <w:end w:w="120" w:type="dxa"/>
            </w:tcMar>
            <w:vAlign w:val="center"/>
          </w:tcPr>
          <w:p>
            <w:r>
              <w:rPr>
                <w:rFonts w:ascii="Calibri" w:hAnsi="Calibri"/>
                <w:b w:val="0"/>
                <w:i w:val="0"/>
                <w:color w:val="1F2937"/>
                <w:sz w:val="17"/>
              </w:rPr>
              <w:t>Becoming an e-money institution; autonomous AI financial/refund/access actions; biometric/camera expansion without legal review; unverified production listing/payment claims; native mobile apps; replacing Turkish counsel/accountant.</w:t>
            </w:r>
          </w:p>
        </w:tc>
      </w:tr>
    </w:tbl>
    <w:tbl>
      <w:tblPr>
        <w:tblW w:type="dxa" w:w="9360"/>
        <w:jc w:val="left"/>
        <w:tblLayout w:type="fixed"/>
        <w:tblLook w:firstColumn="1" w:firstRow="1" w:lastColumn="0" w:lastRow="0" w:noHBand="0" w:noVBand="1" w:val="04A0"/>
        <w:tblInd w:w="120" w:type="dxa"/>
        <w:tblBorders>
          <w:top w:val="single" w:sz="8" w:color="D97706"/>
          <w:left w:val="single" w:sz="8" w:color="D97706"/>
          <w:bottom w:val="single" w:sz="8" w:color="D97706"/>
          <w:right w:val="single" w:sz="8" w:color="D97706"/>
          <w:insideH w:val="single" w:sz="8" w:color="D97706"/>
          <w:insideV w:val="single" w:sz="8" w:color="D97706"/>
        </w:tblBorders>
      </w:tblPr>
      <w:tblGrid>
        <w:gridCol w:w="9360"/>
      </w:tblGrid>
      <w:tr>
        <w:trPr>
          <w:cantSplit/>
          <w:tblHeader w:val="true"/>
        </w:trPr>
        <w:tc>
          <w:tcPr>
            <w:tcW w:type="dxa" w:w="9360"/>
            <w:shd w:fill="FFF4E5"/>
            <w:tcMar>
              <w:top w:w="80" w:type="dxa"/>
              <w:start w:w="120" w:type="dxa"/>
              <w:bottom w:w="80" w:type="dxa"/>
              <w:end w:w="120" w:type="dxa"/>
            </w:tcMar>
            <w:vAlign w:val="center"/>
          </w:tcPr>
          <w:p>
            <w:r>
              <w:rPr>
                <w:rFonts w:ascii="Calibri" w:hAnsi="Calibri"/>
                <w:b/>
                <w:i w:val="0"/>
                <w:color w:val="D97706"/>
                <w:sz w:val="20"/>
              </w:rPr>
              <w:t>Demo boundary</w:t>
              <w:br/>
            </w:r>
            <w:r>
              <w:rPr>
                <w:rFonts w:ascii="Calibri" w:hAnsi="Calibri"/>
                <w:b w:val="0"/>
                <w:i w:val="0"/>
                <w:color w:val="1F2937"/>
                <w:sz w:val="19"/>
              </w:rPr>
              <w:t>A demo can use synthetic data and labelled samples. It should not process real payments, send unapproved marketing, publish unverified listings, store real identity documents or trigger physical access. Even a demo can collect IP addresses, analytics/cookies or contact data, so basic privacy and security duties still apply.</w:t>
            </w:r>
          </w:p>
        </w:tc>
      </w:tr>
    </w:tbl>
    <w:p>
      <w:pPr>
        <w:spacing w:after="40"/>
      </w:pPr>
    </w:p>
    <w:p>
      <w:pPr>
        <w:pStyle w:val="Heading2"/>
      </w:pPr>
      <w:r>
        <w:t>3.3 Production-gap matrix</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500"/>
        <w:gridCol w:w="3100"/>
        <w:gridCol w:w="4760"/>
      </w:tblGrid>
      <w:tr>
        <w:trPr>
          <w:cantSplit/>
          <w:tblHeader w:val="true"/>
          <w:cantSplit/>
        </w:trPr>
        <w:tc>
          <w:tcPr>
            <w:tcW w:type="dxa" w:w="1500"/>
            <w:shd w:fill="102A43"/>
            <w:tcMar>
              <w:top w:w="80" w:type="dxa"/>
              <w:start w:w="120" w:type="dxa"/>
              <w:bottom w:w="80" w:type="dxa"/>
              <w:end w:w="120" w:type="dxa"/>
            </w:tcMar>
            <w:vAlign w:val="center"/>
          </w:tcPr>
          <w:p>
            <w:r>
              <w:rPr>
                <w:rFonts w:ascii="Calibri" w:hAnsi="Calibri"/>
                <w:b/>
                <w:i w:val="0"/>
                <w:color w:val="FFFFFF"/>
                <w:sz w:val="16"/>
              </w:rPr>
              <w:t>Dimension</w:t>
            </w:r>
          </w:p>
        </w:tc>
        <w:tc>
          <w:tcPr>
            <w:tcW w:type="dxa" w:w="3100"/>
            <w:shd w:fill="102A43"/>
            <w:tcMar>
              <w:top w:w="80" w:type="dxa"/>
              <w:start w:w="120" w:type="dxa"/>
              <w:bottom w:w="80" w:type="dxa"/>
              <w:end w:w="120" w:type="dxa"/>
            </w:tcMar>
            <w:vAlign w:val="center"/>
          </w:tcPr>
          <w:p>
            <w:r>
              <w:rPr>
                <w:rFonts w:ascii="Calibri" w:hAnsi="Calibri"/>
                <w:b/>
                <w:i w:val="0"/>
                <w:color w:val="FFFFFF"/>
                <w:sz w:val="16"/>
              </w:rPr>
              <w:t>Current foundation</w:t>
            </w:r>
          </w:p>
        </w:tc>
        <w:tc>
          <w:tcPr>
            <w:tcW w:type="dxa" w:w="4760"/>
            <w:shd w:fill="102A43"/>
            <w:tcMar>
              <w:top w:w="80" w:type="dxa"/>
              <w:start w:w="120" w:type="dxa"/>
              <w:bottom w:w="80" w:type="dxa"/>
              <w:end w:w="120" w:type="dxa"/>
            </w:tcMar>
            <w:vAlign w:val="center"/>
          </w:tcPr>
          <w:p>
            <w:r>
              <w:rPr>
                <w:rFonts w:ascii="Calibri" w:hAnsi="Calibri"/>
                <w:b/>
                <w:i w:val="0"/>
                <w:color w:val="FFFFFF"/>
                <w:sz w:val="16"/>
              </w:rPr>
              <w:t>Production exit requirement</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Environment</w:t>
            </w:r>
          </w:p>
        </w:tc>
        <w:tc>
          <w:tcPr>
            <w:tcW w:type="dxa" w:w="3100"/>
            <w:tcMar>
              <w:top w:w="80" w:type="dxa"/>
              <w:start w:w="120" w:type="dxa"/>
              <w:bottom w:w="80" w:type="dxa"/>
              <w:end w:w="120" w:type="dxa"/>
            </w:tcMar>
            <w:vAlign w:val="center"/>
          </w:tcPr>
          <w:p>
            <w:r>
              <w:rPr>
                <w:rFonts w:ascii="Calibri" w:hAnsi="Calibri"/>
                <w:b w:val="0"/>
                <w:i w:val="0"/>
                <w:color w:val="1F2937"/>
                <w:sz w:val="16"/>
              </w:rPr>
              <w:t>Demo/preview deployments</w:t>
            </w:r>
          </w:p>
        </w:tc>
        <w:tc>
          <w:tcPr>
            <w:tcW w:type="dxa" w:w="4760"/>
            <w:tcMar>
              <w:top w:w="80" w:type="dxa"/>
              <w:start w:w="120" w:type="dxa"/>
              <w:bottom w:w="80" w:type="dxa"/>
              <w:end w:w="120" w:type="dxa"/>
            </w:tcMar>
            <w:vAlign w:val="center"/>
          </w:tcPr>
          <w:p>
            <w:r>
              <w:rPr>
                <w:rFonts w:ascii="Calibri" w:hAnsi="Calibri"/>
                <w:b w:val="0"/>
                <w:i w:val="0"/>
                <w:color w:val="1F2937"/>
                <w:sz w:val="16"/>
              </w:rPr>
              <w:t>Separate production accounts, ownership, budgets, secrets and rollback</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Data</w:t>
            </w:r>
          </w:p>
        </w:tc>
        <w:tc>
          <w:tcPr>
            <w:tcW w:type="dxa" w:w="3100"/>
            <w:shd w:fill="F8FAFC"/>
            <w:tcMar>
              <w:top w:w="80" w:type="dxa"/>
              <w:start w:w="120" w:type="dxa"/>
              <w:bottom w:w="80" w:type="dxa"/>
              <w:end w:w="120" w:type="dxa"/>
            </w:tcMar>
            <w:vAlign w:val="center"/>
          </w:tcPr>
          <w:p>
            <w:r>
              <w:rPr>
                <w:rFonts w:ascii="Calibri" w:hAnsi="Calibri"/>
                <w:b w:val="0"/>
                <w:i w:val="0"/>
                <w:color w:val="1F2937"/>
                <w:sz w:val="16"/>
              </w:rPr>
              <w:t>Synthetic/demo and foundation schemas</w:t>
            </w:r>
          </w:p>
        </w:tc>
        <w:tc>
          <w:tcPr>
            <w:tcW w:type="dxa" w:w="4760"/>
            <w:shd w:fill="F8FAFC"/>
            <w:tcMar>
              <w:top w:w="80" w:type="dxa"/>
              <w:start w:w="120" w:type="dxa"/>
              <w:bottom w:w="80" w:type="dxa"/>
              <w:end w:w="120" w:type="dxa"/>
            </w:tcMar>
            <w:vAlign w:val="center"/>
          </w:tcPr>
          <w:p>
            <w:r>
              <w:rPr>
                <w:rFonts w:ascii="Calibri" w:hAnsi="Calibri"/>
                <w:b w:val="0"/>
                <w:i w:val="0"/>
                <w:color w:val="1F2937"/>
                <w:sz w:val="16"/>
              </w:rPr>
              <w:t>Real-source inventory, cleansing, reconciliation, retention and deletion</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Auth/RBAC</w:t>
            </w:r>
          </w:p>
        </w:tc>
        <w:tc>
          <w:tcPr>
            <w:tcW w:type="dxa" w:w="3100"/>
            <w:tcMar>
              <w:top w:w="80" w:type="dxa"/>
              <w:start w:w="120" w:type="dxa"/>
              <w:bottom w:w="80" w:type="dxa"/>
              <w:end w:w="120" w:type="dxa"/>
            </w:tcMar>
            <w:vAlign w:val="center"/>
          </w:tcPr>
          <w:p>
            <w:r>
              <w:rPr>
                <w:rFonts w:ascii="Calibri" w:hAnsi="Calibri"/>
                <w:b w:val="0"/>
                <w:i w:val="0"/>
                <w:color w:val="1F2937"/>
                <w:sz w:val="16"/>
              </w:rPr>
              <w:t>Role model and local QA profiles</w:t>
            </w:r>
          </w:p>
        </w:tc>
        <w:tc>
          <w:tcPr>
            <w:tcW w:type="dxa" w:w="4760"/>
            <w:tcMar>
              <w:top w:w="80" w:type="dxa"/>
              <w:start w:w="120" w:type="dxa"/>
              <w:bottom w:w="80" w:type="dxa"/>
              <w:end w:w="120" w:type="dxa"/>
            </w:tcMar>
            <w:vAlign w:val="center"/>
          </w:tcPr>
          <w:p>
            <w:r>
              <w:rPr>
                <w:rFonts w:ascii="Calibri" w:hAnsi="Calibri"/>
                <w:b w:val="0"/>
                <w:i w:val="0"/>
                <w:color w:val="1F2937"/>
                <w:sz w:val="16"/>
              </w:rPr>
              <w:t>Real Supabase Auth, MFA decision, production profile shutdown, RLS evidence</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Finance</w:t>
            </w:r>
          </w:p>
        </w:tc>
        <w:tc>
          <w:tcPr>
            <w:tcW w:type="dxa" w:w="3100"/>
            <w:shd w:fill="F8FAFC"/>
            <w:tcMar>
              <w:top w:w="80" w:type="dxa"/>
              <w:start w:w="120" w:type="dxa"/>
              <w:bottom w:w="80" w:type="dxa"/>
              <w:end w:w="120" w:type="dxa"/>
            </w:tcMar>
            <w:vAlign w:val="center"/>
          </w:tcPr>
          <w:p>
            <w:r>
              <w:rPr>
                <w:rFonts w:ascii="Calibri" w:hAnsi="Calibri"/>
                <w:b w:val="0"/>
                <w:i w:val="0"/>
                <w:color w:val="1F2937"/>
                <w:sz w:val="16"/>
              </w:rPr>
              <w:t>Ledger/payment workflows</w:t>
            </w:r>
          </w:p>
        </w:tc>
        <w:tc>
          <w:tcPr>
            <w:tcW w:type="dxa" w:w="4760"/>
            <w:shd w:fill="F8FAFC"/>
            <w:tcMar>
              <w:top w:w="80" w:type="dxa"/>
              <w:start w:w="120" w:type="dxa"/>
              <w:bottom w:w="80" w:type="dxa"/>
              <w:end w:w="120" w:type="dxa"/>
            </w:tcMar>
            <w:vAlign w:val="center"/>
          </w:tcPr>
          <w:p>
            <w:r>
              <w:rPr>
                <w:rFonts w:ascii="Calibri" w:hAnsi="Calibri"/>
                <w:b w:val="0"/>
                <w:i w:val="0"/>
                <w:color w:val="1F2937"/>
                <w:sz w:val="16"/>
              </w:rPr>
              <w:t>Provider settlement, refunds, reversals, reconciliation, accountant mapping</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External providers</w:t>
            </w:r>
          </w:p>
        </w:tc>
        <w:tc>
          <w:tcPr>
            <w:tcW w:type="dxa" w:w="3100"/>
            <w:tcMar>
              <w:top w:w="80" w:type="dxa"/>
              <w:start w:w="120" w:type="dxa"/>
              <w:bottom w:w="80" w:type="dxa"/>
              <w:end w:w="120" w:type="dxa"/>
            </w:tcMar>
            <w:vAlign w:val="center"/>
          </w:tcPr>
          <w:p>
            <w:r>
              <w:rPr>
                <w:rFonts w:ascii="Calibri" w:hAnsi="Calibri"/>
                <w:b w:val="0"/>
                <w:i w:val="0"/>
                <w:color w:val="1F2937"/>
                <w:sz w:val="16"/>
              </w:rPr>
              <w:t>Adapters/placeholders</w:t>
            </w:r>
          </w:p>
        </w:tc>
        <w:tc>
          <w:tcPr>
            <w:tcW w:type="dxa" w:w="4760"/>
            <w:tcMar>
              <w:top w:w="80" w:type="dxa"/>
              <w:start w:w="120" w:type="dxa"/>
              <w:bottom w:w="80" w:type="dxa"/>
              <w:end w:w="120" w:type="dxa"/>
            </w:tcMar>
            <w:vAlign w:val="center"/>
          </w:tcPr>
          <w:p>
            <w:r>
              <w:rPr>
                <w:rFonts w:ascii="Calibri" w:hAnsi="Calibri"/>
                <w:b w:val="0"/>
                <w:i w:val="0"/>
                <w:color w:val="1F2937"/>
                <w:sz w:val="16"/>
              </w:rPr>
              <w:t>Contracts, credentials, sandbox proof, webhooks, retry/dead-letter, monitoring</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Compliance</w:t>
            </w:r>
          </w:p>
        </w:tc>
        <w:tc>
          <w:tcPr>
            <w:tcW w:type="dxa" w:w="3100"/>
            <w:shd w:fill="F8FAFC"/>
            <w:tcMar>
              <w:top w:w="80" w:type="dxa"/>
              <w:start w:w="120" w:type="dxa"/>
              <w:bottom w:w="80" w:type="dxa"/>
              <w:end w:w="120" w:type="dxa"/>
            </w:tcMar>
            <w:vAlign w:val="center"/>
          </w:tcPr>
          <w:p>
            <w:r>
              <w:rPr>
                <w:rFonts w:ascii="Calibri" w:hAnsi="Calibri"/>
                <w:b w:val="0"/>
                <w:i w:val="0"/>
                <w:color w:val="1F2937"/>
                <w:sz w:val="16"/>
              </w:rPr>
              <w:t>Design principles</w:t>
            </w:r>
          </w:p>
        </w:tc>
        <w:tc>
          <w:tcPr>
            <w:tcW w:type="dxa" w:w="4760"/>
            <w:shd w:fill="F8FAFC"/>
            <w:tcMar>
              <w:top w:w="80" w:type="dxa"/>
              <w:start w:w="120" w:type="dxa"/>
              <w:bottom w:w="80" w:type="dxa"/>
              <w:end w:w="120" w:type="dxa"/>
            </w:tcMar>
            <w:vAlign w:val="center"/>
          </w:tcPr>
          <w:p>
            <w:r>
              <w:rPr>
                <w:rFonts w:ascii="Calibri" w:hAnsi="Calibri"/>
                <w:b w:val="0"/>
                <w:i w:val="0"/>
                <w:color w:val="1F2937"/>
                <w:sz w:val="16"/>
              </w:rPr>
              <w:t>Entity-specific records, notices, SCC/VERBİS/IYS/EİDS/e-document assessment</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Operations</w:t>
            </w:r>
          </w:p>
        </w:tc>
        <w:tc>
          <w:tcPr>
            <w:tcW w:type="dxa" w:w="3100"/>
            <w:tcMar>
              <w:top w:w="80" w:type="dxa"/>
              <w:start w:w="120" w:type="dxa"/>
              <w:bottom w:w="80" w:type="dxa"/>
              <w:end w:w="120" w:type="dxa"/>
            </w:tcMar>
            <w:vAlign w:val="center"/>
          </w:tcPr>
          <w:p>
            <w:r>
              <w:rPr>
                <w:rFonts w:ascii="Calibri" w:hAnsi="Calibri"/>
                <w:b w:val="0"/>
                <w:i w:val="0"/>
                <w:color w:val="1F2937"/>
                <w:sz w:val="16"/>
              </w:rPr>
              <w:t>Phase harnesses and technical gates</w:t>
            </w:r>
          </w:p>
        </w:tc>
        <w:tc>
          <w:tcPr>
            <w:tcW w:type="dxa" w:w="4760"/>
            <w:tcMar>
              <w:top w:w="80" w:type="dxa"/>
              <w:start w:w="120" w:type="dxa"/>
              <w:bottom w:w="80" w:type="dxa"/>
              <w:end w:w="120" w:type="dxa"/>
            </w:tcMar>
            <w:vAlign w:val="center"/>
          </w:tcPr>
          <w:p>
            <w:r>
              <w:rPr>
                <w:rFonts w:ascii="Calibri" w:hAnsi="Calibri"/>
                <w:b w:val="0"/>
                <w:i w:val="0"/>
                <w:color w:val="1F2937"/>
                <w:sz w:val="16"/>
              </w:rPr>
              <w:t>Service ownership, support hours, recovery tests, training and UAT sign-off</w:t>
            </w:r>
          </w:p>
        </w:tc>
      </w:tr>
    </w:tbl>
    <w:p>
      <w:bookmarkStart w:id="106" w:name="target"/>
      <w:pPr>
        <w:pStyle w:val="Heading1"/>
      </w:pPr>
      <w:r>
        <w:t>4. Target operating and integration model</w:t>
      </w:r>
      <w:bookmarkEnd w:id="106"/>
    </w:p>
    <w:p>
      <w:pPr>
        <w:pStyle w:val="ExecutiveLead"/>
      </w:pPr>
      <w:r>
        <w:rPr>
          <w:rFonts w:ascii="Calibri" w:hAnsi="Calibri"/>
          <w:b w:val="0"/>
          <w:i w:val="0"/>
          <w:color w:val="1F2937"/>
          <w:sz w:val="20"/>
        </w:rPr>
        <w:t>The recommended architecture keeps providers replaceable. Each external capability is reached through one internal contract, with test mode, idempotency, signed webhooks, audit trails, retry queues and a manual fallback.</w:t>
      </w:r>
    </w:p>
    <w:p>
      <w:pPr>
        <w:pStyle w:val="Heading2"/>
      </w:pPr>
      <w:r>
        <w:t>4.1 Capability model</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4080"/>
        <w:gridCol w:w="3480"/>
      </w:tblGrid>
      <w:tr>
        <w:trPr>
          <w:cantSplit/>
          <w:tblHeader w:val="true"/>
          <w:cantSplit/>
        </w:trPr>
        <w:tc>
          <w:tcPr>
            <w:tcW w:type="dxa" w:w="1800"/>
            <w:shd w:fill="102A43"/>
            <w:tcMar>
              <w:top w:w="80" w:type="dxa"/>
              <w:start w:w="120" w:type="dxa"/>
              <w:bottom w:w="80" w:type="dxa"/>
              <w:end w:w="120" w:type="dxa"/>
            </w:tcMar>
            <w:vAlign w:val="center"/>
          </w:tcPr>
          <w:p>
            <w:r>
              <w:rPr>
                <w:rFonts w:ascii="Calibri" w:hAnsi="Calibri"/>
                <w:b/>
                <w:i w:val="0"/>
                <w:color w:val="FFFFFF"/>
                <w:sz w:val="16"/>
              </w:rPr>
              <w:t>Capability</w:t>
            </w:r>
          </w:p>
        </w:tc>
        <w:tc>
          <w:tcPr>
            <w:tcW w:type="dxa" w:w="4080"/>
            <w:shd w:fill="102A43"/>
            <w:tcMar>
              <w:top w:w="80" w:type="dxa"/>
              <w:start w:w="120" w:type="dxa"/>
              <w:bottom w:w="80" w:type="dxa"/>
              <w:end w:w="120" w:type="dxa"/>
            </w:tcMar>
            <w:vAlign w:val="center"/>
          </w:tcPr>
          <w:p>
            <w:r>
              <w:rPr>
                <w:rFonts w:ascii="Calibri" w:hAnsi="Calibri"/>
                <w:b/>
                <w:i w:val="0"/>
                <w:color w:val="FFFFFF"/>
                <w:sz w:val="16"/>
              </w:rPr>
              <w:t>Stable internal contract</w:t>
            </w:r>
          </w:p>
        </w:tc>
        <w:tc>
          <w:tcPr>
            <w:tcW w:type="dxa" w:w="3480"/>
            <w:shd w:fill="102A43"/>
            <w:tcMar>
              <w:top w:w="80" w:type="dxa"/>
              <w:start w:w="120" w:type="dxa"/>
              <w:bottom w:w="80" w:type="dxa"/>
              <w:end w:w="120" w:type="dxa"/>
            </w:tcMar>
            <w:vAlign w:val="center"/>
          </w:tcPr>
          <w:p>
            <w:r>
              <w:rPr>
                <w:rFonts w:ascii="Calibri" w:hAnsi="Calibri"/>
                <w:b/>
                <w:i w:val="0"/>
                <w:color w:val="FFFFFF"/>
                <w:sz w:val="16"/>
              </w:rPr>
              <w:t>Provider choice after approval</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Payments</w:t>
            </w:r>
          </w:p>
        </w:tc>
        <w:tc>
          <w:tcPr>
            <w:tcW w:type="dxa" w:w="4080"/>
            <w:tcMar>
              <w:top w:w="80" w:type="dxa"/>
              <w:start w:w="120" w:type="dxa"/>
              <w:bottom w:w="80" w:type="dxa"/>
              <w:end w:w="120" w:type="dxa"/>
            </w:tcMar>
            <w:vAlign w:val="center"/>
          </w:tcPr>
          <w:p>
            <w:r>
              <w:rPr>
                <w:rFonts w:ascii="Calibri" w:hAnsi="Calibri"/>
                <w:b w:val="0"/>
                <w:i w:val="0"/>
                <w:color w:val="1F2937"/>
                <w:sz w:val="16"/>
              </w:rPr>
              <w:t>Payment intents/events, ledger postings, refunds and settlement references</w:t>
            </w:r>
          </w:p>
        </w:tc>
        <w:tc>
          <w:tcPr>
            <w:tcW w:type="dxa" w:w="3480"/>
            <w:tcMar>
              <w:top w:w="80" w:type="dxa"/>
              <w:start w:w="120" w:type="dxa"/>
              <w:bottom w:w="80" w:type="dxa"/>
              <w:end w:w="120" w:type="dxa"/>
            </w:tcMar>
            <w:vAlign w:val="center"/>
          </w:tcPr>
          <w:p>
            <w:r>
              <w:rPr>
                <w:rFonts w:ascii="Calibri" w:hAnsi="Calibri"/>
                <w:b w:val="0"/>
                <w:i w:val="0"/>
                <w:color w:val="1F2937"/>
                <w:sz w:val="16"/>
              </w:rPr>
              <w:t>iyzico / PayTR / Sipay / bank route</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Banking</w:t>
            </w:r>
          </w:p>
        </w:tc>
        <w:tc>
          <w:tcPr>
            <w:tcW w:type="dxa" w:w="4080"/>
            <w:shd w:fill="F8FAFC"/>
            <w:tcMar>
              <w:top w:w="80" w:type="dxa"/>
              <w:start w:w="120" w:type="dxa"/>
              <w:bottom w:w="80" w:type="dxa"/>
              <w:end w:w="120" w:type="dxa"/>
            </w:tcMar>
            <w:vAlign w:val="center"/>
          </w:tcPr>
          <w:p>
            <w:r>
              <w:rPr>
                <w:rFonts w:ascii="Calibri" w:hAnsi="Calibri"/>
                <w:b w:val="0"/>
                <w:i w:val="0"/>
                <w:color w:val="1F2937"/>
                <w:sz w:val="16"/>
              </w:rPr>
              <w:t>Import batches, bank transactions and reconciliation matches</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CSV/Excel first; bank/open-banking API later</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Messaging</w:t>
            </w:r>
          </w:p>
        </w:tc>
        <w:tc>
          <w:tcPr>
            <w:tcW w:type="dxa" w:w="4080"/>
            <w:tcMar>
              <w:top w:w="80" w:type="dxa"/>
              <w:start w:w="120" w:type="dxa"/>
              <w:bottom w:w="80" w:type="dxa"/>
              <w:end w:w="120" w:type="dxa"/>
            </w:tcMar>
            <w:vAlign w:val="center"/>
          </w:tcPr>
          <w:p>
            <w:r>
              <w:rPr>
                <w:rFonts w:ascii="Calibri" w:hAnsi="Calibri"/>
                <w:b w:val="0"/>
                <w:i w:val="0"/>
                <w:color w:val="1F2937"/>
                <w:sz w:val="16"/>
              </w:rPr>
              <w:t>Messages, attempts, templates, consent class and delivery status</w:t>
            </w:r>
          </w:p>
        </w:tc>
        <w:tc>
          <w:tcPr>
            <w:tcW w:type="dxa" w:w="3480"/>
            <w:tcMar>
              <w:top w:w="80" w:type="dxa"/>
              <w:start w:w="120" w:type="dxa"/>
              <w:bottom w:w="80" w:type="dxa"/>
              <w:end w:w="120" w:type="dxa"/>
            </w:tcMar>
            <w:vAlign w:val="center"/>
          </w:tcPr>
          <w:p>
            <w:r>
              <w:rPr>
                <w:rFonts w:ascii="Calibri" w:hAnsi="Calibri"/>
                <w:b w:val="0"/>
                <w:i w:val="0"/>
                <w:color w:val="1F2937"/>
                <w:sz w:val="16"/>
              </w:rPr>
              <w:t>Netgsm / İleti Merkezi / Resend / SenderTR / FCM / BSP</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Documents</w:t>
            </w:r>
          </w:p>
        </w:tc>
        <w:tc>
          <w:tcPr>
            <w:tcW w:type="dxa" w:w="4080"/>
            <w:shd w:fill="F8FAFC"/>
            <w:tcMar>
              <w:top w:w="80" w:type="dxa"/>
              <w:start w:w="120" w:type="dxa"/>
              <w:bottom w:w="80" w:type="dxa"/>
              <w:end w:w="120" w:type="dxa"/>
            </w:tcMar>
            <w:vAlign w:val="center"/>
          </w:tcPr>
          <w:p>
            <w:r>
              <w:rPr>
                <w:rFonts w:ascii="Calibri" w:hAnsi="Calibri"/>
                <w:b w:val="0"/>
                <w:i w:val="0"/>
                <w:color w:val="1F2937"/>
                <w:sz w:val="16"/>
              </w:rPr>
              <w:t>Documents, storage objects, retention and signed URL policy</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Supabase Storage / R2 / S3-compatible alternative</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AI</w:t>
            </w:r>
          </w:p>
        </w:tc>
        <w:tc>
          <w:tcPr>
            <w:tcW w:type="dxa" w:w="4080"/>
            <w:tcMar>
              <w:top w:w="80" w:type="dxa"/>
              <w:start w:w="120" w:type="dxa"/>
              <w:bottom w:w="80" w:type="dxa"/>
              <w:end w:w="120" w:type="dxa"/>
            </w:tcMar>
            <w:vAlign w:val="center"/>
          </w:tcPr>
          <w:p>
            <w:r>
              <w:rPr>
                <w:rFonts w:ascii="Calibri" w:hAnsi="Calibri"/>
                <w:b w:val="0"/>
                <w:i w:val="0"/>
                <w:color w:val="1F2937"/>
                <w:sz w:val="16"/>
              </w:rPr>
              <w:t>AI events, sources, budgets, evaluations and approvals</w:t>
            </w:r>
          </w:p>
        </w:tc>
        <w:tc>
          <w:tcPr>
            <w:tcW w:type="dxa" w:w="3480"/>
            <w:tcMar>
              <w:top w:w="80" w:type="dxa"/>
              <w:start w:w="120" w:type="dxa"/>
              <w:bottom w:w="80" w:type="dxa"/>
              <w:end w:w="120" w:type="dxa"/>
            </w:tcMar>
            <w:vAlign w:val="center"/>
          </w:tcPr>
          <w:p>
            <w:r>
              <w:rPr>
                <w:rFonts w:ascii="Calibri" w:hAnsi="Calibri"/>
                <w:b w:val="0"/>
                <w:i w:val="0"/>
                <w:color w:val="1F2937"/>
                <w:sz w:val="16"/>
              </w:rPr>
              <w:t>Luna-first OpenAI route / Gemini / Claude / local route</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Physical systems</w:t>
            </w:r>
          </w:p>
        </w:tc>
        <w:tc>
          <w:tcPr>
            <w:tcW w:type="dxa" w:w="4080"/>
            <w:shd w:fill="F8FAFC"/>
            <w:tcMar>
              <w:top w:w="80" w:type="dxa"/>
              <w:start w:w="120" w:type="dxa"/>
              <w:bottom w:w="80" w:type="dxa"/>
              <w:end w:w="120" w:type="dxa"/>
            </w:tcMar>
            <w:vAlign w:val="center"/>
          </w:tcPr>
          <w:p>
            <w:r>
              <w:rPr>
                <w:rFonts w:ascii="Calibri" w:hAnsi="Calibri"/>
                <w:b w:val="0"/>
                <w:i w:val="0"/>
                <w:color w:val="1F2937"/>
                <w:sz w:val="16"/>
              </w:rPr>
              <w:t>Access requests/events, device jobs, evidence pointers</w:t>
            </w:r>
          </w:p>
        </w:tc>
        <w:tc>
          <w:tcPr>
            <w:tcW w:type="dxa" w:w="3480"/>
            <w:shd w:fill="F8FAFC"/>
            <w:tcMar>
              <w:top w:w="80" w:type="dxa"/>
              <w:start w:w="120" w:type="dxa"/>
              <w:bottom w:w="80" w:type="dxa"/>
              <w:end w:w="120" w:type="dxa"/>
            </w:tcMar>
            <w:vAlign w:val="center"/>
          </w:tcPr>
          <w:p>
            <w:r>
              <w:rPr>
                <w:rFonts w:ascii="Calibri" w:hAnsi="Calibri"/>
                <w:b w:val="0"/>
                <w:i w:val="0"/>
                <w:color w:val="1F2937"/>
                <w:sz w:val="16"/>
              </w:rPr>
              <w:t>Confirmed gate/camera/meter/installer API only</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Monitoring</w:t>
            </w:r>
          </w:p>
        </w:tc>
        <w:tc>
          <w:tcPr>
            <w:tcW w:type="dxa" w:w="4080"/>
            <w:tcMar>
              <w:top w:w="80" w:type="dxa"/>
              <w:start w:w="120" w:type="dxa"/>
              <w:bottom w:w="80" w:type="dxa"/>
              <w:end w:w="120" w:type="dxa"/>
            </w:tcMar>
            <w:vAlign w:val="center"/>
          </w:tcPr>
          <w:p>
            <w:r>
              <w:rPr>
                <w:rFonts w:ascii="Calibri" w:hAnsi="Calibri"/>
                <w:b w:val="0"/>
                <w:i w:val="0"/>
                <w:color w:val="1F2937"/>
                <w:sz w:val="16"/>
              </w:rPr>
              <w:t>Health, latency, error rate, queue length and incident reference</w:t>
            </w:r>
          </w:p>
        </w:tc>
        <w:tc>
          <w:tcPr>
            <w:tcW w:type="dxa" w:w="3480"/>
            <w:tcMar>
              <w:top w:w="80" w:type="dxa"/>
              <w:start w:w="120" w:type="dxa"/>
              <w:bottom w:w="80" w:type="dxa"/>
              <w:end w:w="120" w:type="dxa"/>
            </w:tcMar>
            <w:vAlign w:val="center"/>
          </w:tcPr>
          <w:p>
            <w:r>
              <w:rPr>
                <w:rFonts w:ascii="Calibri" w:hAnsi="Calibri"/>
                <w:b w:val="0"/>
                <w:i w:val="0"/>
                <w:color w:val="1F2937"/>
                <w:sz w:val="16"/>
              </w:rPr>
              <w:t>Sentry + platform logs + uptime service</w:t>
            </w:r>
          </w:p>
        </w:tc>
      </w:tr>
    </w:tbl>
    <w:p>
      <w:pPr>
        <w:pStyle w:val="Heading2"/>
      </w:pPr>
      <w:r>
        <w:t>4.2 Non-negotiable integration controls</w:t>
      </w:r>
    </w:p>
    <w:p>
      <w:pPr>
        <w:pStyle w:val="ListBullet"/>
        <w:spacing w:after="80"/>
        <w:ind w:left="720" w:hanging="360"/>
      </w:pPr>
      <w:r>
        <w:rPr>
          <w:rFonts w:ascii="Calibri" w:hAnsi="Calibri"/>
          <w:b w:val="0"/>
          <w:i w:val="0"/>
          <w:color w:val="1F2937"/>
          <w:sz w:val="20"/>
        </w:rPr>
        <w:t>Provider keys stay server-side; production and test credentials are separate.</w:t>
      </w:r>
    </w:p>
    <w:p>
      <w:pPr>
        <w:pStyle w:val="ListBullet"/>
        <w:spacing w:after="80"/>
        <w:ind w:left="720" w:hanging="360"/>
      </w:pPr>
      <w:r>
        <w:rPr>
          <w:rFonts w:ascii="Calibri" w:hAnsi="Calibri"/>
          <w:b w:val="0"/>
          <w:i w:val="0"/>
          <w:color w:val="1F2937"/>
          <w:sz w:val="20"/>
        </w:rPr>
        <w:t>Every provider event has a unique external reference; duplicates cannot double-post money or change access twice.</w:t>
      </w:r>
    </w:p>
    <w:p>
      <w:pPr>
        <w:pStyle w:val="ListBullet"/>
        <w:spacing w:after="80"/>
        <w:ind w:left="720" w:hanging="360"/>
      </w:pPr>
      <w:r>
        <w:rPr>
          <w:rFonts w:ascii="Calibri" w:hAnsi="Calibri"/>
          <w:b w:val="0"/>
          <w:i w:val="0"/>
          <w:color w:val="1F2937"/>
          <w:sz w:val="20"/>
        </w:rPr>
        <w:t>Webhook signatures, timestamps and replay windows are verified before processing.</w:t>
      </w:r>
    </w:p>
    <w:p>
      <w:pPr>
        <w:pStyle w:val="ListBullet"/>
        <w:spacing w:after="80"/>
        <w:ind w:left="720" w:hanging="360"/>
      </w:pPr>
      <w:r>
        <w:rPr>
          <w:rFonts w:ascii="Calibri" w:hAnsi="Calibri"/>
          <w:b w:val="0"/>
          <w:i w:val="0"/>
          <w:color w:val="1F2937"/>
          <w:sz w:val="20"/>
        </w:rPr>
        <w:t>Retries use backoff, maximum attempts, dead-letter state and operator-visible error reasons.</w:t>
      </w:r>
    </w:p>
    <w:p>
      <w:pPr>
        <w:pStyle w:val="ListBullet"/>
        <w:spacing w:after="80"/>
        <w:ind w:left="720" w:hanging="360"/>
      </w:pPr>
      <w:r>
        <w:rPr>
          <w:rFonts w:ascii="Calibri" w:hAnsi="Calibri"/>
          <w:b w:val="0"/>
          <w:i w:val="0"/>
          <w:color w:val="1F2937"/>
          <w:sz w:val="20"/>
        </w:rPr>
        <w:t>Sensitive actions record actor, role, source, before/after state, provider reference and time.</w:t>
      </w:r>
    </w:p>
    <w:p>
      <w:pPr>
        <w:pStyle w:val="ListBullet"/>
        <w:spacing w:after="80"/>
        <w:ind w:left="720" w:hanging="360"/>
      </w:pPr>
      <w:r>
        <w:rPr>
          <w:rFonts w:ascii="Calibri" w:hAnsi="Calibri"/>
          <w:b w:val="0"/>
          <w:i w:val="0"/>
          <w:color w:val="1F2937"/>
          <w:sz w:val="20"/>
        </w:rPr>
        <w:t>A disabled or unavailable provider does not break the ERP shell; a safe manual queue remains.</w:t>
      </w:r>
    </w:p>
    <w:p>
      <w:pPr>
        <w:pStyle w:val="ListBullet"/>
        <w:spacing w:after="80"/>
        <w:ind w:left="720" w:hanging="360"/>
      </w:pPr>
      <w:r>
        <w:rPr>
          <w:rFonts w:ascii="Calibri" w:hAnsi="Calibri"/>
          <w:b w:val="0"/>
          <w:i w:val="0"/>
          <w:color w:val="1F2937"/>
          <w:sz w:val="20"/>
        </w:rPr>
        <w:t>AI can recommend but cannot silently post a payment, refund a deposit, alter a ledger, change a role or control physical access.</w:t>
      </w:r>
    </w:p>
    <w:p>
      <w:pPr>
        <w:pStyle w:val="ListBullet"/>
        <w:spacing w:after="80"/>
        <w:ind w:left="720" w:hanging="360"/>
      </w:pPr>
      <w:r>
        <w:rPr>
          <w:rFonts w:ascii="Calibri" w:hAnsi="Calibri"/>
          <w:b w:val="0"/>
          <w:i w:val="0"/>
          <w:color w:val="1F2937"/>
          <w:sz w:val="20"/>
        </w:rPr>
        <w:t>Every launch-critical integration has sandbox evidence, production UAT, alerting and rollback/manual fallback.</w:t>
      </w:r>
    </w:p>
    <w:p>
      <w:pPr>
        <w:pStyle w:val="Heading2"/>
      </w:pPr>
      <w:r>
        <w:t>4.3 Responsibility model</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500"/>
        <w:gridCol w:w="6860"/>
      </w:tblGrid>
      <w:tr>
        <w:trPr>
          <w:cantSplit/>
          <w:tblHeader w:val="true"/>
          <w:cantSplit/>
        </w:trPr>
        <w:tc>
          <w:tcPr>
            <w:tcW w:type="dxa" w:w="2500"/>
            <w:shd w:fill="102A43"/>
            <w:tcMar>
              <w:top w:w="80" w:type="dxa"/>
              <w:start w:w="120" w:type="dxa"/>
              <w:bottom w:w="80" w:type="dxa"/>
              <w:end w:w="120" w:type="dxa"/>
            </w:tcMar>
            <w:vAlign w:val="center"/>
          </w:tcPr>
          <w:p>
            <w:r>
              <w:rPr>
                <w:rFonts w:ascii="Calibri" w:hAnsi="Calibri"/>
                <w:b/>
                <w:i w:val="0"/>
                <w:color w:val="FFFFFF"/>
                <w:sz w:val="17"/>
              </w:rPr>
              <w:t>Role</w:t>
            </w:r>
          </w:p>
        </w:tc>
        <w:tc>
          <w:tcPr>
            <w:tcW w:type="dxa" w:w="6860"/>
            <w:shd w:fill="102A43"/>
            <w:tcMar>
              <w:top w:w="80" w:type="dxa"/>
              <w:start w:w="120" w:type="dxa"/>
              <w:bottom w:w="80" w:type="dxa"/>
              <w:end w:w="120" w:type="dxa"/>
            </w:tcMar>
            <w:vAlign w:val="center"/>
          </w:tcPr>
          <w:p>
            <w:r>
              <w:rPr>
                <w:rFonts w:ascii="Calibri" w:hAnsi="Calibri"/>
                <w:b/>
                <w:i w:val="0"/>
                <w:color w:val="FFFFFF"/>
                <w:sz w:val="17"/>
              </w:rPr>
              <w:t>Accountability</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7"/>
              </w:rPr>
              <w:t>Ataberk executive sponsor</w:t>
            </w:r>
          </w:p>
        </w:tc>
        <w:tc>
          <w:tcPr>
            <w:tcW w:type="dxa" w:w="6860"/>
            <w:tcMar>
              <w:top w:w="80" w:type="dxa"/>
              <w:start w:w="120" w:type="dxa"/>
              <w:bottom w:w="80" w:type="dxa"/>
              <w:end w:w="120" w:type="dxa"/>
            </w:tcMar>
            <w:vAlign w:val="center"/>
          </w:tcPr>
          <w:p>
            <w:r>
              <w:rPr>
                <w:rFonts w:ascii="Calibri" w:hAnsi="Calibri"/>
                <w:b w:val="0"/>
                <w:i w:val="0"/>
                <w:color w:val="1F2937"/>
                <w:sz w:val="17"/>
              </w:rPr>
              <w:t>Budget, operating model, launch risk and final go/no-go.</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7"/>
              </w:rPr>
              <w:t>Ataberk finance/accountant</w:t>
            </w:r>
          </w:p>
        </w:tc>
        <w:tc>
          <w:tcPr>
            <w:tcW w:type="dxa" w:w="6860"/>
            <w:shd w:fill="F8FAFC"/>
            <w:tcMar>
              <w:top w:w="80" w:type="dxa"/>
              <w:start w:w="120" w:type="dxa"/>
              <w:bottom w:w="80" w:type="dxa"/>
              <w:end w:w="120" w:type="dxa"/>
            </w:tcMar>
            <w:vAlign w:val="center"/>
          </w:tcPr>
          <w:p>
            <w:r>
              <w:rPr>
                <w:rFonts w:ascii="Calibri" w:hAnsi="Calibri"/>
                <w:b w:val="0"/>
                <w:i w:val="0"/>
                <w:color w:val="1F2937"/>
                <w:sz w:val="17"/>
              </w:rPr>
              <w:t>Payment/e-document/provider settlement, chart mapping, taxes and reconciliation.</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7"/>
              </w:rPr>
              <w:t>Turkish counsel / privacy lead</w:t>
            </w:r>
          </w:p>
        </w:tc>
        <w:tc>
          <w:tcPr>
            <w:tcW w:type="dxa" w:w="6860"/>
            <w:tcMar>
              <w:top w:w="80" w:type="dxa"/>
              <w:start w:w="120" w:type="dxa"/>
              <w:bottom w:w="80" w:type="dxa"/>
              <w:end w:w="120" w:type="dxa"/>
            </w:tcMar>
            <w:vAlign w:val="center"/>
          </w:tcPr>
          <w:p>
            <w:r>
              <w:rPr>
                <w:rFonts w:ascii="Calibri" w:hAnsi="Calibri"/>
                <w:b w:val="0"/>
                <w:i w:val="0"/>
                <w:color w:val="1F2937"/>
                <w:sz w:val="17"/>
              </w:rPr>
              <w:t>KVKK, SCC, VERBİS, IYS, EİDS, contracts, surveillance and regulatory applicability.</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7"/>
              </w:rPr>
              <w:t>Ataberk operations</w:t>
            </w:r>
          </w:p>
        </w:tc>
        <w:tc>
          <w:tcPr>
            <w:tcW w:type="dxa" w:w="6860"/>
            <w:shd w:fill="F8FAFC"/>
            <w:tcMar>
              <w:top w:w="80" w:type="dxa"/>
              <w:start w:w="120" w:type="dxa"/>
              <w:bottom w:w="80" w:type="dxa"/>
              <w:end w:w="120" w:type="dxa"/>
            </w:tcMar>
            <w:vAlign w:val="center"/>
          </w:tcPr>
          <w:p>
            <w:r>
              <w:rPr>
                <w:rFonts w:ascii="Calibri" w:hAnsi="Calibri"/>
                <w:b w:val="0"/>
                <w:i w:val="0"/>
                <w:color w:val="1F2937"/>
                <w:sz w:val="17"/>
              </w:rPr>
              <w:t>Message policy, staff roles, property/listing process, access/hardware inventory and UAT.</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7"/>
              </w:rPr>
              <w:t>WAMOCON delivery</w:t>
            </w:r>
          </w:p>
        </w:tc>
        <w:tc>
          <w:tcPr>
            <w:tcW w:type="dxa" w:w="6860"/>
            <w:tcMar>
              <w:top w:w="80" w:type="dxa"/>
              <w:start w:w="120" w:type="dxa"/>
              <w:bottom w:w="80" w:type="dxa"/>
              <w:end w:w="120" w:type="dxa"/>
            </w:tcMar>
            <w:vAlign w:val="center"/>
          </w:tcPr>
          <w:p>
            <w:r>
              <w:rPr>
                <w:rFonts w:ascii="Calibri" w:hAnsi="Calibri"/>
                <w:b w:val="0"/>
                <w:i w:val="0"/>
                <w:color w:val="1F2937"/>
                <w:sz w:val="17"/>
              </w:rPr>
              <w:t>Architecture, adapters, migration, automation, evidence, training and handover.</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7"/>
              </w:rPr>
              <w:t>Provider / installer</w:t>
            </w:r>
          </w:p>
        </w:tc>
        <w:tc>
          <w:tcPr>
            <w:tcW w:type="dxa" w:w="6860"/>
            <w:shd w:fill="F8FAFC"/>
            <w:tcMar>
              <w:top w:w="80" w:type="dxa"/>
              <w:start w:w="120" w:type="dxa"/>
              <w:bottom w:w="80" w:type="dxa"/>
              <w:end w:w="120" w:type="dxa"/>
            </w:tcMar>
            <w:vAlign w:val="center"/>
          </w:tcPr>
          <w:p>
            <w:r>
              <w:rPr>
                <w:rFonts w:ascii="Calibri" w:hAnsi="Calibri"/>
                <w:b w:val="0"/>
                <w:i w:val="0"/>
                <w:color w:val="1F2937"/>
                <w:sz w:val="17"/>
              </w:rPr>
              <w:t>Commercial offer, service terms, API/device support, production credentials and incident escalation.</w:t>
            </w:r>
          </w:p>
        </w:tc>
      </w:tr>
    </w:tbl>
    <w:p>
      <w:bookmarkStart w:id="107" w:name="cost-model"/>
      <w:pPr>
        <w:pStyle w:val="Heading1"/>
      </w:pPr>
      <w:r>
        <w:t>5. Cost model and management assumptions</w:t>
      </w:r>
      <w:bookmarkEnd w:id="107"/>
    </w:p>
    <w:p>
      <w:pPr>
        <w:pStyle w:val="ExecutiveLead"/>
      </w:pPr>
      <w:r>
        <w:rPr>
          <w:rFonts w:ascii="Calibri" w:hAnsi="Calibri"/>
          <w:b w:val="0"/>
          <w:i w:val="0"/>
          <w:color w:val="1F2937"/>
          <w:sz w:val="20"/>
        </w:rPr>
        <w:t>The cost model is designed to be auditable. It keeps recurring subscriptions, annual/prepaid cash purchases, one-time setup, transaction fees and unresolved quotations in separate ledgers. Intermediate calculations retain precision; rounding is only for display.</w:t>
      </w:r>
    </w:p>
    <w:p>
      <w:pPr>
        <w:pStyle w:val="Heading2"/>
      </w:pPr>
      <w:r>
        <w:t>5.1 Cost buckets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3300"/>
        <w:gridCol w:w="4260"/>
      </w:tblGrid>
      <w:tr>
        <w:trPr>
          <w:cantSplit/>
          <w:tblHeader w:val="true"/>
          <w:cantSplit/>
        </w:trPr>
        <w:tc>
          <w:tcPr>
            <w:tcW w:type="dxa" w:w="1800"/>
            <w:shd w:fill="102A43"/>
            <w:tcMar>
              <w:top w:w="80" w:type="dxa"/>
              <w:start w:w="120" w:type="dxa"/>
              <w:bottom w:w="80" w:type="dxa"/>
              <w:end w:w="120" w:type="dxa"/>
            </w:tcMar>
            <w:vAlign w:val="center"/>
          </w:tcPr>
          <w:p>
            <w:r>
              <w:rPr>
                <w:rFonts w:ascii="Calibri" w:hAnsi="Calibri"/>
                <w:b/>
                <w:i w:val="0"/>
                <w:color w:val="FFFFFF"/>
                <w:sz w:val="16"/>
              </w:rPr>
              <w:t>Bucket</w:t>
            </w:r>
          </w:p>
        </w:tc>
        <w:tc>
          <w:tcPr>
            <w:tcW w:type="dxa" w:w="3300"/>
            <w:shd w:fill="102A43"/>
            <w:tcMar>
              <w:top w:w="80" w:type="dxa"/>
              <w:start w:w="120" w:type="dxa"/>
              <w:bottom w:w="80" w:type="dxa"/>
              <w:end w:w="120" w:type="dxa"/>
            </w:tcMar>
            <w:vAlign w:val="center"/>
          </w:tcPr>
          <w:p>
            <w:r>
              <w:rPr>
                <w:rFonts w:ascii="Calibri" w:hAnsi="Calibri"/>
                <w:b/>
                <w:i w:val="0"/>
                <w:color w:val="FFFFFF"/>
                <w:sz w:val="16"/>
              </w:rPr>
              <w:t>Examples</w:t>
            </w:r>
          </w:p>
        </w:tc>
        <w:tc>
          <w:tcPr>
            <w:tcW w:type="dxa" w:w="4260"/>
            <w:shd w:fill="102A43"/>
            <w:tcMar>
              <w:top w:w="80" w:type="dxa"/>
              <w:start w:w="120" w:type="dxa"/>
              <w:bottom w:w="80" w:type="dxa"/>
              <w:end w:w="120" w:type="dxa"/>
            </w:tcMar>
            <w:vAlign w:val="center"/>
          </w:tcPr>
          <w:p>
            <w:r>
              <w:rPr>
                <w:rFonts w:ascii="Calibri" w:hAnsi="Calibri"/>
                <w:b/>
                <w:i w:val="0"/>
                <w:color w:val="FFFFFF"/>
                <w:sz w:val="16"/>
              </w:rPr>
              <w:t>Management treatment</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Monthly recurring USD</w:t>
            </w:r>
          </w:p>
        </w:tc>
        <w:tc>
          <w:tcPr>
            <w:tcW w:type="dxa" w:w="3300"/>
            <w:tcMar>
              <w:top w:w="80" w:type="dxa"/>
              <w:start w:w="120" w:type="dxa"/>
              <w:bottom w:w="80" w:type="dxa"/>
              <w:end w:w="120" w:type="dxa"/>
            </w:tcMar>
            <w:vAlign w:val="center"/>
          </w:tcPr>
          <w:p>
            <w:r>
              <w:rPr>
                <w:rFonts w:ascii="Calibri" w:hAnsi="Calibri"/>
                <w:b w:val="0"/>
                <w:i w:val="0"/>
                <w:color w:val="1F2937"/>
                <w:sz w:val="16"/>
              </w:rPr>
              <w:t>Vercel, Supabase, monitoring, email, AI, Maps, Twenty</w:t>
            </w:r>
          </w:p>
        </w:tc>
        <w:tc>
          <w:tcPr>
            <w:tcW w:type="dxa" w:w="4260"/>
            <w:tcMar>
              <w:top w:w="80" w:type="dxa"/>
              <w:start w:w="120" w:type="dxa"/>
              <w:bottom w:w="80" w:type="dxa"/>
              <w:end w:w="120" w:type="dxa"/>
            </w:tcMar>
            <w:vAlign w:val="center"/>
          </w:tcPr>
          <w:p>
            <w:r>
              <w:rPr>
                <w:rFonts w:ascii="Calibri" w:hAnsi="Calibri"/>
                <w:b w:val="0"/>
                <w:i w:val="0"/>
                <w:color w:val="1F2937"/>
                <w:sz w:val="16"/>
              </w:rPr>
              <w:t>Track vendor currency and usage; convert only with a dated FX input.</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Monthly/annual TRY</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SMS packages, authorisation certificate, e-sign, optional e-document credits</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Show cash purchase and normalised monthly run-rate separately.</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Transaction-linked TRY</w:t>
            </w:r>
          </w:p>
        </w:tc>
        <w:tc>
          <w:tcPr>
            <w:tcW w:type="dxa" w:w="3300"/>
            <w:tcMar>
              <w:top w:w="80" w:type="dxa"/>
              <w:start w:w="120" w:type="dxa"/>
              <w:bottom w:w="80" w:type="dxa"/>
              <w:end w:w="120" w:type="dxa"/>
            </w:tcMar>
            <w:vAlign w:val="center"/>
          </w:tcPr>
          <w:p>
            <w:r>
              <w:rPr>
                <w:rFonts w:ascii="Calibri" w:hAnsi="Calibri"/>
                <w:b w:val="0"/>
                <w:i w:val="0"/>
                <w:color w:val="1F2937"/>
                <w:sz w:val="16"/>
              </w:rPr>
              <w:t>Virtual POS commission, fixed transaction fee, refunds/chargebacks</w:t>
            </w:r>
          </w:p>
        </w:tc>
        <w:tc>
          <w:tcPr>
            <w:tcW w:type="dxa" w:w="4260"/>
            <w:tcMar>
              <w:top w:w="80" w:type="dxa"/>
              <w:start w:w="120" w:type="dxa"/>
              <w:bottom w:w="80" w:type="dxa"/>
              <w:end w:w="120" w:type="dxa"/>
            </w:tcMar>
            <w:vAlign w:val="center"/>
          </w:tcPr>
          <w:p>
            <w:r>
              <w:rPr>
                <w:rFonts w:ascii="Calibri" w:hAnsi="Calibri"/>
                <w:b w:val="0"/>
                <w:i w:val="0"/>
                <w:color w:val="1F2937"/>
                <w:sz w:val="16"/>
              </w:rPr>
              <w:t>Keep separate from platform cost because it scales with GMV.</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One-time setup</w:t>
            </w:r>
          </w:p>
        </w:tc>
        <w:tc>
          <w:tcPr>
            <w:tcW w:type="dxa" w:w="3300"/>
            <w:shd w:fill="F8FAFC"/>
            <w:tcMar>
              <w:top w:w="80" w:type="dxa"/>
              <w:start w:w="120" w:type="dxa"/>
              <w:bottom w:w="80" w:type="dxa"/>
              <w:end w:w="120" w:type="dxa"/>
            </w:tcMar>
            <w:vAlign w:val="center"/>
          </w:tcPr>
          <w:p>
            <w:r>
              <w:rPr>
                <w:rFonts w:ascii="Calibri" w:hAnsi="Calibri"/>
                <w:b w:val="0"/>
                <w:i w:val="0"/>
                <w:color w:val="1F2937"/>
                <w:sz w:val="16"/>
              </w:rPr>
              <w:t>Activation, certificates, migration, security test, hardware installation</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Include in month-one and year-one cash requirement, not monthly twice.</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Quote required</w:t>
            </w:r>
          </w:p>
        </w:tc>
        <w:tc>
          <w:tcPr>
            <w:tcW w:type="dxa" w:w="3300"/>
            <w:tcMar>
              <w:top w:w="80" w:type="dxa"/>
              <w:start w:w="120" w:type="dxa"/>
              <w:bottom w:w="80" w:type="dxa"/>
              <w:end w:w="120" w:type="dxa"/>
            </w:tcMar>
            <w:vAlign w:val="center"/>
          </w:tcPr>
          <w:p>
            <w:r>
              <w:rPr>
                <w:rFonts w:ascii="Calibri" w:hAnsi="Calibri"/>
                <w:b w:val="0"/>
                <w:i w:val="0"/>
                <w:color w:val="1F2937"/>
                <w:sz w:val="16"/>
              </w:rPr>
              <w:t>KEP, WhatsApp/BSP, local hosting, Secure Payment, banking APIs, legal, support, hardware</w:t>
            </w:r>
          </w:p>
        </w:tc>
        <w:tc>
          <w:tcPr>
            <w:tcW w:type="dxa" w:w="4260"/>
            <w:tcMar>
              <w:top w:w="80" w:type="dxa"/>
              <w:start w:w="120" w:type="dxa"/>
              <w:bottom w:w="80" w:type="dxa"/>
              <w:end w:w="120" w:type="dxa"/>
            </w:tcMar>
            <w:vAlign w:val="center"/>
          </w:tcPr>
          <w:p>
            <w:r>
              <w:rPr>
                <w:rFonts w:ascii="Calibri" w:hAnsi="Calibri"/>
                <w:b w:val="0"/>
                <w:i w:val="0"/>
                <w:color w:val="1F2937"/>
                <w:sz w:val="16"/>
              </w:rPr>
              <w:t>Display unresolved counter; exclude from known subtotal until entered.</w:t>
            </w:r>
          </w:p>
        </w:tc>
      </w:tr>
    </w:tbl>
    <w:p>
      <w:pPr>
        <w:pStyle w:val="Heading2"/>
      </w:pPr>
      <w:r>
        <w:t>5.2 Default management assumptions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200"/>
        <w:gridCol w:w="2900"/>
        <w:gridCol w:w="4260"/>
      </w:tblGrid>
      <w:tr>
        <w:trPr>
          <w:cantSplit/>
          <w:tblHeader w:val="true"/>
          <w:cantSplit/>
        </w:trPr>
        <w:tc>
          <w:tcPr>
            <w:tcW w:type="dxa" w:w="2200"/>
            <w:shd w:fill="102A43"/>
            <w:tcMar>
              <w:top w:w="80" w:type="dxa"/>
              <w:start w:w="120" w:type="dxa"/>
              <w:bottom w:w="80" w:type="dxa"/>
              <w:end w:w="120" w:type="dxa"/>
            </w:tcMar>
            <w:vAlign w:val="center"/>
          </w:tcPr>
          <w:p>
            <w:r>
              <w:rPr>
                <w:rFonts w:ascii="Calibri" w:hAnsi="Calibri"/>
                <w:b/>
                <w:i w:val="0"/>
                <w:color w:val="FFFFFF"/>
                <w:sz w:val="16"/>
              </w:rPr>
              <w:t>Input</w:t>
            </w:r>
          </w:p>
        </w:tc>
        <w:tc>
          <w:tcPr>
            <w:tcW w:type="dxa" w:w="2900"/>
            <w:shd w:fill="102A43"/>
            <w:tcMar>
              <w:top w:w="80" w:type="dxa"/>
              <w:start w:w="120" w:type="dxa"/>
              <w:bottom w:w="80" w:type="dxa"/>
              <w:end w:w="120" w:type="dxa"/>
            </w:tcMar>
            <w:vAlign w:val="center"/>
          </w:tcPr>
          <w:p>
            <w:r>
              <w:rPr>
                <w:rFonts w:ascii="Calibri" w:hAnsi="Calibri"/>
                <w:b/>
                <w:i w:val="0"/>
                <w:color w:val="FFFFFF"/>
                <w:sz w:val="16"/>
              </w:rPr>
              <w:t>Default</w:t>
            </w:r>
          </w:p>
        </w:tc>
        <w:tc>
          <w:tcPr>
            <w:tcW w:type="dxa" w:w="4260"/>
            <w:shd w:fill="102A43"/>
            <w:tcMar>
              <w:top w:w="80" w:type="dxa"/>
              <w:start w:w="120" w:type="dxa"/>
              <w:bottom w:w="80" w:type="dxa"/>
              <w:end w:w="120" w:type="dxa"/>
            </w:tcMar>
            <w:vAlign w:val="center"/>
          </w:tcPr>
          <w:p>
            <w:r>
              <w:rPr>
                <w:rFonts w:ascii="Calibri" w:hAnsi="Calibri"/>
                <w:b/>
                <w:i w:val="0"/>
                <w:color w:val="FFFFFF"/>
                <w:sz w:val="16"/>
              </w:rPr>
              <w:t>Classification / reason</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Monthly active users</w:t>
            </w:r>
          </w:p>
        </w:tc>
        <w:tc>
          <w:tcPr>
            <w:tcW w:type="dxa" w:w="2900"/>
            <w:tcMar>
              <w:top w:w="80" w:type="dxa"/>
              <w:start w:w="120" w:type="dxa"/>
              <w:bottom w:w="80" w:type="dxa"/>
              <w:end w:w="120" w:type="dxa"/>
            </w:tcMar>
            <w:vAlign w:val="center"/>
          </w:tcPr>
          <w:p>
            <w:r>
              <w:rPr>
                <w:rFonts w:ascii="Calibri" w:hAnsi="Calibri"/>
                <w:b w:val="0"/>
                <w:i w:val="0"/>
                <w:color w:val="1F2937"/>
                <w:sz w:val="16"/>
              </w:rPr>
              <w:t>1,000; controller step 1,000 to 50,000</w:t>
            </w:r>
          </w:p>
        </w:tc>
        <w:tc>
          <w:tcPr>
            <w:tcW w:type="dxa" w:w="4260"/>
            <w:tcMar>
              <w:top w:w="80" w:type="dxa"/>
              <w:start w:w="120" w:type="dxa"/>
              <w:bottom w:w="80" w:type="dxa"/>
              <w:end w:w="120" w:type="dxa"/>
            </w:tcMar>
            <w:vAlign w:val="center"/>
          </w:tcPr>
          <w:p>
            <w:r>
              <w:rPr>
                <w:rFonts w:ascii="Calibri" w:hAnsi="Calibri"/>
                <w:b w:val="0"/>
                <w:i w:val="0"/>
                <w:color w:val="1F2937"/>
                <w:sz w:val="16"/>
              </w:rPr>
              <w:t>Planning input</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CRM staff</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10, optionally max(10, ceil(users/200))</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Business staffing assumption; not infrastructure requirement</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Developer seats</w:t>
            </w:r>
          </w:p>
        </w:tc>
        <w:tc>
          <w:tcPr>
            <w:tcW w:type="dxa" w:w="2900"/>
            <w:tcMar>
              <w:top w:w="80" w:type="dxa"/>
              <w:start w:w="120" w:type="dxa"/>
              <w:bottom w:w="80" w:type="dxa"/>
              <w:end w:w="120" w:type="dxa"/>
            </w:tcMar>
            <w:vAlign w:val="center"/>
          </w:tcPr>
          <w:p>
            <w:r>
              <w:rPr>
                <w:rFonts w:ascii="Calibri" w:hAnsi="Calibri"/>
                <w:b w:val="0"/>
                <w:i w:val="0"/>
                <w:color w:val="1F2937"/>
                <w:sz w:val="16"/>
              </w:rPr>
              <w:t>1 deploying seat</w:t>
            </w:r>
          </w:p>
        </w:tc>
        <w:tc>
          <w:tcPr>
            <w:tcW w:type="dxa" w:w="4260"/>
            <w:tcMar>
              <w:top w:w="80" w:type="dxa"/>
              <w:start w:w="120" w:type="dxa"/>
              <w:bottom w:w="80" w:type="dxa"/>
              <w:end w:w="120" w:type="dxa"/>
            </w:tcMar>
            <w:vAlign w:val="center"/>
          </w:tcPr>
          <w:p>
            <w:r>
              <w:rPr>
                <w:rFonts w:ascii="Calibri" w:hAnsi="Calibri"/>
                <w:b w:val="0"/>
                <w:i w:val="0"/>
                <w:color w:val="1F2937"/>
                <w:sz w:val="16"/>
              </w:rPr>
              <w:t>Vercel Pro includes one; extra deploying seats cost separately</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AI</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50% adoption × 10 actions/AI user; 2,000 input + 500 output tokens</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Transparent planning assumption</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Email</w:t>
            </w:r>
          </w:p>
        </w:tc>
        <w:tc>
          <w:tcPr>
            <w:tcW w:type="dxa" w:w="2900"/>
            <w:tcMar>
              <w:top w:w="80" w:type="dxa"/>
              <w:start w:w="120" w:type="dxa"/>
              <w:bottom w:w="80" w:type="dxa"/>
              <w:end w:w="120" w:type="dxa"/>
            </w:tcMar>
            <w:vAlign w:val="center"/>
          </w:tcPr>
          <w:p>
            <w:r>
              <w:rPr>
                <w:rFonts w:ascii="Calibri" w:hAnsi="Calibri"/>
                <w:b w:val="0"/>
                <w:i w:val="0"/>
                <w:color w:val="1F2937"/>
                <w:sz w:val="16"/>
              </w:rPr>
              <w:t>5 messages / active user / month</w:t>
            </w:r>
          </w:p>
        </w:tc>
        <w:tc>
          <w:tcPr>
            <w:tcW w:type="dxa" w:w="4260"/>
            <w:tcMar>
              <w:top w:w="80" w:type="dxa"/>
              <w:start w:w="120" w:type="dxa"/>
              <w:bottom w:w="80" w:type="dxa"/>
              <w:end w:w="120" w:type="dxa"/>
            </w:tcMar>
            <w:vAlign w:val="center"/>
          </w:tcPr>
          <w:p>
            <w:r>
              <w:rPr>
                <w:rFonts w:ascii="Calibri" w:hAnsi="Calibri"/>
                <w:b w:val="0"/>
                <w:i w:val="0"/>
                <w:color w:val="1F2937"/>
                <w:sz w:val="16"/>
              </w:rPr>
              <w:t>Usage assumption</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OTP SMS</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2 / active user / month</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Usage assumption; annual package optimisation</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Maps</w:t>
            </w:r>
          </w:p>
        </w:tc>
        <w:tc>
          <w:tcPr>
            <w:tcW w:type="dxa" w:w="2900"/>
            <w:tcMar>
              <w:top w:w="80" w:type="dxa"/>
              <w:start w:w="120" w:type="dxa"/>
              <w:bottom w:w="80" w:type="dxa"/>
              <w:end w:w="120" w:type="dxa"/>
            </w:tcMar>
            <w:vAlign w:val="center"/>
          </w:tcPr>
          <w:p>
            <w:r>
              <w:rPr>
                <w:rFonts w:ascii="Calibri" w:hAnsi="Calibri"/>
                <w:b w:val="0"/>
                <w:i w:val="0"/>
                <w:color w:val="1F2937"/>
                <w:sz w:val="16"/>
              </w:rPr>
              <w:t>1 dynamic map load / active user / month</w:t>
            </w:r>
          </w:p>
        </w:tc>
        <w:tc>
          <w:tcPr>
            <w:tcW w:type="dxa" w:w="4260"/>
            <w:tcMar>
              <w:top w:w="80" w:type="dxa"/>
              <w:start w:w="120" w:type="dxa"/>
              <w:bottom w:w="80" w:type="dxa"/>
              <w:end w:w="120" w:type="dxa"/>
            </w:tcMar>
            <w:vAlign w:val="center"/>
          </w:tcPr>
          <w:p>
            <w:r>
              <w:rPr>
                <w:rFonts w:ascii="Calibri" w:hAnsi="Calibri"/>
                <w:b w:val="0"/>
                <w:i w:val="0"/>
                <w:color w:val="1F2937"/>
                <w:sz w:val="16"/>
              </w:rPr>
              <w:t>Usage assumption; PAYG vs subscription must be compared</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Cached image traffic</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100 MB / active user / month</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Usage assumption</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Payments</w:t>
            </w:r>
          </w:p>
        </w:tc>
        <w:tc>
          <w:tcPr>
            <w:tcW w:type="dxa" w:w="2900"/>
            <w:tcMar>
              <w:top w:w="80" w:type="dxa"/>
              <w:start w:w="120" w:type="dxa"/>
              <w:bottom w:w="80" w:type="dxa"/>
              <w:end w:w="120" w:type="dxa"/>
            </w:tcMar>
            <w:vAlign w:val="center"/>
          </w:tcPr>
          <w:p>
            <w:r>
              <w:rPr>
                <w:rFonts w:ascii="Calibri" w:hAnsi="Calibri"/>
                <w:b w:val="0"/>
                <w:i w:val="0"/>
                <w:color w:val="1F2937"/>
                <w:sz w:val="16"/>
              </w:rPr>
              <w:t>5% payers × one TRY 5,000 transaction / month</w:t>
            </w:r>
          </w:p>
        </w:tc>
        <w:tc>
          <w:tcPr>
            <w:tcW w:type="dxa" w:w="4260"/>
            <w:tcMar>
              <w:top w:w="80" w:type="dxa"/>
              <w:start w:w="120" w:type="dxa"/>
              <w:bottom w:w="80" w:type="dxa"/>
              <w:end w:w="120" w:type="dxa"/>
            </w:tcMar>
            <w:vAlign w:val="center"/>
          </w:tcPr>
          <w:p>
            <w:r>
              <w:rPr>
                <w:rFonts w:ascii="Calibri" w:hAnsi="Calibri"/>
                <w:b w:val="0"/>
                <w:i w:val="0"/>
                <w:color w:val="1F2937"/>
                <w:sz w:val="16"/>
              </w:rPr>
              <w:t>Business-volume assumption</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Property images</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212,298 × 8 × 0.5 MB</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Portfolio assumption; compress and pre-generate thumbnails</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Authorisation certificate</w:t>
            </w:r>
          </w:p>
        </w:tc>
        <w:tc>
          <w:tcPr>
            <w:tcW w:type="dxa" w:w="2900"/>
            <w:tcMar>
              <w:top w:w="80" w:type="dxa"/>
              <w:start w:w="120" w:type="dxa"/>
              <w:bottom w:w="80" w:type="dxa"/>
              <w:end w:w="120" w:type="dxa"/>
            </w:tcMar>
            <w:vAlign w:val="center"/>
          </w:tcPr>
          <w:p>
            <w:r>
              <w:rPr>
                <w:rFonts w:ascii="Calibri" w:hAnsi="Calibri"/>
                <w:b w:val="0"/>
                <w:i w:val="0"/>
                <w:color w:val="1F2937"/>
                <w:sz w:val="16"/>
              </w:rPr>
              <w:t>One certificate at TRY 40,000 / year</w:t>
            </w:r>
          </w:p>
        </w:tc>
        <w:tc>
          <w:tcPr>
            <w:tcW w:type="dxa" w:w="4260"/>
            <w:tcMar>
              <w:top w:w="80" w:type="dxa"/>
              <w:start w:w="120" w:type="dxa"/>
              <w:bottom w:w="80" w:type="dxa"/>
              <w:end w:w="120" w:type="dxa"/>
            </w:tcMar>
            <w:vAlign w:val="center"/>
          </w:tcPr>
          <w:p>
            <w:r>
              <w:rPr>
                <w:rFonts w:ascii="Calibri" w:hAnsi="Calibri"/>
                <w:b w:val="0"/>
                <w:i w:val="0"/>
                <w:color w:val="1F2937"/>
                <w:sz w:val="16"/>
              </w:rPr>
              <w:t>Illustration only; count qualifying certificates/locations</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6"/>
              </w:rPr>
              <w:t>FX</w:t>
            </w:r>
          </w:p>
        </w:tc>
        <w:tc>
          <w:tcPr>
            <w:tcW w:type="dxa" w:w="2900"/>
            <w:shd w:fill="F8FAFC"/>
            <w:tcMar>
              <w:top w:w="80" w:type="dxa"/>
              <w:start w:w="120" w:type="dxa"/>
              <w:bottom w:w="80" w:type="dxa"/>
              <w:end w:w="120" w:type="dxa"/>
            </w:tcMar>
            <w:vAlign w:val="center"/>
          </w:tcPr>
          <w:p>
            <w:r>
              <w:rPr>
                <w:rFonts w:ascii="Calibri" w:hAnsi="Calibri"/>
                <w:b w:val="0"/>
                <w:i w:val="0"/>
                <w:color w:val="1F2937"/>
                <w:sz w:val="16"/>
              </w:rPr>
              <w:t>47.0098 TRY per USD</w:t>
            </w:r>
          </w:p>
        </w:tc>
        <w:tc>
          <w:tcPr>
            <w:tcW w:type="dxa" w:w="4260"/>
            <w:shd w:fill="F8FAFC"/>
            <w:tcMar>
              <w:top w:w="80" w:type="dxa"/>
              <w:start w:w="120" w:type="dxa"/>
              <w:bottom w:w="80" w:type="dxa"/>
              <w:end w:w="120" w:type="dxa"/>
            </w:tcMar>
            <w:vAlign w:val="center"/>
          </w:tcPr>
          <w:p>
            <w:r>
              <w:rPr>
                <w:rFonts w:ascii="Calibri" w:hAnsi="Calibri"/>
                <w:b w:val="0"/>
                <w:i w:val="0"/>
                <w:color w:val="1F2937"/>
                <w:sz w:val="16"/>
              </w:rPr>
              <w:t>TCMB reference for 14 July 2026 published 15 July; editable, no guarantee</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6"/>
              </w:rPr>
              <w:t>FX safety reserve</w:t>
            </w:r>
          </w:p>
        </w:tc>
        <w:tc>
          <w:tcPr>
            <w:tcW w:type="dxa" w:w="2900"/>
            <w:tcMar>
              <w:top w:w="80" w:type="dxa"/>
              <w:start w:w="120" w:type="dxa"/>
              <w:bottom w:w="80" w:type="dxa"/>
              <w:end w:w="120" w:type="dxa"/>
            </w:tcMar>
            <w:vAlign w:val="center"/>
          </w:tcPr>
          <w:p>
            <w:r>
              <w:rPr>
                <w:rFonts w:ascii="Calibri" w:hAnsi="Calibri"/>
                <w:b w:val="0"/>
                <w:i w:val="0"/>
                <w:color w:val="1F2937"/>
                <w:sz w:val="16"/>
              </w:rPr>
              <w:t>20% when management converts USD to TRY budget</w:t>
            </w:r>
          </w:p>
        </w:tc>
        <w:tc>
          <w:tcPr>
            <w:tcW w:type="dxa" w:w="4260"/>
            <w:tcMar>
              <w:top w:w="80" w:type="dxa"/>
              <w:start w:w="120" w:type="dxa"/>
              <w:bottom w:w="80" w:type="dxa"/>
              <w:end w:w="120" w:type="dxa"/>
            </w:tcMar>
            <w:vAlign w:val="center"/>
          </w:tcPr>
          <w:p>
            <w:r>
              <w:rPr>
                <w:rFonts w:ascii="Calibri" w:hAnsi="Calibri"/>
                <w:b w:val="0"/>
                <w:i w:val="0"/>
                <w:color w:val="1F2937"/>
                <w:sz w:val="16"/>
              </w:rPr>
              <w:t>Budget choice; not a vendor charge</w:t>
            </w:r>
          </w:p>
        </w:tc>
      </w:tr>
    </w:tbl>
    <w:p>
      <w:pPr>
        <w:pStyle w:val="Heading2"/>
      </w:pPr>
      <w:r>
        <w:t>5.3 Currency, tax and confidence rules</w:t>
      </w:r>
    </w:p>
    <w:p>
      <w:pPr>
        <w:pStyle w:val="ListBullet"/>
        <w:spacing w:after="80"/>
        <w:ind w:left="720" w:hanging="360"/>
      </w:pPr>
      <w:r>
        <w:rPr>
          <w:rFonts w:ascii="Calibri" w:hAnsi="Calibri"/>
          <w:b w:val="0"/>
          <w:i w:val="0"/>
          <w:color w:val="1F2937"/>
          <w:sz w:val="20"/>
        </w:rPr>
        <w:t>Never add USD and TRY without an explicit exchange rate and date.</w:t>
      </w:r>
    </w:p>
    <w:p>
      <w:pPr>
        <w:pStyle w:val="ListBullet"/>
        <w:spacing w:after="80"/>
        <w:ind w:left="720" w:hanging="360"/>
      </w:pPr>
      <w:r>
        <w:rPr>
          <w:rFonts w:ascii="Calibri" w:hAnsi="Calibri"/>
          <w:b w:val="0"/>
          <w:i w:val="0"/>
          <w:color w:val="1F2937"/>
          <w:sz w:val="20"/>
        </w:rPr>
        <w:t>Show the vendor conversion and the FX-buffered management budget as two separate numbers.</w:t>
      </w:r>
    </w:p>
    <w:p>
      <w:pPr>
        <w:pStyle w:val="ListBullet"/>
        <w:spacing w:after="80"/>
        <w:ind w:left="720" w:hanging="360"/>
      </w:pPr>
      <w:r>
        <w:rPr>
          <w:rFonts w:ascii="Calibri" w:hAnsi="Calibri"/>
          <w:b w:val="0"/>
          <w:i w:val="0"/>
          <w:color w:val="1F2937"/>
          <w:sz w:val="20"/>
        </w:rPr>
        <w:t>Do not apply one global VAT setting: each line records VAT included, excluded, KDV/ÖİV included or unknown.</w:t>
      </w:r>
    </w:p>
    <w:p>
      <w:pPr>
        <w:pStyle w:val="ListBullet"/>
        <w:spacing w:after="80"/>
        <w:ind w:left="720" w:hanging="360"/>
      </w:pPr>
      <w:r>
        <w:rPr>
          <w:rFonts w:ascii="Calibri" w:hAnsi="Calibri"/>
          <w:b w:val="0"/>
          <w:i w:val="0"/>
          <w:color w:val="1F2937"/>
          <w:sz w:val="20"/>
        </w:rPr>
        <w:t>Turkish VAT may be applied only to public prices explicitly stated as excluding VAT; foreign SaaS tax and withholding require accountant confirmation.</w:t>
      </w:r>
    </w:p>
    <w:p>
      <w:pPr>
        <w:pStyle w:val="ListBullet"/>
        <w:spacing w:after="80"/>
        <w:ind w:left="720" w:hanging="360"/>
      </w:pPr>
      <w:r>
        <w:rPr>
          <w:rFonts w:ascii="Calibri" w:hAnsi="Calibri"/>
          <w:b w:val="0"/>
          <w:i w:val="0"/>
          <w:color w:val="1F2937"/>
          <w:sz w:val="20"/>
        </w:rPr>
        <w:t>A public price older than 90 days should be flagged for re-check; all prices in this pack were checked on 15 July 2026.</w:t>
      </w:r>
    </w:p>
    <w:p>
      <w:pPr>
        <w:pStyle w:val="ListBullet"/>
        <w:spacing w:after="80"/>
        <w:ind w:left="720" w:hanging="360"/>
      </w:pPr>
      <w:r>
        <w:rPr>
          <w:rFonts w:ascii="Calibri" w:hAnsi="Calibri"/>
          <w:b w:val="0"/>
          <w:i w:val="0"/>
          <w:color w:val="1F2937"/>
          <w:sz w:val="20"/>
        </w:rPr>
        <w:t>A known subtotal is incomplete whenever an enabled dependency remains quote-only and blank.</w:t>
      </w:r>
    </w:p>
    <w:tbl>
      <w:tblPr>
        <w:tblW w:type="dxa" w:w="9360"/>
        <w:jc w:val="left"/>
        <w:tblLayout w:type="fixed"/>
        <w:tblLook w:firstColumn="1" w:firstRow="1" w:lastColumn="0" w:lastRow="0" w:noHBand="0" w:noVBand="1" w:val="04A0"/>
        <w:tblInd w:w="120" w:type="dxa"/>
        <w:tblBorders>
          <w:top w:val="single" w:sz="8" w:color="D97706"/>
          <w:left w:val="single" w:sz="8" w:color="D97706"/>
          <w:bottom w:val="single" w:sz="8" w:color="D97706"/>
          <w:right w:val="single" w:sz="8" w:color="D97706"/>
          <w:insideH w:val="single" w:sz="8" w:color="D97706"/>
          <w:insideV w:val="single" w:sz="8" w:color="D97706"/>
        </w:tblBorders>
      </w:tblPr>
      <w:tblGrid>
        <w:gridCol w:w="9360"/>
      </w:tblGrid>
      <w:tr>
        <w:trPr>
          <w:cantSplit/>
          <w:tblHeader w:val="true"/>
        </w:trPr>
        <w:tc>
          <w:tcPr>
            <w:tcW w:type="dxa" w:w="9360"/>
            <w:shd w:fill="FFF4E5"/>
            <w:tcMar>
              <w:top w:w="80" w:type="dxa"/>
              <w:start w:w="120" w:type="dxa"/>
              <w:bottom w:w="80" w:type="dxa"/>
              <w:end w:w="120" w:type="dxa"/>
            </w:tcMar>
            <w:vAlign w:val="center"/>
          </w:tcPr>
          <w:p>
            <w:r>
              <w:rPr>
                <w:rFonts w:ascii="Calibri" w:hAnsi="Calibri"/>
                <w:b/>
                <w:i w:val="0"/>
                <w:color w:val="D97706"/>
                <w:sz w:val="20"/>
              </w:rPr>
              <w:t>Important Supabase/Vercel interpretation</w:t>
              <w:br/>
            </w:r>
            <w:r>
              <w:rPr>
                <w:rFonts w:ascii="Calibri" w:hAnsi="Calibri"/>
                <w:b w:val="0"/>
                <w:i w:val="0"/>
                <w:color w:val="1F2937"/>
                <w:sz w:val="19"/>
              </w:rPr>
              <w:t>Neither product is priced directly by public customer count at 1k/5k/10k. Supabase Pro includes 100k MAU and Vercel Pro includes substantial platform allowances. The $75 and $125 Supabase values used in the scale example are conservative compute/capacity selections—not published user tiers. Load testing determines the real requirement.</w:t>
            </w:r>
          </w:p>
        </w:tc>
      </w:tr>
    </w:tbl>
    <w:p>
      <w:pPr>
        <w:spacing w:after="40"/>
      </w:pPr>
    </w:p>
    <w:p>
      <w:pPr>
        <w:pStyle w:val="CaptionSmall"/>
      </w:pPr>
      <w:r>
        <w:rPr>
          <w:rFonts w:ascii="Calibri" w:hAnsi="Calibri"/>
          <w:b/>
          <w:i w:val="0"/>
          <w:color w:val="5B6673"/>
          <w:sz w:val="17"/>
        </w:rPr>
        <w:t xml:space="preserve">Sources checked 15 July 2026: </w:t>
      </w:r>
      <w:hyperlink r:id="rId12">
        <w:r>
          <w:rPr>
            <w:color w:val="2E74B5"/>
            <w:u w:val="single"/>
          </w:rPr>
          <w:t>S01 Supabase</w:t>
        </w:r>
      </w:hyperlink>
      <w:r>
        <w:rPr>
          <w:rFonts w:ascii="Calibri" w:hAnsi="Calibri"/>
          <w:b w:val="0"/>
          <w:i w:val="0"/>
          <w:color w:val="5B6673"/>
          <w:sz w:val="17"/>
        </w:rPr>
        <w:t xml:space="preserve">; </w:t>
      </w:r>
      <w:hyperlink r:id="rId13">
        <w:r>
          <w:rPr>
            <w:color w:val="2E74B5"/>
            <w:u w:val="single"/>
          </w:rPr>
          <w:t>S02 Vercel</w:t>
        </w:r>
      </w:hyperlink>
      <w:r>
        <w:rPr>
          <w:rFonts w:ascii="Calibri" w:hAnsi="Calibri"/>
          <w:b w:val="0"/>
          <w:i w:val="0"/>
          <w:color w:val="5B6673"/>
          <w:sz w:val="17"/>
        </w:rPr>
        <w:t xml:space="preserve">; </w:t>
      </w:r>
      <w:hyperlink r:id="rId20">
        <w:r>
          <w:rPr>
            <w:color w:val="2E74B5"/>
            <w:u w:val="single"/>
          </w:rPr>
          <w:t>S39 e-Devlet / TCMB</w:t>
        </w:r>
      </w:hyperlink>
    </w:p>
    <w:p>
      <w:bookmarkStart w:id="108" w:name="scale"/>
      <w:pPr>
        <w:pStyle w:val="Heading1"/>
      </w:pPr>
      <w:r>
        <w:t>6. Scale simulation: 1,000 / 5,000 / 10,000 users</w:t>
      </w:r>
      <w:bookmarkEnd w:id="108"/>
    </w:p>
    <w:p>
      <w:pPr>
        <w:pStyle w:val="ExecutiveLead"/>
      </w:pPr>
      <w:r>
        <w:rPr>
          <w:rFonts w:ascii="Calibri" w:hAnsi="Calibri"/>
          <w:b w:val="0"/>
          <w:i w:val="0"/>
          <w:color w:val="1F2937"/>
          <w:sz w:val="20"/>
        </w:rPr>
        <w:t>This section shows the management scenario. It is a planning simulation, not a guaranteed invoice. The accompanying HTML controller recalculates each component in 1,000-user steps and allows assumptions to be changed.</w:t>
      </w:r>
    </w:p>
    <w:p>
      <w:pPr>
        <w:pStyle w:val="Heading2"/>
      </w:pPr>
      <w:r>
        <w:t>6.1 Known USD platform subtotal</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700"/>
        <w:gridCol w:w="1850"/>
        <w:gridCol w:w="1350"/>
        <w:gridCol w:w="1300"/>
        <w:gridCol w:w="1300"/>
        <w:gridCol w:w="1400"/>
        <w:gridCol w:w="1460"/>
      </w:tblGrid>
      <w:tr>
        <w:trPr>
          <w:cantSplit/>
          <w:tblHeader w:val="true"/>
          <w:cantSplit/>
        </w:trPr>
        <w:tc>
          <w:tcPr>
            <w:tcW w:type="dxa" w:w="700"/>
            <w:shd w:fill="102A43"/>
            <w:tcMar>
              <w:top w:w="80" w:type="dxa"/>
              <w:start w:w="120" w:type="dxa"/>
              <w:bottom w:w="80" w:type="dxa"/>
              <w:end w:w="120" w:type="dxa"/>
            </w:tcMar>
            <w:vAlign w:val="center"/>
          </w:tcPr>
          <w:p>
            <w:r>
              <w:rPr>
                <w:rFonts w:ascii="Calibri" w:hAnsi="Calibri"/>
                <w:b/>
                <w:i w:val="0"/>
                <w:color w:val="FFFFFF"/>
                <w:sz w:val="14"/>
              </w:rPr>
              <w:t>MAU</w:t>
            </w:r>
          </w:p>
        </w:tc>
        <w:tc>
          <w:tcPr>
            <w:tcW w:type="dxa" w:w="1850"/>
            <w:shd w:fill="102A43"/>
            <w:tcMar>
              <w:top w:w="80" w:type="dxa"/>
              <w:start w:w="120" w:type="dxa"/>
              <w:bottom w:w="80" w:type="dxa"/>
              <w:end w:w="120" w:type="dxa"/>
            </w:tcMar>
            <w:vAlign w:val="center"/>
          </w:tcPr>
          <w:p>
            <w:r>
              <w:rPr>
                <w:rFonts w:ascii="Calibri" w:hAnsi="Calibri"/>
                <w:b/>
                <w:i w:val="0"/>
                <w:color w:val="FFFFFF"/>
                <w:sz w:val="14"/>
              </w:rPr>
              <w:t>Platform excl. storage/CRM</w:t>
            </w:r>
          </w:p>
        </w:tc>
        <w:tc>
          <w:tcPr>
            <w:tcW w:type="dxa" w:w="1350"/>
            <w:shd w:fill="102A43"/>
            <w:tcMar>
              <w:top w:w="80" w:type="dxa"/>
              <w:start w:w="120" w:type="dxa"/>
              <w:bottom w:w="80" w:type="dxa"/>
              <w:end w:w="120" w:type="dxa"/>
            </w:tcMar>
            <w:vAlign w:val="center"/>
          </w:tcPr>
          <w:p>
            <w:r>
              <w:rPr>
                <w:rFonts w:ascii="Calibri" w:hAnsi="Calibri"/>
                <w:b/>
                <w:i w:val="0"/>
                <w:color w:val="FFFFFF"/>
                <w:sz w:val="14"/>
              </w:rPr>
              <w:t>Image storage</w:t>
            </w:r>
          </w:p>
        </w:tc>
        <w:tc>
          <w:tcPr>
            <w:tcW w:type="dxa" w:w="1300"/>
            <w:shd w:fill="102A43"/>
            <w:tcMar>
              <w:top w:w="80" w:type="dxa"/>
              <w:start w:w="120" w:type="dxa"/>
              <w:bottom w:w="80" w:type="dxa"/>
              <w:end w:w="120" w:type="dxa"/>
            </w:tcMar>
            <w:vAlign w:val="center"/>
          </w:tcPr>
          <w:p>
            <w:r>
              <w:rPr>
                <w:rFonts w:ascii="Calibri" w:hAnsi="Calibri"/>
                <w:b/>
                <w:i w:val="0"/>
                <w:color w:val="FFFFFF"/>
                <w:sz w:val="14"/>
              </w:rPr>
              <w:t>Twenty Org</w:t>
            </w:r>
          </w:p>
        </w:tc>
        <w:tc>
          <w:tcPr>
            <w:tcW w:type="dxa" w:w="1300"/>
            <w:shd w:fill="102A43"/>
            <w:tcMar>
              <w:top w:w="80" w:type="dxa"/>
              <w:start w:w="120" w:type="dxa"/>
              <w:bottom w:w="80" w:type="dxa"/>
              <w:end w:w="120" w:type="dxa"/>
            </w:tcMar>
            <w:vAlign w:val="center"/>
          </w:tcPr>
          <w:p>
            <w:r>
              <w:rPr>
                <w:rFonts w:ascii="Calibri" w:hAnsi="Calibri"/>
                <w:b/>
                <w:i w:val="0"/>
                <w:color w:val="FFFFFF"/>
                <w:sz w:val="14"/>
              </w:rPr>
              <w:t>Known USD</w:t>
            </w:r>
          </w:p>
        </w:tc>
        <w:tc>
          <w:tcPr>
            <w:tcW w:type="dxa" w:w="1400"/>
            <w:shd w:fill="102A43"/>
            <w:tcMar>
              <w:top w:w="80" w:type="dxa"/>
              <w:start w:w="120" w:type="dxa"/>
              <w:bottom w:w="80" w:type="dxa"/>
              <w:end w:w="120" w:type="dxa"/>
            </w:tcMar>
            <w:vAlign w:val="center"/>
          </w:tcPr>
          <w:p>
            <w:r>
              <w:rPr>
                <w:rFonts w:ascii="Calibri" w:hAnsi="Calibri"/>
                <w:b/>
                <w:i w:val="0"/>
                <w:color w:val="FFFFFF"/>
                <w:sz w:val="14"/>
              </w:rPr>
              <w:t>TRY @ 47.0098</w:t>
            </w:r>
          </w:p>
        </w:tc>
        <w:tc>
          <w:tcPr>
            <w:tcW w:type="dxa" w:w="1460"/>
            <w:shd w:fill="102A43"/>
            <w:tcMar>
              <w:top w:w="80" w:type="dxa"/>
              <w:start w:w="120" w:type="dxa"/>
              <w:bottom w:w="80" w:type="dxa"/>
              <w:end w:w="120" w:type="dxa"/>
            </w:tcMar>
            <w:vAlign w:val="center"/>
          </w:tcPr>
          <w:p>
            <w:r>
              <w:rPr>
                <w:rFonts w:ascii="Calibri" w:hAnsi="Calibri"/>
                <w:b/>
                <w:i w:val="0"/>
                <w:color w:val="FFFFFF"/>
                <w:sz w:val="14"/>
              </w:rPr>
              <w:t>TRY + 20% FX reserve</w:t>
            </w:r>
          </w:p>
        </w:tc>
      </w:tr>
      <w:tr>
        <w:trPr>
          <w:cantSplit/>
        </w:trPr>
        <w:tc>
          <w:tcPr>
            <w:tcW w:type="dxa" w:w="700"/>
            <w:tcMar>
              <w:top w:w="80" w:type="dxa"/>
              <w:start w:w="120" w:type="dxa"/>
              <w:bottom w:w="80" w:type="dxa"/>
              <w:end w:w="120" w:type="dxa"/>
            </w:tcMar>
            <w:vAlign w:val="center"/>
          </w:tcPr>
          <w:p>
            <w:r>
              <w:rPr>
                <w:rFonts w:ascii="Calibri" w:hAnsi="Calibri"/>
                <w:b w:val="0"/>
                <w:i w:val="0"/>
                <w:color w:val="1F2937"/>
                <w:sz w:val="14"/>
              </w:rPr>
              <w:t>1,000</w:t>
            </w:r>
          </w:p>
        </w:tc>
        <w:tc>
          <w:tcPr>
            <w:tcW w:type="dxa" w:w="1850"/>
            <w:tcMar>
              <w:top w:w="80" w:type="dxa"/>
              <w:start w:w="120" w:type="dxa"/>
              <w:bottom w:w="80" w:type="dxa"/>
              <w:end w:w="120" w:type="dxa"/>
            </w:tcMar>
            <w:vAlign w:val="center"/>
          </w:tcPr>
          <w:p>
            <w:r>
              <w:rPr>
                <w:rFonts w:ascii="Calibri" w:hAnsi="Calibri"/>
                <w:b w:val="0"/>
                <w:i w:val="0"/>
                <w:color w:val="1F2937"/>
                <w:sz w:val="14"/>
              </w:rPr>
              <w:t>$223.50</w:t>
            </w:r>
          </w:p>
        </w:tc>
        <w:tc>
          <w:tcPr>
            <w:tcW w:type="dxa" w:w="1350"/>
            <w:tcMar>
              <w:top w:w="80" w:type="dxa"/>
              <w:start w:w="120" w:type="dxa"/>
              <w:bottom w:w="80" w:type="dxa"/>
              <w:end w:w="120" w:type="dxa"/>
            </w:tcMar>
            <w:vAlign w:val="center"/>
          </w:tcPr>
          <w:p>
            <w:r>
              <w:rPr>
                <w:rFonts w:ascii="Calibri" w:hAnsi="Calibri"/>
                <w:b w:val="0"/>
                <w:i w:val="0"/>
                <w:color w:val="1F2937"/>
                <w:sz w:val="14"/>
              </w:rPr>
              <w:t>$15.96</w:t>
            </w:r>
          </w:p>
        </w:tc>
        <w:tc>
          <w:tcPr>
            <w:tcW w:type="dxa" w:w="1300"/>
            <w:tcMar>
              <w:top w:w="80" w:type="dxa"/>
              <w:start w:w="120" w:type="dxa"/>
              <w:bottom w:w="80" w:type="dxa"/>
              <w:end w:w="120" w:type="dxa"/>
            </w:tcMar>
            <w:vAlign w:val="center"/>
          </w:tcPr>
          <w:p>
            <w:r>
              <w:rPr>
                <w:rFonts w:ascii="Calibri" w:hAnsi="Calibri"/>
                <w:b w:val="0"/>
                <w:i w:val="0"/>
                <w:color w:val="1F2937"/>
                <w:sz w:val="14"/>
              </w:rPr>
              <w:t>$190.00</w:t>
            </w:r>
          </w:p>
        </w:tc>
        <w:tc>
          <w:tcPr>
            <w:tcW w:type="dxa" w:w="1300"/>
            <w:tcMar>
              <w:top w:w="80" w:type="dxa"/>
              <w:start w:w="120" w:type="dxa"/>
              <w:bottom w:w="80" w:type="dxa"/>
              <w:end w:w="120" w:type="dxa"/>
            </w:tcMar>
            <w:vAlign w:val="center"/>
          </w:tcPr>
          <w:p>
            <w:r>
              <w:rPr>
                <w:rFonts w:ascii="Calibri" w:hAnsi="Calibri"/>
                <w:b w:val="0"/>
                <w:i w:val="0"/>
                <w:color w:val="1F2937"/>
                <w:sz w:val="14"/>
              </w:rPr>
              <w:t>$429.46</w:t>
            </w:r>
          </w:p>
        </w:tc>
        <w:tc>
          <w:tcPr>
            <w:tcW w:type="dxa" w:w="1400"/>
            <w:tcMar>
              <w:top w:w="80" w:type="dxa"/>
              <w:start w:w="120" w:type="dxa"/>
              <w:bottom w:w="80" w:type="dxa"/>
              <w:end w:w="120" w:type="dxa"/>
            </w:tcMar>
            <w:vAlign w:val="center"/>
          </w:tcPr>
          <w:p>
            <w:r>
              <w:rPr>
                <w:rFonts w:ascii="Calibri" w:hAnsi="Calibri"/>
                <w:b w:val="0"/>
                <w:i w:val="0"/>
                <w:color w:val="1F2937"/>
                <w:sz w:val="14"/>
              </w:rPr>
              <w:t>TRY 20,188.72</w:t>
            </w:r>
          </w:p>
        </w:tc>
        <w:tc>
          <w:tcPr>
            <w:tcW w:type="dxa" w:w="1460"/>
            <w:tcMar>
              <w:top w:w="80" w:type="dxa"/>
              <w:start w:w="120" w:type="dxa"/>
              <w:bottom w:w="80" w:type="dxa"/>
              <w:end w:w="120" w:type="dxa"/>
            </w:tcMar>
            <w:vAlign w:val="center"/>
          </w:tcPr>
          <w:p>
            <w:r>
              <w:rPr>
                <w:rFonts w:ascii="Calibri" w:hAnsi="Calibri"/>
                <w:b w:val="0"/>
                <w:i w:val="0"/>
                <w:color w:val="1F2937"/>
                <w:sz w:val="14"/>
              </w:rPr>
              <w:t>TRY 24,226.47</w:t>
            </w:r>
          </w:p>
        </w:tc>
      </w:tr>
      <w:tr>
        <w:trPr>
          <w:cantSplit/>
        </w:trPr>
        <w:tc>
          <w:tcPr>
            <w:tcW w:type="dxa" w:w="700"/>
            <w:shd w:fill="F8FAFC"/>
            <w:tcMar>
              <w:top w:w="80" w:type="dxa"/>
              <w:start w:w="120" w:type="dxa"/>
              <w:bottom w:w="80" w:type="dxa"/>
              <w:end w:w="120" w:type="dxa"/>
            </w:tcMar>
            <w:vAlign w:val="center"/>
          </w:tcPr>
          <w:p>
            <w:r>
              <w:rPr>
                <w:rFonts w:ascii="Calibri" w:hAnsi="Calibri"/>
                <w:b w:val="0"/>
                <w:i w:val="0"/>
                <w:color w:val="1F2937"/>
                <w:sz w:val="14"/>
              </w:rPr>
              <w:t>5,000</w:t>
            </w:r>
          </w:p>
        </w:tc>
        <w:tc>
          <w:tcPr>
            <w:tcW w:type="dxa" w:w="1850"/>
            <w:shd w:fill="F8FAFC"/>
            <w:tcMar>
              <w:top w:w="80" w:type="dxa"/>
              <w:start w:w="120" w:type="dxa"/>
              <w:bottom w:w="80" w:type="dxa"/>
              <w:end w:w="120" w:type="dxa"/>
            </w:tcMar>
            <w:vAlign w:val="center"/>
          </w:tcPr>
          <w:p>
            <w:r>
              <w:rPr>
                <w:rFonts w:ascii="Calibri" w:hAnsi="Calibri"/>
                <w:b w:val="0"/>
                <w:i w:val="0"/>
                <w:color w:val="1F2937"/>
                <w:sz w:val="14"/>
              </w:rPr>
              <w:t>$411.00</w:t>
            </w:r>
          </w:p>
        </w:tc>
        <w:tc>
          <w:tcPr>
            <w:tcW w:type="dxa" w:w="1350"/>
            <w:shd w:fill="F8FAFC"/>
            <w:tcMar>
              <w:top w:w="80" w:type="dxa"/>
              <w:start w:w="120" w:type="dxa"/>
              <w:bottom w:w="80" w:type="dxa"/>
              <w:end w:w="120" w:type="dxa"/>
            </w:tcMar>
            <w:vAlign w:val="center"/>
          </w:tcPr>
          <w:p>
            <w:r>
              <w:rPr>
                <w:rFonts w:ascii="Calibri" w:hAnsi="Calibri"/>
                <w:b w:val="0"/>
                <w:i w:val="0"/>
                <w:color w:val="1F2937"/>
                <w:sz w:val="14"/>
              </w:rPr>
              <w:t>$15.96</w:t>
            </w:r>
          </w:p>
        </w:tc>
        <w:tc>
          <w:tcPr>
            <w:tcW w:type="dxa" w:w="1300"/>
            <w:shd w:fill="F8FAFC"/>
            <w:tcMar>
              <w:top w:w="80" w:type="dxa"/>
              <w:start w:w="120" w:type="dxa"/>
              <w:bottom w:w="80" w:type="dxa"/>
              <w:end w:w="120" w:type="dxa"/>
            </w:tcMar>
            <w:vAlign w:val="center"/>
          </w:tcPr>
          <w:p>
            <w:r>
              <w:rPr>
                <w:rFonts w:ascii="Calibri" w:hAnsi="Calibri"/>
                <w:b w:val="0"/>
                <w:i w:val="0"/>
                <w:color w:val="1F2937"/>
                <w:sz w:val="14"/>
              </w:rPr>
              <w:t>$475.00</w:t>
            </w:r>
          </w:p>
        </w:tc>
        <w:tc>
          <w:tcPr>
            <w:tcW w:type="dxa" w:w="1300"/>
            <w:shd w:fill="F8FAFC"/>
            <w:tcMar>
              <w:top w:w="80" w:type="dxa"/>
              <w:start w:w="120" w:type="dxa"/>
              <w:bottom w:w="80" w:type="dxa"/>
              <w:end w:w="120" w:type="dxa"/>
            </w:tcMar>
            <w:vAlign w:val="center"/>
          </w:tcPr>
          <w:p>
            <w:r>
              <w:rPr>
                <w:rFonts w:ascii="Calibri" w:hAnsi="Calibri"/>
                <w:b w:val="0"/>
                <w:i w:val="0"/>
                <w:color w:val="1F2937"/>
                <w:sz w:val="14"/>
              </w:rPr>
              <w:t>$901.96</w:t>
            </w:r>
          </w:p>
        </w:tc>
        <w:tc>
          <w:tcPr>
            <w:tcW w:type="dxa" w:w="1400"/>
            <w:shd w:fill="F8FAFC"/>
            <w:tcMar>
              <w:top w:w="80" w:type="dxa"/>
              <w:start w:w="120" w:type="dxa"/>
              <w:bottom w:w="80" w:type="dxa"/>
              <w:end w:w="120" w:type="dxa"/>
            </w:tcMar>
            <w:vAlign w:val="center"/>
          </w:tcPr>
          <w:p>
            <w:r>
              <w:rPr>
                <w:rFonts w:ascii="Calibri" w:hAnsi="Calibri"/>
                <w:b w:val="0"/>
                <w:i w:val="0"/>
                <w:color w:val="1F2937"/>
                <w:sz w:val="14"/>
              </w:rPr>
              <w:t>TRY 42,400.86</w:t>
            </w:r>
          </w:p>
        </w:tc>
        <w:tc>
          <w:tcPr>
            <w:tcW w:type="dxa" w:w="1460"/>
            <w:shd w:fill="F8FAFC"/>
            <w:tcMar>
              <w:top w:w="80" w:type="dxa"/>
              <w:start w:w="120" w:type="dxa"/>
              <w:bottom w:w="80" w:type="dxa"/>
              <w:end w:w="120" w:type="dxa"/>
            </w:tcMar>
            <w:vAlign w:val="center"/>
          </w:tcPr>
          <w:p>
            <w:r>
              <w:rPr>
                <w:rFonts w:ascii="Calibri" w:hAnsi="Calibri"/>
                <w:b w:val="0"/>
                <w:i w:val="0"/>
                <w:color w:val="1F2937"/>
                <w:sz w:val="14"/>
              </w:rPr>
              <w:t>TRY 50,881.03</w:t>
            </w:r>
          </w:p>
        </w:tc>
      </w:tr>
      <w:tr>
        <w:trPr>
          <w:cantSplit/>
        </w:trPr>
        <w:tc>
          <w:tcPr>
            <w:tcW w:type="dxa" w:w="700"/>
            <w:tcMar>
              <w:top w:w="80" w:type="dxa"/>
              <w:start w:w="120" w:type="dxa"/>
              <w:bottom w:w="80" w:type="dxa"/>
              <w:end w:w="120" w:type="dxa"/>
            </w:tcMar>
            <w:vAlign w:val="center"/>
          </w:tcPr>
          <w:p>
            <w:r>
              <w:rPr>
                <w:rFonts w:ascii="Calibri" w:hAnsi="Calibri"/>
                <w:b w:val="0"/>
                <w:i w:val="0"/>
                <w:color w:val="1F2937"/>
                <w:sz w:val="14"/>
              </w:rPr>
              <w:t>10,000</w:t>
            </w:r>
          </w:p>
        </w:tc>
        <w:tc>
          <w:tcPr>
            <w:tcW w:type="dxa" w:w="1850"/>
            <w:tcMar>
              <w:top w:w="80" w:type="dxa"/>
              <w:start w:w="120" w:type="dxa"/>
              <w:bottom w:w="80" w:type="dxa"/>
              <w:end w:w="120" w:type="dxa"/>
            </w:tcMar>
            <w:vAlign w:val="center"/>
          </w:tcPr>
          <w:p>
            <w:r>
              <w:rPr>
                <w:rFonts w:ascii="Calibri" w:hAnsi="Calibri"/>
                <w:b w:val="0"/>
                <w:i w:val="0"/>
                <w:color w:val="1F2937"/>
                <w:sz w:val="14"/>
              </w:rPr>
              <w:t>$638.50</w:t>
            </w:r>
          </w:p>
        </w:tc>
        <w:tc>
          <w:tcPr>
            <w:tcW w:type="dxa" w:w="1350"/>
            <w:tcMar>
              <w:top w:w="80" w:type="dxa"/>
              <w:start w:w="120" w:type="dxa"/>
              <w:bottom w:w="80" w:type="dxa"/>
              <w:end w:w="120" w:type="dxa"/>
            </w:tcMar>
            <w:vAlign w:val="center"/>
          </w:tcPr>
          <w:p>
            <w:r>
              <w:rPr>
                <w:rFonts w:ascii="Calibri" w:hAnsi="Calibri"/>
                <w:b w:val="0"/>
                <w:i w:val="0"/>
                <w:color w:val="1F2937"/>
                <w:sz w:val="14"/>
              </w:rPr>
              <w:t>$15.96</w:t>
            </w:r>
          </w:p>
        </w:tc>
        <w:tc>
          <w:tcPr>
            <w:tcW w:type="dxa" w:w="1300"/>
            <w:tcMar>
              <w:top w:w="80" w:type="dxa"/>
              <w:start w:w="120" w:type="dxa"/>
              <w:bottom w:w="80" w:type="dxa"/>
              <w:end w:w="120" w:type="dxa"/>
            </w:tcMar>
            <w:vAlign w:val="center"/>
          </w:tcPr>
          <w:p>
            <w:r>
              <w:rPr>
                <w:rFonts w:ascii="Calibri" w:hAnsi="Calibri"/>
                <w:b w:val="0"/>
                <w:i w:val="0"/>
                <w:color w:val="1F2937"/>
                <w:sz w:val="14"/>
              </w:rPr>
              <w:t>$950.00</w:t>
            </w:r>
          </w:p>
        </w:tc>
        <w:tc>
          <w:tcPr>
            <w:tcW w:type="dxa" w:w="1300"/>
            <w:tcMar>
              <w:top w:w="80" w:type="dxa"/>
              <w:start w:w="120" w:type="dxa"/>
              <w:bottom w:w="80" w:type="dxa"/>
              <w:end w:w="120" w:type="dxa"/>
            </w:tcMar>
            <w:vAlign w:val="center"/>
          </w:tcPr>
          <w:p>
            <w:r>
              <w:rPr>
                <w:rFonts w:ascii="Calibri" w:hAnsi="Calibri"/>
                <w:b w:val="0"/>
                <w:i w:val="0"/>
                <w:color w:val="1F2937"/>
                <w:sz w:val="14"/>
              </w:rPr>
              <w:t>$1,604.46</w:t>
            </w:r>
          </w:p>
        </w:tc>
        <w:tc>
          <w:tcPr>
            <w:tcW w:type="dxa" w:w="1400"/>
            <w:tcMar>
              <w:top w:w="80" w:type="dxa"/>
              <w:start w:w="120" w:type="dxa"/>
              <w:bottom w:w="80" w:type="dxa"/>
              <w:end w:w="120" w:type="dxa"/>
            </w:tcMar>
            <w:vAlign w:val="center"/>
          </w:tcPr>
          <w:p>
            <w:r>
              <w:rPr>
                <w:rFonts w:ascii="Calibri" w:hAnsi="Calibri"/>
                <w:b w:val="0"/>
                <w:i w:val="0"/>
                <w:color w:val="1F2937"/>
                <w:sz w:val="14"/>
              </w:rPr>
              <w:t>TRY 75,425.24</w:t>
            </w:r>
          </w:p>
        </w:tc>
        <w:tc>
          <w:tcPr>
            <w:tcW w:type="dxa" w:w="1460"/>
            <w:tcMar>
              <w:top w:w="80" w:type="dxa"/>
              <w:start w:w="120" w:type="dxa"/>
              <w:bottom w:w="80" w:type="dxa"/>
              <w:end w:w="120" w:type="dxa"/>
            </w:tcMar>
            <w:vAlign w:val="center"/>
          </w:tcPr>
          <w:p>
            <w:r>
              <w:rPr>
                <w:rFonts w:ascii="Calibri" w:hAnsi="Calibri"/>
                <w:b w:val="0"/>
                <w:i w:val="0"/>
                <w:color w:val="1F2937"/>
                <w:sz w:val="14"/>
              </w:rPr>
              <w:t>TRY 90,510.29</w:t>
            </w:r>
          </w:p>
        </w:tc>
      </w:tr>
    </w:tbl>
    <w:p>
      <w:pPr>
        <w:pStyle w:val="CaptionSmall"/>
      </w:pPr>
      <w:r>
        <w:rPr>
          <w:rFonts w:ascii="Calibri" w:hAnsi="Calibri"/>
          <w:b w:val="0"/>
          <w:i w:val="0"/>
          <w:color w:val="1F2937"/>
          <w:sz w:val="20"/>
        </w:rPr>
        <w:t>The TRY conversions above are planning views only. The actual card/bank exchange rate, tax, spread and invoice date can differ.</w:t>
      </w:r>
    </w:p>
    <w:p>
      <w:pPr>
        <w:pStyle w:val="Heading2"/>
      </w:pPr>
      <w:r>
        <w:t>6.2 Known local TRY and transaction-linked TRY</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700"/>
        <w:gridCol w:w="1400"/>
        <w:gridCol w:w="1450"/>
        <w:gridCol w:w="1450"/>
        <w:gridCol w:w="1100"/>
        <w:gridCol w:w="1680"/>
        <w:gridCol w:w="1580"/>
      </w:tblGrid>
      <w:tr>
        <w:trPr>
          <w:cantSplit/>
          <w:tblHeader w:val="true"/>
          <w:cantSplit/>
        </w:trPr>
        <w:tc>
          <w:tcPr>
            <w:tcW w:type="dxa" w:w="700"/>
            <w:shd w:fill="102A43"/>
            <w:tcMar>
              <w:top w:w="80" w:type="dxa"/>
              <w:start w:w="120" w:type="dxa"/>
              <w:bottom w:w="80" w:type="dxa"/>
              <w:end w:w="120" w:type="dxa"/>
            </w:tcMar>
            <w:vAlign w:val="center"/>
          </w:tcPr>
          <w:p>
            <w:r>
              <w:rPr>
                <w:rFonts w:ascii="Calibri" w:hAnsi="Calibri"/>
                <w:b/>
                <w:i w:val="0"/>
                <w:color w:val="FFFFFF"/>
                <w:sz w:val="15"/>
              </w:rPr>
              <w:t>MAU</w:t>
            </w:r>
          </w:p>
        </w:tc>
        <w:tc>
          <w:tcPr>
            <w:tcW w:type="dxa" w:w="1400"/>
            <w:shd w:fill="102A43"/>
            <w:tcMar>
              <w:top w:w="80" w:type="dxa"/>
              <w:start w:w="120" w:type="dxa"/>
              <w:bottom w:w="80" w:type="dxa"/>
              <w:end w:w="120" w:type="dxa"/>
            </w:tcMar>
            <w:vAlign w:val="center"/>
          </w:tcPr>
          <w:p>
            <w:r>
              <w:rPr>
                <w:rFonts w:ascii="Calibri" w:hAnsi="Calibri"/>
                <w:b/>
                <w:i w:val="0"/>
                <w:color w:val="FFFFFF"/>
                <w:sz w:val="15"/>
              </w:rPr>
              <w:t>OTP package / mo.</w:t>
            </w:r>
          </w:p>
        </w:tc>
        <w:tc>
          <w:tcPr>
            <w:tcW w:type="dxa" w:w="1450"/>
            <w:shd w:fill="102A43"/>
            <w:tcMar>
              <w:top w:w="80" w:type="dxa"/>
              <w:start w:w="120" w:type="dxa"/>
              <w:bottom w:w="80" w:type="dxa"/>
              <w:end w:w="120" w:type="dxa"/>
            </w:tcMar>
            <w:vAlign w:val="center"/>
          </w:tcPr>
          <w:p>
            <w:r>
              <w:rPr>
                <w:rFonts w:ascii="Calibri" w:hAnsi="Calibri"/>
                <w:b/>
                <w:i w:val="0"/>
                <w:color w:val="FFFFFF"/>
                <w:sz w:val="15"/>
              </w:rPr>
              <w:t>Certificate / mo.</w:t>
            </w:r>
          </w:p>
        </w:tc>
        <w:tc>
          <w:tcPr>
            <w:tcW w:type="dxa" w:w="1450"/>
            <w:shd w:fill="102A43"/>
            <w:tcMar>
              <w:top w:w="80" w:type="dxa"/>
              <w:start w:w="120" w:type="dxa"/>
              <w:bottom w:w="80" w:type="dxa"/>
              <w:end w:w="120" w:type="dxa"/>
            </w:tcMar>
            <w:vAlign w:val="center"/>
          </w:tcPr>
          <w:p>
            <w:r>
              <w:rPr>
                <w:rFonts w:ascii="Calibri" w:hAnsi="Calibri"/>
                <w:b/>
                <w:i w:val="0"/>
                <w:color w:val="FFFFFF"/>
                <w:sz w:val="15"/>
              </w:rPr>
              <w:t>e-doc credits / mo.</w:t>
            </w:r>
          </w:p>
        </w:tc>
        <w:tc>
          <w:tcPr>
            <w:tcW w:type="dxa" w:w="1100"/>
            <w:shd w:fill="102A43"/>
            <w:tcMar>
              <w:top w:w="80" w:type="dxa"/>
              <w:start w:w="120" w:type="dxa"/>
              <w:bottom w:w="80" w:type="dxa"/>
              <w:end w:w="120" w:type="dxa"/>
            </w:tcMar>
            <w:vAlign w:val="center"/>
          </w:tcPr>
          <w:p>
            <w:r>
              <w:rPr>
                <w:rFonts w:ascii="Calibri" w:hAnsi="Calibri"/>
                <w:b/>
                <w:i w:val="0"/>
                <w:color w:val="FFFFFF"/>
                <w:sz w:val="15"/>
              </w:rPr>
              <w:t>e-sign / mo.</w:t>
            </w:r>
          </w:p>
        </w:tc>
        <w:tc>
          <w:tcPr>
            <w:tcW w:type="dxa" w:w="1680"/>
            <w:shd w:fill="102A43"/>
            <w:tcMar>
              <w:top w:w="80" w:type="dxa"/>
              <w:start w:w="120" w:type="dxa"/>
              <w:bottom w:w="80" w:type="dxa"/>
              <w:end w:w="120" w:type="dxa"/>
            </w:tcMar>
            <w:vAlign w:val="center"/>
          </w:tcPr>
          <w:p>
            <w:r>
              <w:rPr>
                <w:rFonts w:ascii="Calibri" w:hAnsi="Calibri"/>
                <w:b/>
                <w:i w:val="0"/>
                <w:color w:val="FFFFFF"/>
                <w:sz w:val="15"/>
              </w:rPr>
              <w:t>Known local run-rate</w:t>
            </w:r>
          </w:p>
        </w:tc>
        <w:tc>
          <w:tcPr>
            <w:tcW w:type="dxa" w:w="1580"/>
            <w:shd w:fill="102A43"/>
            <w:tcMar>
              <w:top w:w="80" w:type="dxa"/>
              <w:start w:w="120" w:type="dxa"/>
              <w:bottom w:w="80" w:type="dxa"/>
              <w:end w:w="120" w:type="dxa"/>
            </w:tcMar>
            <w:vAlign w:val="center"/>
          </w:tcPr>
          <w:p>
            <w:r>
              <w:rPr>
                <w:rFonts w:ascii="Calibri" w:hAnsi="Calibri"/>
                <w:b/>
                <w:i w:val="0"/>
                <w:color w:val="FFFFFF"/>
                <w:sz w:val="15"/>
              </w:rPr>
              <w:t>iyzico fee / mo.</w:t>
            </w:r>
          </w:p>
        </w:tc>
      </w:tr>
      <w:tr>
        <w:trPr>
          <w:cantSplit/>
        </w:trPr>
        <w:tc>
          <w:tcPr>
            <w:tcW w:type="dxa" w:w="700"/>
            <w:tcMar>
              <w:top w:w="80" w:type="dxa"/>
              <w:start w:w="120" w:type="dxa"/>
              <w:bottom w:w="80" w:type="dxa"/>
              <w:end w:w="120" w:type="dxa"/>
            </w:tcMar>
            <w:vAlign w:val="center"/>
          </w:tcPr>
          <w:p>
            <w:r>
              <w:rPr>
                <w:rFonts w:ascii="Calibri" w:hAnsi="Calibri"/>
                <w:b w:val="0"/>
                <w:i w:val="0"/>
                <w:color w:val="1F2937"/>
                <w:sz w:val="15"/>
              </w:rPr>
              <w:t>1,000</w:t>
            </w:r>
          </w:p>
        </w:tc>
        <w:tc>
          <w:tcPr>
            <w:tcW w:type="dxa" w:w="1400"/>
            <w:tcMar>
              <w:top w:w="80" w:type="dxa"/>
              <w:start w:w="120" w:type="dxa"/>
              <w:bottom w:w="80" w:type="dxa"/>
              <w:end w:w="120" w:type="dxa"/>
            </w:tcMar>
            <w:vAlign w:val="center"/>
          </w:tcPr>
          <w:p>
            <w:r>
              <w:rPr>
                <w:rFonts w:ascii="Calibri" w:hAnsi="Calibri"/>
                <w:b w:val="0"/>
                <w:i w:val="0"/>
                <w:color w:val="1F2937"/>
                <w:sz w:val="15"/>
              </w:rPr>
              <w:t>TRY 598.33</w:t>
            </w:r>
          </w:p>
        </w:tc>
        <w:tc>
          <w:tcPr>
            <w:tcW w:type="dxa" w:w="1450"/>
            <w:tcMar>
              <w:top w:w="80" w:type="dxa"/>
              <w:start w:w="120" w:type="dxa"/>
              <w:bottom w:w="80" w:type="dxa"/>
              <w:end w:w="120" w:type="dxa"/>
            </w:tcMar>
            <w:vAlign w:val="center"/>
          </w:tcPr>
          <w:p>
            <w:r>
              <w:rPr>
                <w:rFonts w:ascii="Calibri" w:hAnsi="Calibri"/>
                <w:b w:val="0"/>
                <w:i w:val="0"/>
                <w:color w:val="1F2937"/>
                <w:sz w:val="15"/>
              </w:rPr>
              <w:t>TRY 3,333.33</w:t>
            </w:r>
          </w:p>
        </w:tc>
        <w:tc>
          <w:tcPr>
            <w:tcW w:type="dxa" w:w="1450"/>
            <w:tcMar>
              <w:top w:w="80" w:type="dxa"/>
              <w:start w:w="120" w:type="dxa"/>
              <w:bottom w:w="80" w:type="dxa"/>
              <w:end w:w="120" w:type="dxa"/>
            </w:tcMar>
            <w:vAlign w:val="center"/>
          </w:tcPr>
          <w:p>
            <w:r>
              <w:rPr>
                <w:rFonts w:ascii="Calibri" w:hAnsi="Calibri"/>
                <w:b w:val="0"/>
                <w:i w:val="0"/>
                <w:color w:val="1F2937"/>
                <w:sz w:val="15"/>
              </w:rPr>
              <w:t>TRY 198.00</w:t>
            </w:r>
          </w:p>
        </w:tc>
        <w:tc>
          <w:tcPr>
            <w:tcW w:type="dxa" w:w="1100"/>
            <w:tcMar>
              <w:top w:w="80" w:type="dxa"/>
              <w:start w:w="120" w:type="dxa"/>
              <w:bottom w:w="80" w:type="dxa"/>
              <w:end w:w="120" w:type="dxa"/>
            </w:tcMar>
            <w:vAlign w:val="center"/>
          </w:tcPr>
          <w:p>
            <w:r>
              <w:rPr>
                <w:rFonts w:ascii="Calibri" w:hAnsi="Calibri"/>
                <w:b w:val="0"/>
                <w:i w:val="0"/>
                <w:color w:val="1F2937"/>
                <w:sz w:val="15"/>
              </w:rPr>
              <w:t>TRY 83.06</w:t>
            </w:r>
          </w:p>
        </w:tc>
        <w:tc>
          <w:tcPr>
            <w:tcW w:type="dxa" w:w="1680"/>
            <w:tcMar>
              <w:top w:w="80" w:type="dxa"/>
              <w:start w:w="120" w:type="dxa"/>
              <w:bottom w:w="80" w:type="dxa"/>
              <w:end w:w="120" w:type="dxa"/>
            </w:tcMar>
            <w:vAlign w:val="center"/>
          </w:tcPr>
          <w:p>
            <w:r>
              <w:rPr>
                <w:rFonts w:ascii="Calibri" w:hAnsi="Calibri"/>
                <w:b w:val="0"/>
                <w:i w:val="0"/>
                <w:color w:val="1F2937"/>
                <w:sz w:val="15"/>
              </w:rPr>
              <w:t>TRY 4,212.72</w:t>
            </w:r>
          </w:p>
        </w:tc>
        <w:tc>
          <w:tcPr>
            <w:tcW w:type="dxa" w:w="1580"/>
            <w:tcMar>
              <w:top w:w="80" w:type="dxa"/>
              <w:start w:w="120" w:type="dxa"/>
              <w:bottom w:w="80" w:type="dxa"/>
              <w:end w:w="120" w:type="dxa"/>
            </w:tcMar>
            <w:vAlign w:val="center"/>
          </w:tcPr>
          <w:p>
            <w:r>
              <w:rPr>
                <w:rFonts w:ascii="Calibri" w:hAnsi="Calibri"/>
                <w:b w:val="0"/>
                <w:i w:val="0"/>
                <w:color w:val="1F2937"/>
                <w:sz w:val="15"/>
              </w:rPr>
              <w:t>TRY 10,737.50</w:t>
            </w:r>
          </w:p>
        </w:tc>
      </w:tr>
      <w:tr>
        <w:trPr>
          <w:cantSplit/>
        </w:trPr>
        <w:tc>
          <w:tcPr>
            <w:tcW w:type="dxa" w:w="700"/>
            <w:shd w:fill="F8FAFC"/>
            <w:tcMar>
              <w:top w:w="80" w:type="dxa"/>
              <w:start w:w="120" w:type="dxa"/>
              <w:bottom w:w="80" w:type="dxa"/>
              <w:end w:w="120" w:type="dxa"/>
            </w:tcMar>
            <w:vAlign w:val="center"/>
          </w:tcPr>
          <w:p>
            <w:r>
              <w:rPr>
                <w:rFonts w:ascii="Calibri" w:hAnsi="Calibri"/>
                <w:b w:val="0"/>
                <w:i w:val="0"/>
                <w:color w:val="1F2937"/>
                <w:sz w:val="15"/>
              </w:rPr>
              <w:t>5,000</w:t>
            </w:r>
          </w:p>
        </w:tc>
        <w:tc>
          <w:tcPr>
            <w:tcW w:type="dxa" w:w="1400"/>
            <w:shd w:fill="F8FAFC"/>
            <w:tcMar>
              <w:top w:w="80" w:type="dxa"/>
              <w:start w:w="120" w:type="dxa"/>
              <w:bottom w:w="80" w:type="dxa"/>
              <w:end w:w="120" w:type="dxa"/>
            </w:tcMar>
            <w:vAlign w:val="center"/>
          </w:tcPr>
          <w:p>
            <w:r>
              <w:rPr>
                <w:rFonts w:ascii="Calibri" w:hAnsi="Calibri"/>
                <w:b w:val="0"/>
                <w:i w:val="0"/>
                <w:color w:val="1F2937"/>
                <w:sz w:val="15"/>
              </w:rPr>
              <w:t>TRY 2,790.00</w:t>
            </w:r>
          </w:p>
        </w:tc>
        <w:tc>
          <w:tcPr>
            <w:tcW w:type="dxa" w:w="1450"/>
            <w:shd w:fill="F8FAFC"/>
            <w:tcMar>
              <w:top w:w="80" w:type="dxa"/>
              <w:start w:w="120" w:type="dxa"/>
              <w:bottom w:w="80" w:type="dxa"/>
              <w:end w:w="120" w:type="dxa"/>
            </w:tcMar>
            <w:vAlign w:val="center"/>
          </w:tcPr>
          <w:p>
            <w:r>
              <w:rPr>
                <w:rFonts w:ascii="Calibri" w:hAnsi="Calibri"/>
                <w:b w:val="0"/>
                <w:i w:val="0"/>
                <w:color w:val="1F2937"/>
                <w:sz w:val="15"/>
              </w:rPr>
              <w:t>TRY 3,333.33</w:t>
            </w:r>
          </w:p>
        </w:tc>
        <w:tc>
          <w:tcPr>
            <w:tcW w:type="dxa" w:w="1450"/>
            <w:shd w:fill="F8FAFC"/>
            <w:tcMar>
              <w:top w:w="80" w:type="dxa"/>
              <w:start w:w="120" w:type="dxa"/>
              <w:bottom w:w="80" w:type="dxa"/>
              <w:end w:w="120" w:type="dxa"/>
            </w:tcMar>
            <w:vAlign w:val="center"/>
          </w:tcPr>
          <w:p>
            <w:r>
              <w:rPr>
                <w:rFonts w:ascii="Calibri" w:hAnsi="Calibri"/>
                <w:b w:val="0"/>
                <w:i w:val="0"/>
                <w:color w:val="1F2937"/>
                <w:sz w:val="15"/>
              </w:rPr>
              <w:t>TRY 990.00</w:t>
            </w:r>
          </w:p>
        </w:tc>
        <w:tc>
          <w:tcPr>
            <w:tcW w:type="dxa" w:w="1100"/>
            <w:shd w:fill="F8FAFC"/>
            <w:tcMar>
              <w:top w:w="80" w:type="dxa"/>
              <w:start w:w="120" w:type="dxa"/>
              <w:bottom w:w="80" w:type="dxa"/>
              <w:end w:w="120" w:type="dxa"/>
            </w:tcMar>
            <w:vAlign w:val="center"/>
          </w:tcPr>
          <w:p>
            <w:r>
              <w:rPr>
                <w:rFonts w:ascii="Calibri" w:hAnsi="Calibri"/>
                <w:b w:val="0"/>
                <w:i w:val="0"/>
                <w:color w:val="1F2937"/>
                <w:sz w:val="15"/>
              </w:rPr>
              <w:t>TRY 83.06</w:t>
            </w:r>
          </w:p>
        </w:tc>
        <w:tc>
          <w:tcPr>
            <w:tcW w:type="dxa" w:w="1680"/>
            <w:shd w:fill="F8FAFC"/>
            <w:tcMar>
              <w:top w:w="80" w:type="dxa"/>
              <w:start w:w="120" w:type="dxa"/>
              <w:bottom w:w="80" w:type="dxa"/>
              <w:end w:w="120" w:type="dxa"/>
            </w:tcMar>
            <w:vAlign w:val="center"/>
          </w:tcPr>
          <w:p>
            <w:r>
              <w:rPr>
                <w:rFonts w:ascii="Calibri" w:hAnsi="Calibri"/>
                <w:b w:val="0"/>
                <w:i w:val="0"/>
                <w:color w:val="1F2937"/>
                <w:sz w:val="15"/>
              </w:rPr>
              <w:t>TRY 7,196.39</w:t>
            </w:r>
          </w:p>
        </w:tc>
        <w:tc>
          <w:tcPr>
            <w:tcW w:type="dxa" w:w="1580"/>
            <w:shd w:fill="F8FAFC"/>
            <w:tcMar>
              <w:top w:w="80" w:type="dxa"/>
              <w:start w:w="120" w:type="dxa"/>
              <w:bottom w:w="80" w:type="dxa"/>
              <w:end w:w="120" w:type="dxa"/>
            </w:tcMar>
            <w:vAlign w:val="center"/>
          </w:tcPr>
          <w:p>
            <w:r>
              <w:rPr>
                <w:rFonts w:ascii="Calibri" w:hAnsi="Calibri"/>
                <w:b w:val="0"/>
                <w:i w:val="0"/>
                <w:color w:val="1F2937"/>
                <w:sz w:val="15"/>
              </w:rPr>
              <w:t>TRY 53,687.50</w:t>
            </w:r>
          </w:p>
        </w:tc>
      </w:tr>
      <w:tr>
        <w:trPr>
          <w:cantSplit/>
        </w:trPr>
        <w:tc>
          <w:tcPr>
            <w:tcW w:type="dxa" w:w="700"/>
            <w:tcMar>
              <w:top w:w="80" w:type="dxa"/>
              <w:start w:w="120" w:type="dxa"/>
              <w:bottom w:w="80" w:type="dxa"/>
              <w:end w:w="120" w:type="dxa"/>
            </w:tcMar>
            <w:vAlign w:val="center"/>
          </w:tcPr>
          <w:p>
            <w:r>
              <w:rPr>
                <w:rFonts w:ascii="Calibri" w:hAnsi="Calibri"/>
                <w:b w:val="0"/>
                <w:i w:val="0"/>
                <w:color w:val="1F2937"/>
                <w:sz w:val="15"/>
              </w:rPr>
              <w:t>10,000</w:t>
            </w:r>
          </w:p>
        </w:tc>
        <w:tc>
          <w:tcPr>
            <w:tcW w:type="dxa" w:w="1400"/>
            <w:tcMar>
              <w:top w:w="80" w:type="dxa"/>
              <w:start w:w="120" w:type="dxa"/>
              <w:bottom w:w="80" w:type="dxa"/>
              <w:end w:w="120" w:type="dxa"/>
            </w:tcMar>
            <w:vAlign w:val="center"/>
          </w:tcPr>
          <w:p>
            <w:r>
              <w:rPr>
                <w:rFonts w:ascii="Calibri" w:hAnsi="Calibri"/>
                <w:b w:val="0"/>
                <w:i w:val="0"/>
                <w:color w:val="1F2937"/>
                <w:sz w:val="15"/>
              </w:rPr>
              <w:t>TRY 5,580.00</w:t>
            </w:r>
          </w:p>
        </w:tc>
        <w:tc>
          <w:tcPr>
            <w:tcW w:type="dxa" w:w="1450"/>
            <w:tcMar>
              <w:top w:w="80" w:type="dxa"/>
              <w:start w:w="120" w:type="dxa"/>
              <w:bottom w:w="80" w:type="dxa"/>
              <w:end w:w="120" w:type="dxa"/>
            </w:tcMar>
            <w:vAlign w:val="center"/>
          </w:tcPr>
          <w:p>
            <w:r>
              <w:rPr>
                <w:rFonts w:ascii="Calibri" w:hAnsi="Calibri"/>
                <w:b w:val="0"/>
                <w:i w:val="0"/>
                <w:color w:val="1F2937"/>
                <w:sz w:val="15"/>
              </w:rPr>
              <w:t>TRY 3,333.33</w:t>
            </w:r>
          </w:p>
        </w:tc>
        <w:tc>
          <w:tcPr>
            <w:tcW w:type="dxa" w:w="1450"/>
            <w:tcMar>
              <w:top w:w="80" w:type="dxa"/>
              <w:start w:w="120" w:type="dxa"/>
              <w:bottom w:w="80" w:type="dxa"/>
              <w:end w:w="120" w:type="dxa"/>
            </w:tcMar>
            <w:vAlign w:val="center"/>
          </w:tcPr>
          <w:p>
            <w:r>
              <w:rPr>
                <w:rFonts w:ascii="Calibri" w:hAnsi="Calibri"/>
                <w:b w:val="0"/>
                <w:i w:val="0"/>
                <w:color w:val="1F2937"/>
                <w:sz w:val="15"/>
              </w:rPr>
              <w:t>TRY 1,980.00</w:t>
            </w:r>
          </w:p>
        </w:tc>
        <w:tc>
          <w:tcPr>
            <w:tcW w:type="dxa" w:w="1100"/>
            <w:tcMar>
              <w:top w:w="80" w:type="dxa"/>
              <w:start w:w="120" w:type="dxa"/>
              <w:bottom w:w="80" w:type="dxa"/>
              <w:end w:w="120" w:type="dxa"/>
            </w:tcMar>
            <w:vAlign w:val="center"/>
          </w:tcPr>
          <w:p>
            <w:r>
              <w:rPr>
                <w:rFonts w:ascii="Calibri" w:hAnsi="Calibri"/>
                <w:b w:val="0"/>
                <w:i w:val="0"/>
                <w:color w:val="1F2937"/>
                <w:sz w:val="15"/>
              </w:rPr>
              <w:t>TRY 83.06</w:t>
            </w:r>
          </w:p>
        </w:tc>
        <w:tc>
          <w:tcPr>
            <w:tcW w:type="dxa" w:w="1680"/>
            <w:tcMar>
              <w:top w:w="80" w:type="dxa"/>
              <w:start w:w="120" w:type="dxa"/>
              <w:bottom w:w="80" w:type="dxa"/>
              <w:end w:w="120" w:type="dxa"/>
            </w:tcMar>
            <w:vAlign w:val="center"/>
          </w:tcPr>
          <w:p>
            <w:r>
              <w:rPr>
                <w:rFonts w:ascii="Calibri" w:hAnsi="Calibri"/>
                <w:b w:val="0"/>
                <w:i w:val="0"/>
                <w:color w:val="1F2937"/>
                <w:sz w:val="15"/>
              </w:rPr>
              <w:t>TRY 10,976.39</w:t>
            </w:r>
          </w:p>
        </w:tc>
        <w:tc>
          <w:tcPr>
            <w:tcW w:type="dxa" w:w="1580"/>
            <w:tcMar>
              <w:top w:w="80" w:type="dxa"/>
              <w:start w:w="120" w:type="dxa"/>
              <w:bottom w:w="80" w:type="dxa"/>
              <w:end w:w="120" w:type="dxa"/>
            </w:tcMar>
            <w:vAlign w:val="center"/>
          </w:tcPr>
          <w:p>
            <w:r>
              <w:rPr>
                <w:rFonts w:ascii="Calibri" w:hAnsi="Calibri"/>
                <w:b w:val="0"/>
                <w:i w:val="0"/>
                <w:color w:val="1F2937"/>
                <w:sz w:val="15"/>
              </w:rPr>
              <w:t>TRY 107,375.00</w:t>
            </w:r>
          </w:p>
        </w:tc>
      </w:tr>
    </w:tbl>
    <w:p>
      <w:pPr>
        <w:pStyle w:val="CaptionSmall"/>
      </w:pPr>
      <w:r>
        <w:rPr>
          <w:rFonts w:ascii="Calibri" w:hAnsi="Calibri"/>
          <w:b w:val="0"/>
          <w:i w:val="0"/>
          <w:color w:val="1F2937"/>
          <w:sz w:val="20"/>
        </w:rPr>
        <w:t>e-Document pricing uses an optional Paraşüt private-integrator example including 20% VAT. GİB Portal/direct integration routes are also permitted; a paid integrator is not automatically mandatory. The annual authorisation fee is modelled for one qualifying certificate only.</w:t>
      </w:r>
    </w:p>
    <w:p>
      <w:pPr>
        <w:jc w:val="center"/>
      </w:pPr>
      <w:r>
        <w:drawing>
          <wp:inline xmlns:a="http://schemas.openxmlformats.org/drawingml/2006/main" xmlns:pic="http://schemas.openxmlformats.org/drawingml/2006/picture">
            <wp:extent cx="5715000" cy="3020786"/>
            <wp:docPr id="2" name="Payment fee at scale" title="Payment fee at scale" descr="Line chart showing iyzico fees at 1,000, 5,000 and 10,000 users under the default 5 percent payer and TRY 5,000 transaction assumptions."/>
            <wp:cNvGraphicFramePr>
              <a:graphicFrameLocks noChangeAspect="1"/>
            </wp:cNvGraphicFramePr>
            <a:graphic>
              <a:graphicData uri="http://schemas.openxmlformats.org/drawingml/2006/picture">
                <pic:pic>
                  <pic:nvPicPr>
                    <pic:cNvPr id="0" name="payment-scale.png"/>
                    <pic:cNvPicPr/>
                  </pic:nvPicPr>
                  <pic:blipFill>
                    <a:blip r:embed="rId21"/>
                    <a:stretch>
                      <a:fillRect/>
                    </a:stretch>
                  </pic:blipFill>
                  <pic:spPr>
                    <a:xfrm>
                      <a:off x="0" y="0"/>
                      <a:ext cx="5715000" cy="3020786"/>
                    </a:xfrm>
                    <a:prstGeom prst="rect"/>
                  </pic:spPr>
                </pic:pic>
              </a:graphicData>
            </a:graphic>
          </wp:inline>
        </w:drawing>
      </w:r>
    </w:p>
    <w:p>
      <w:pPr>
        <w:pStyle w:val="CaptionSmall"/>
        <w:jc w:val="center"/>
      </w:pPr>
      <w:r>
        <w:t>Figure 2 — Transaction cost rises with payment turnover. Ordinary Virtual POS is separate from the statutory Secure Property Payment System.</w:t>
      </w:r>
    </w:p>
    <w:p>
      <w:pPr>
        <w:pStyle w:val="Heading2"/>
      </w:pPr>
      <w:r>
        <w:t>6.3 Worked payment economics</w:t>
      </w:r>
    </w:p>
    <w:p>
      <w:r>
        <w:rPr>
          <w:rFonts w:ascii="Calibri" w:hAnsi="Calibri"/>
          <w:b w:val="0"/>
          <w:i w:val="0"/>
          <w:color w:val="1F2937"/>
          <w:sz w:val="20"/>
        </w:rPr>
        <w:t>At the public iyzico rate, fee = GMV × 4.29% + successful transactions × TRY 0.25. Under the default business assumption: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100"/>
        <w:gridCol w:w="1600"/>
        <w:gridCol w:w="2000"/>
        <w:gridCol w:w="1900"/>
        <w:gridCol w:w="2760"/>
      </w:tblGrid>
      <w:tr>
        <w:trPr>
          <w:cantSplit/>
          <w:tblHeader w:val="true"/>
          <w:cantSplit/>
        </w:trPr>
        <w:tc>
          <w:tcPr>
            <w:tcW w:type="dxa" w:w="1100"/>
            <w:shd w:fill="102A43"/>
            <w:tcMar>
              <w:top w:w="80" w:type="dxa"/>
              <w:start w:w="120" w:type="dxa"/>
              <w:bottom w:w="80" w:type="dxa"/>
              <w:end w:w="120" w:type="dxa"/>
            </w:tcMar>
            <w:vAlign w:val="center"/>
          </w:tcPr>
          <w:p>
            <w:r>
              <w:rPr>
                <w:rFonts w:ascii="Calibri" w:hAnsi="Calibri"/>
                <w:b/>
                <w:i w:val="0"/>
                <w:color w:val="FFFFFF"/>
                <w:sz w:val="16"/>
              </w:rPr>
              <w:t>Users</w:t>
            </w:r>
          </w:p>
        </w:tc>
        <w:tc>
          <w:tcPr>
            <w:tcW w:type="dxa" w:w="1600"/>
            <w:shd w:fill="102A43"/>
            <w:tcMar>
              <w:top w:w="80" w:type="dxa"/>
              <w:start w:w="120" w:type="dxa"/>
              <w:bottom w:w="80" w:type="dxa"/>
              <w:end w:w="120" w:type="dxa"/>
            </w:tcMar>
            <w:vAlign w:val="center"/>
          </w:tcPr>
          <w:p>
            <w:r>
              <w:rPr>
                <w:rFonts w:ascii="Calibri" w:hAnsi="Calibri"/>
                <w:b/>
                <w:i w:val="0"/>
                <w:color w:val="FFFFFF"/>
                <w:sz w:val="16"/>
              </w:rPr>
              <w:t>Payers / transactions</w:t>
            </w:r>
          </w:p>
        </w:tc>
        <w:tc>
          <w:tcPr>
            <w:tcW w:type="dxa" w:w="2000"/>
            <w:shd w:fill="102A43"/>
            <w:tcMar>
              <w:top w:w="80" w:type="dxa"/>
              <w:start w:w="120" w:type="dxa"/>
              <w:bottom w:w="80" w:type="dxa"/>
              <w:end w:w="120" w:type="dxa"/>
            </w:tcMar>
            <w:vAlign w:val="center"/>
          </w:tcPr>
          <w:p>
            <w:r>
              <w:rPr>
                <w:rFonts w:ascii="Calibri" w:hAnsi="Calibri"/>
                <w:b/>
                <w:i w:val="0"/>
                <w:color w:val="FFFFFF"/>
                <w:sz w:val="16"/>
              </w:rPr>
              <w:t>Monthly GMV</w:t>
            </w:r>
          </w:p>
        </w:tc>
        <w:tc>
          <w:tcPr>
            <w:tcW w:type="dxa" w:w="1900"/>
            <w:shd w:fill="102A43"/>
            <w:tcMar>
              <w:top w:w="80" w:type="dxa"/>
              <w:start w:w="120" w:type="dxa"/>
              <w:bottom w:w="80" w:type="dxa"/>
              <w:end w:w="120" w:type="dxa"/>
            </w:tcMar>
            <w:vAlign w:val="center"/>
          </w:tcPr>
          <w:p>
            <w:r>
              <w:rPr>
                <w:rFonts w:ascii="Calibri" w:hAnsi="Calibri"/>
                <w:b/>
                <w:i w:val="0"/>
                <w:color w:val="FFFFFF"/>
                <w:sz w:val="16"/>
              </w:rPr>
              <w:t>Provider fee</w:t>
            </w:r>
          </w:p>
        </w:tc>
        <w:tc>
          <w:tcPr>
            <w:tcW w:type="dxa" w:w="2760"/>
            <w:shd w:fill="102A43"/>
            <w:tcMar>
              <w:top w:w="80" w:type="dxa"/>
              <w:start w:w="120" w:type="dxa"/>
              <w:bottom w:w="80" w:type="dxa"/>
              <w:end w:w="120" w:type="dxa"/>
            </w:tcMar>
            <w:vAlign w:val="center"/>
          </w:tcPr>
          <w:p>
            <w:r>
              <w:rPr>
                <w:rFonts w:ascii="Calibri" w:hAnsi="Calibri"/>
                <w:b/>
                <w:i w:val="0"/>
                <w:color w:val="FFFFFF"/>
                <w:sz w:val="16"/>
              </w:rPr>
              <w:t>Net settlement before tax/refunds</w:t>
            </w:r>
          </w:p>
        </w:tc>
      </w:tr>
      <w:tr>
        <w:trPr>
          <w:cantSplit/>
        </w:trPr>
        <w:tc>
          <w:tcPr>
            <w:tcW w:type="dxa" w:w="1100"/>
            <w:tcMar>
              <w:top w:w="80" w:type="dxa"/>
              <w:start w:w="120" w:type="dxa"/>
              <w:bottom w:w="80" w:type="dxa"/>
              <w:end w:w="120" w:type="dxa"/>
            </w:tcMar>
            <w:vAlign w:val="center"/>
          </w:tcPr>
          <w:p>
            <w:r>
              <w:rPr>
                <w:rFonts w:ascii="Calibri" w:hAnsi="Calibri"/>
                <w:b w:val="0"/>
                <w:i w:val="0"/>
                <w:color w:val="1F2937"/>
                <w:sz w:val="16"/>
              </w:rPr>
              <w:t>1,000</w:t>
            </w:r>
          </w:p>
        </w:tc>
        <w:tc>
          <w:tcPr>
            <w:tcW w:type="dxa" w:w="1600"/>
            <w:tcMar>
              <w:top w:w="80" w:type="dxa"/>
              <w:start w:w="120" w:type="dxa"/>
              <w:bottom w:w="80" w:type="dxa"/>
              <w:end w:w="120" w:type="dxa"/>
            </w:tcMar>
            <w:vAlign w:val="center"/>
          </w:tcPr>
          <w:p>
            <w:r>
              <w:rPr>
                <w:rFonts w:ascii="Calibri" w:hAnsi="Calibri"/>
                <w:b w:val="0"/>
                <w:i w:val="0"/>
                <w:color w:val="1F2937"/>
                <w:sz w:val="16"/>
              </w:rPr>
              <w:t>50</w:t>
            </w:r>
          </w:p>
        </w:tc>
        <w:tc>
          <w:tcPr>
            <w:tcW w:type="dxa" w:w="2000"/>
            <w:tcMar>
              <w:top w:w="80" w:type="dxa"/>
              <w:start w:w="120" w:type="dxa"/>
              <w:bottom w:w="80" w:type="dxa"/>
              <w:end w:w="120" w:type="dxa"/>
            </w:tcMar>
            <w:vAlign w:val="center"/>
          </w:tcPr>
          <w:p>
            <w:r>
              <w:rPr>
                <w:rFonts w:ascii="Calibri" w:hAnsi="Calibri"/>
                <w:b w:val="0"/>
                <w:i w:val="0"/>
                <w:color w:val="1F2937"/>
                <w:sz w:val="16"/>
              </w:rPr>
              <w:t>TRY 250,000</w:t>
            </w:r>
          </w:p>
        </w:tc>
        <w:tc>
          <w:tcPr>
            <w:tcW w:type="dxa" w:w="1900"/>
            <w:tcMar>
              <w:top w:w="80" w:type="dxa"/>
              <w:start w:w="120" w:type="dxa"/>
              <w:bottom w:w="80" w:type="dxa"/>
              <w:end w:w="120" w:type="dxa"/>
            </w:tcMar>
            <w:vAlign w:val="center"/>
          </w:tcPr>
          <w:p>
            <w:r>
              <w:rPr>
                <w:rFonts w:ascii="Calibri" w:hAnsi="Calibri"/>
                <w:b w:val="0"/>
                <w:i w:val="0"/>
                <w:color w:val="1F2937"/>
                <w:sz w:val="16"/>
              </w:rPr>
              <w:t>TRY 10,737.50</w:t>
            </w:r>
          </w:p>
        </w:tc>
        <w:tc>
          <w:tcPr>
            <w:tcW w:type="dxa" w:w="2760"/>
            <w:tcMar>
              <w:top w:w="80" w:type="dxa"/>
              <w:start w:w="120" w:type="dxa"/>
              <w:bottom w:w="80" w:type="dxa"/>
              <w:end w:w="120" w:type="dxa"/>
            </w:tcMar>
            <w:vAlign w:val="center"/>
          </w:tcPr>
          <w:p>
            <w:r>
              <w:rPr>
                <w:rFonts w:ascii="Calibri" w:hAnsi="Calibri"/>
                <w:b w:val="0"/>
                <w:i w:val="0"/>
                <w:color w:val="1F2937"/>
                <w:sz w:val="16"/>
              </w:rPr>
              <w:t>TRY 239,262.50</w:t>
            </w:r>
          </w:p>
        </w:tc>
      </w:tr>
      <w:tr>
        <w:trPr>
          <w:cantSplit/>
        </w:trPr>
        <w:tc>
          <w:tcPr>
            <w:tcW w:type="dxa" w:w="1100"/>
            <w:shd w:fill="F8FAFC"/>
            <w:tcMar>
              <w:top w:w="80" w:type="dxa"/>
              <w:start w:w="120" w:type="dxa"/>
              <w:bottom w:w="80" w:type="dxa"/>
              <w:end w:w="120" w:type="dxa"/>
            </w:tcMar>
            <w:vAlign w:val="center"/>
          </w:tcPr>
          <w:p>
            <w:r>
              <w:rPr>
                <w:rFonts w:ascii="Calibri" w:hAnsi="Calibri"/>
                <w:b w:val="0"/>
                <w:i w:val="0"/>
                <w:color w:val="1F2937"/>
                <w:sz w:val="16"/>
              </w:rPr>
              <w:t>5,000</w:t>
            </w:r>
          </w:p>
        </w:tc>
        <w:tc>
          <w:tcPr>
            <w:tcW w:type="dxa" w:w="1600"/>
            <w:shd w:fill="F8FAFC"/>
            <w:tcMar>
              <w:top w:w="80" w:type="dxa"/>
              <w:start w:w="120" w:type="dxa"/>
              <w:bottom w:w="80" w:type="dxa"/>
              <w:end w:w="120" w:type="dxa"/>
            </w:tcMar>
            <w:vAlign w:val="center"/>
          </w:tcPr>
          <w:p>
            <w:r>
              <w:rPr>
                <w:rFonts w:ascii="Calibri" w:hAnsi="Calibri"/>
                <w:b w:val="0"/>
                <w:i w:val="0"/>
                <w:color w:val="1F2937"/>
                <w:sz w:val="16"/>
              </w:rPr>
              <w:t>250</w:t>
            </w:r>
          </w:p>
        </w:tc>
        <w:tc>
          <w:tcPr>
            <w:tcW w:type="dxa" w:w="2000"/>
            <w:shd w:fill="F8FAFC"/>
            <w:tcMar>
              <w:top w:w="80" w:type="dxa"/>
              <w:start w:w="120" w:type="dxa"/>
              <w:bottom w:w="80" w:type="dxa"/>
              <w:end w:w="120" w:type="dxa"/>
            </w:tcMar>
            <w:vAlign w:val="center"/>
          </w:tcPr>
          <w:p>
            <w:r>
              <w:rPr>
                <w:rFonts w:ascii="Calibri" w:hAnsi="Calibri"/>
                <w:b w:val="0"/>
                <w:i w:val="0"/>
                <w:color w:val="1F2937"/>
                <w:sz w:val="16"/>
              </w:rPr>
              <w:t>TRY 1,250,000</w:t>
            </w:r>
          </w:p>
        </w:tc>
        <w:tc>
          <w:tcPr>
            <w:tcW w:type="dxa" w:w="1900"/>
            <w:shd w:fill="F8FAFC"/>
            <w:tcMar>
              <w:top w:w="80" w:type="dxa"/>
              <w:start w:w="120" w:type="dxa"/>
              <w:bottom w:w="80" w:type="dxa"/>
              <w:end w:w="120" w:type="dxa"/>
            </w:tcMar>
            <w:vAlign w:val="center"/>
          </w:tcPr>
          <w:p>
            <w:r>
              <w:rPr>
                <w:rFonts w:ascii="Calibri" w:hAnsi="Calibri"/>
                <w:b w:val="0"/>
                <w:i w:val="0"/>
                <w:color w:val="1F2937"/>
                <w:sz w:val="16"/>
              </w:rPr>
              <w:t>TRY 53,687.50</w:t>
            </w:r>
          </w:p>
        </w:tc>
        <w:tc>
          <w:tcPr>
            <w:tcW w:type="dxa" w:w="2760"/>
            <w:shd w:fill="F8FAFC"/>
            <w:tcMar>
              <w:top w:w="80" w:type="dxa"/>
              <w:start w:w="120" w:type="dxa"/>
              <w:bottom w:w="80" w:type="dxa"/>
              <w:end w:w="120" w:type="dxa"/>
            </w:tcMar>
            <w:vAlign w:val="center"/>
          </w:tcPr>
          <w:p>
            <w:r>
              <w:rPr>
                <w:rFonts w:ascii="Calibri" w:hAnsi="Calibri"/>
                <w:b w:val="0"/>
                <w:i w:val="0"/>
                <w:color w:val="1F2937"/>
                <w:sz w:val="16"/>
              </w:rPr>
              <w:t>TRY 1,196,312.50</w:t>
            </w:r>
          </w:p>
        </w:tc>
      </w:tr>
      <w:tr>
        <w:trPr>
          <w:cantSplit/>
        </w:trPr>
        <w:tc>
          <w:tcPr>
            <w:tcW w:type="dxa" w:w="1100"/>
            <w:tcMar>
              <w:top w:w="80" w:type="dxa"/>
              <w:start w:w="120" w:type="dxa"/>
              <w:bottom w:w="80" w:type="dxa"/>
              <w:end w:w="120" w:type="dxa"/>
            </w:tcMar>
            <w:vAlign w:val="center"/>
          </w:tcPr>
          <w:p>
            <w:r>
              <w:rPr>
                <w:rFonts w:ascii="Calibri" w:hAnsi="Calibri"/>
                <w:b w:val="0"/>
                <w:i w:val="0"/>
                <w:color w:val="1F2937"/>
                <w:sz w:val="16"/>
              </w:rPr>
              <w:t>10,000</w:t>
            </w:r>
          </w:p>
        </w:tc>
        <w:tc>
          <w:tcPr>
            <w:tcW w:type="dxa" w:w="1600"/>
            <w:tcMar>
              <w:top w:w="80" w:type="dxa"/>
              <w:start w:w="120" w:type="dxa"/>
              <w:bottom w:w="80" w:type="dxa"/>
              <w:end w:w="120" w:type="dxa"/>
            </w:tcMar>
            <w:vAlign w:val="center"/>
          </w:tcPr>
          <w:p>
            <w:r>
              <w:rPr>
                <w:rFonts w:ascii="Calibri" w:hAnsi="Calibri"/>
                <w:b w:val="0"/>
                <w:i w:val="0"/>
                <w:color w:val="1F2937"/>
                <w:sz w:val="16"/>
              </w:rPr>
              <w:t>500</w:t>
            </w:r>
          </w:p>
        </w:tc>
        <w:tc>
          <w:tcPr>
            <w:tcW w:type="dxa" w:w="2000"/>
            <w:tcMar>
              <w:top w:w="80" w:type="dxa"/>
              <w:start w:w="120" w:type="dxa"/>
              <w:bottom w:w="80" w:type="dxa"/>
              <w:end w:w="120" w:type="dxa"/>
            </w:tcMar>
            <w:vAlign w:val="center"/>
          </w:tcPr>
          <w:p>
            <w:r>
              <w:rPr>
                <w:rFonts w:ascii="Calibri" w:hAnsi="Calibri"/>
                <w:b w:val="0"/>
                <w:i w:val="0"/>
                <w:color w:val="1F2937"/>
                <w:sz w:val="16"/>
              </w:rPr>
              <w:t>TRY 2,500,000</w:t>
            </w:r>
          </w:p>
        </w:tc>
        <w:tc>
          <w:tcPr>
            <w:tcW w:type="dxa" w:w="1900"/>
            <w:tcMar>
              <w:top w:w="80" w:type="dxa"/>
              <w:start w:w="120" w:type="dxa"/>
              <w:bottom w:w="80" w:type="dxa"/>
              <w:end w:w="120" w:type="dxa"/>
            </w:tcMar>
            <w:vAlign w:val="center"/>
          </w:tcPr>
          <w:p>
            <w:r>
              <w:rPr>
                <w:rFonts w:ascii="Calibri" w:hAnsi="Calibri"/>
                <w:b w:val="0"/>
                <w:i w:val="0"/>
                <w:color w:val="1F2937"/>
                <w:sz w:val="16"/>
              </w:rPr>
              <w:t>TRY 107,375.00</w:t>
            </w:r>
          </w:p>
        </w:tc>
        <w:tc>
          <w:tcPr>
            <w:tcW w:type="dxa" w:w="2760"/>
            <w:tcMar>
              <w:top w:w="80" w:type="dxa"/>
              <w:start w:w="120" w:type="dxa"/>
              <w:bottom w:w="80" w:type="dxa"/>
              <w:end w:w="120" w:type="dxa"/>
            </w:tcMar>
            <w:vAlign w:val="center"/>
          </w:tcPr>
          <w:p>
            <w:r>
              <w:rPr>
                <w:rFonts w:ascii="Calibri" w:hAnsi="Calibri"/>
                <w:b w:val="0"/>
                <w:i w:val="0"/>
                <w:color w:val="1F2937"/>
                <w:sz w:val="16"/>
              </w:rPr>
              <w:t>TRY 2,392,625.00</w:t>
            </w:r>
          </w:p>
        </w:tc>
      </w:tr>
    </w:tbl>
    <w:tbl>
      <w:tblPr>
        <w:tblW w:type="dxa" w:w="9360"/>
        <w:jc w:val="left"/>
        <w:tblLayout w:type="fixed"/>
        <w:tblLook w:firstColumn="1" w:firstRow="1" w:lastColumn="0" w:lastRow="0" w:noHBand="0" w:noVBand="1" w:val="04A0"/>
        <w:tblInd w:w="120" w:type="dxa"/>
        <w:tblBorders>
          <w:top w:val="single" w:sz="8" w:color="0F766E"/>
          <w:left w:val="single" w:sz="8" w:color="0F766E"/>
          <w:bottom w:val="single" w:sz="8" w:color="0F766E"/>
          <w:right w:val="single" w:sz="8" w:color="0F766E"/>
          <w:insideH w:val="single" w:sz="8" w:color="0F766E"/>
          <w:insideV w:val="single" w:sz="8" w:color="0F766E"/>
        </w:tblBorders>
      </w:tblPr>
      <w:tblGrid>
        <w:gridCol w:w="9360"/>
      </w:tblGrid>
      <w:tr>
        <w:trPr>
          <w:cantSplit/>
          <w:tblHeader w:val="true"/>
        </w:trPr>
        <w:tc>
          <w:tcPr>
            <w:tcW w:type="dxa" w:w="9360"/>
            <w:shd w:fill="E8F5F2"/>
            <w:tcMar>
              <w:top w:w="80" w:type="dxa"/>
              <w:start w:w="120" w:type="dxa"/>
              <w:bottom w:w="80" w:type="dxa"/>
              <w:end w:w="120" w:type="dxa"/>
            </w:tcMar>
            <w:vAlign w:val="center"/>
          </w:tcPr>
          <w:p>
            <w:r>
              <w:rPr>
                <w:rFonts w:ascii="Calibri" w:hAnsi="Calibri"/>
                <w:b/>
                <w:i w:val="0"/>
                <w:color w:val="0F766E"/>
                <w:sz w:val="20"/>
              </w:rPr>
              <w:t>Negotiation sensitivity</w:t>
              <w:br/>
            </w:r>
            <w:r>
              <w:rPr>
                <w:rFonts w:ascii="Calibri" w:hAnsi="Calibri"/>
                <w:b w:val="0"/>
                <w:i w:val="0"/>
                <w:color w:val="1F2937"/>
                <w:sz w:val="19"/>
              </w:rPr>
              <w:t>Every 1 percentage point of commission equals TRY 10,000 for each TRY 1 million of GMV. A 0.10 percentage-point improvement saves TRY 1,000 per TRY 1 million. Compare settlement time, refunds, instalments, chargebacks, foreign cards, support and tax—not only the headline percentage.</w:t>
            </w:r>
          </w:p>
        </w:tc>
      </w:tr>
    </w:tbl>
    <w:p>
      <w:pPr>
        <w:spacing w:after="40"/>
      </w:pPr>
    </w:p>
    <w:p>
      <w:pPr>
        <w:pStyle w:val="Heading2"/>
        <w:pageBreakBefore/>
      </w:pPr>
      <w:r>
        <w:t>6.4 Scenario envelope</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600"/>
        <w:gridCol w:w="4300"/>
        <w:gridCol w:w="3460"/>
      </w:tblGrid>
      <w:tr>
        <w:trPr>
          <w:cantSplit/>
          <w:tblHeader w:val="true"/>
          <w:cantSplit/>
        </w:trPr>
        <w:tc>
          <w:tcPr>
            <w:tcW w:type="dxa" w:w="1600"/>
            <w:shd w:fill="102A43"/>
            <w:tcMar>
              <w:top w:w="80" w:type="dxa"/>
              <w:start w:w="120" w:type="dxa"/>
              <w:bottom w:w="80" w:type="dxa"/>
              <w:end w:w="120" w:type="dxa"/>
            </w:tcMar>
            <w:vAlign w:val="center"/>
          </w:tcPr>
          <w:p>
            <w:r>
              <w:rPr>
                <w:rFonts w:ascii="Calibri" w:hAnsi="Calibri"/>
                <w:b/>
                <w:i w:val="0"/>
                <w:color w:val="FFFFFF"/>
                <w:sz w:val="16"/>
              </w:rPr>
              <w:t>Scenario</w:t>
            </w:r>
          </w:p>
        </w:tc>
        <w:tc>
          <w:tcPr>
            <w:tcW w:type="dxa" w:w="4300"/>
            <w:shd w:fill="102A43"/>
            <w:tcMar>
              <w:top w:w="80" w:type="dxa"/>
              <w:start w:w="120" w:type="dxa"/>
              <w:bottom w:w="80" w:type="dxa"/>
              <w:end w:w="120" w:type="dxa"/>
            </w:tcMar>
            <w:vAlign w:val="center"/>
          </w:tcPr>
          <w:p>
            <w:r>
              <w:rPr>
                <w:rFonts w:ascii="Calibri" w:hAnsi="Calibri"/>
                <w:b/>
                <w:i w:val="0"/>
                <w:color w:val="FFFFFF"/>
                <w:sz w:val="16"/>
              </w:rPr>
              <w:t>Usage pattern</w:t>
            </w:r>
          </w:p>
        </w:tc>
        <w:tc>
          <w:tcPr>
            <w:tcW w:type="dxa" w:w="3460"/>
            <w:shd w:fill="102A43"/>
            <w:tcMar>
              <w:top w:w="80" w:type="dxa"/>
              <w:start w:w="120" w:type="dxa"/>
              <w:bottom w:w="80" w:type="dxa"/>
              <w:end w:w="120" w:type="dxa"/>
            </w:tcMar>
            <w:vAlign w:val="center"/>
          </w:tcPr>
          <w:p>
            <w:r>
              <w:rPr>
                <w:rFonts w:ascii="Calibri" w:hAnsi="Calibri"/>
                <w:b/>
                <w:i w:val="0"/>
                <w:color w:val="FFFFFF"/>
                <w:sz w:val="16"/>
              </w:rPr>
              <w:t>Expected cost behaviour</w:t>
            </w:r>
          </w:p>
        </w:tc>
      </w:tr>
      <w:tr>
        <w:trPr>
          <w:cantSplit/>
        </w:trPr>
        <w:tc>
          <w:tcPr>
            <w:tcW w:type="dxa" w:w="1600"/>
            <w:tcMar>
              <w:top w:w="80" w:type="dxa"/>
              <w:start w:w="120" w:type="dxa"/>
              <w:bottom w:w="80" w:type="dxa"/>
              <w:end w:w="120" w:type="dxa"/>
            </w:tcMar>
            <w:vAlign w:val="center"/>
          </w:tcPr>
          <w:p>
            <w:r>
              <w:rPr>
                <w:rFonts w:ascii="Calibri" w:hAnsi="Calibri"/>
                <w:b/>
                <w:i w:val="0"/>
                <w:color w:val="102A43"/>
                <w:sz w:val="16"/>
              </w:rPr>
              <w:t>Demo</w:t>
            </w:r>
          </w:p>
        </w:tc>
        <w:tc>
          <w:tcPr>
            <w:tcW w:type="dxa" w:w="4300"/>
            <w:tcMar>
              <w:top w:w="80" w:type="dxa"/>
              <w:start w:w="120" w:type="dxa"/>
              <w:bottom w:w="80" w:type="dxa"/>
              <w:end w:w="120" w:type="dxa"/>
            </w:tcMar>
            <w:vAlign w:val="center"/>
          </w:tcPr>
          <w:p>
            <w:r>
              <w:rPr>
                <w:rFonts w:ascii="Calibri" w:hAnsi="Calibri"/>
                <w:b w:val="0"/>
                <w:i w:val="0"/>
                <w:color w:val="1F2937"/>
                <w:sz w:val="16"/>
              </w:rPr>
              <w:t>Synthetic data, no live payments/SMS, low AI cap, no PITR, no production support.</w:t>
            </w:r>
          </w:p>
        </w:tc>
        <w:tc>
          <w:tcPr>
            <w:tcW w:type="dxa" w:w="3460"/>
            <w:tcMar>
              <w:top w:w="80" w:type="dxa"/>
              <w:start w:w="120" w:type="dxa"/>
              <w:bottom w:w="80" w:type="dxa"/>
              <w:end w:w="120" w:type="dxa"/>
            </w:tcMar>
            <w:vAlign w:val="center"/>
          </w:tcPr>
          <w:p>
            <w:r>
              <w:rPr>
                <w:rFonts w:ascii="Calibri" w:hAnsi="Calibri"/>
                <w:b w:val="0"/>
                <w:i w:val="0"/>
                <w:color w:val="1F2937"/>
                <w:sz w:val="16"/>
              </w:rPr>
              <w:t>Typically around $20–45/month before optional tools; not production-safe.</w:t>
            </w:r>
          </w:p>
        </w:tc>
      </w:tr>
      <w:tr>
        <w:trPr>
          <w:cantSplit/>
        </w:trPr>
        <w:tc>
          <w:tcPr>
            <w:tcW w:type="dxa" w:w="1600"/>
            <w:shd w:fill="F8FAFC"/>
            <w:tcMar>
              <w:top w:w="80" w:type="dxa"/>
              <w:start w:w="120" w:type="dxa"/>
              <w:bottom w:w="80" w:type="dxa"/>
              <w:end w:w="120" w:type="dxa"/>
            </w:tcMar>
            <w:vAlign w:val="center"/>
          </w:tcPr>
          <w:p>
            <w:r>
              <w:rPr>
                <w:rFonts w:ascii="Calibri" w:hAnsi="Calibri"/>
                <w:b/>
                <w:i w:val="0"/>
                <w:color w:val="102A43"/>
                <w:sz w:val="16"/>
              </w:rPr>
              <w:t>Lean production</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Email/push first, limited OTP, Luna-first AI, Embed Maps, compressed images, small internal staff.</w:t>
            </w:r>
          </w:p>
        </w:tc>
        <w:tc>
          <w:tcPr>
            <w:tcW w:type="dxa" w:w="3460"/>
            <w:shd w:fill="F8FAFC"/>
            <w:tcMar>
              <w:top w:w="80" w:type="dxa"/>
              <w:start w:w="120" w:type="dxa"/>
              <w:bottom w:w="80" w:type="dxa"/>
              <w:end w:w="120" w:type="dxa"/>
            </w:tcMar>
            <w:vAlign w:val="center"/>
          </w:tcPr>
          <w:p>
            <w:r>
              <w:rPr>
                <w:rFonts w:ascii="Calibri" w:hAnsi="Calibri"/>
                <w:b w:val="0"/>
                <w:i w:val="0"/>
                <w:color w:val="1F2937"/>
                <w:sz w:val="16"/>
              </w:rPr>
              <w:t>Core SaaS stays near base allowances; legal/support and provider setup still apply.</w:t>
            </w:r>
          </w:p>
        </w:tc>
      </w:tr>
      <w:tr>
        <w:trPr>
          <w:cantSplit/>
        </w:trPr>
        <w:tc>
          <w:tcPr>
            <w:tcW w:type="dxa" w:w="1600"/>
            <w:tcMar>
              <w:top w:w="80" w:type="dxa"/>
              <w:start w:w="120" w:type="dxa"/>
              <w:bottom w:w="80" w:type="dxa"/>
              <w:end w:w="120" w:type="dxa"/>
            </w:tcMar>
            <w:vAlign w:val="center"/>
          </w:tcPr>
          <w:p>
            <w:r>
              <w:rPr>
                <w:rFonts w:ascii="Calibri" w:hAnsi="Calibri"/>
                <w:b/>
                <w:i w:val="0"/>
                <w:color w:val="102A43"/>
                <w:sz w:val="16"/>
              </w:rPr>
              <w:t>Management</w:t>
            </w:r>
          </w:p>
        </w:tc>
        <w:tc>
          <w:tcPr>
            <w:tcW w:type="dxa" w:w="4300"/>
            <w:tcMar>
              <w:top w:w="80" w:type="dxa"/>
              <w:start w:w="120" w:type="dxa"/>
              <w:bottom w:w="80" w:type="dxa"/>
              <w:end w:w="120" w:type="dxa"/>
            </w:tcMar>
            <w:vAlign w:val="center"/>
          </w:tcPr>
          <w:p>
            <w:r>
              <w:rPr>
                <w:rFonts w:ascii="Calibri" w:hAnsi="Calibri"/>
                <w:b w:val="0"/>
                <w:i w:val="0"/>
                <w:color w:val="1F2937"/>
                <w:sz w:val="16"/>
              </w:rPr>
              <w:t>Assumptions used in this document.</w:t>
            </w:r>
          </w:p>
        </w:tc>
        <w:tc>
          <w:tcPr>
            <w:tcW w:type="dxa" w:w="3460"/>
            <w:tcMar>
              <w:top w:w="80" w:type="dxa"/>
              <w:start w:w="120" w:type="dxa"/>
              <w:bottom w:w="80" w:type="dxa"/>
              <w:end w:w="120" w:type="dxa"/>
            </w:tcMar>
            <w:vAlign w:val="center"/>
          </w:tcPr>
          <w:p>
            <w:r>
              <w:rPr>
                <w:rFonts w:ascii="Calibri" w:hAnsi="Calibri"/>
                <w:b w:val="0"/>
                <w:i w:val="0"/>
                <w:color w:val="1F2937"/>
                <w:sz w:val="16"/>
              </w:rPr>
              <w:t>Known USD grows mainly through staff seats and AI; TRY payment cost grows with GMV.</w:t>
            </w:r>
          </w:p>
        </w:tc>
      </w:tr>
      <w:tr>
        <w:trPr>
          <w:cantSplit/>
        </w:trPr>
        <w:tc>
          <w:tcPr>
            <w:tcW w:type="dxa" w:w="1600"/>
            <w:shd w:fill="F8FAFC"/>
            <w:tcMar>
              <w:top w:w="80" w:type="dxa"/>
              <w:start w:w="120" w:type="dxa"/>
              <w:bottom w:w="80" w:type="dxa"/>
              <w:end w:w="120" w:type="dxa"/>
            </w:tcMar>
            <w:vAlign w:val="center"/>
          </w:tcPr>
          <w:p>
            <w:r>
              <w:rPr>
                <w:rFonts w:ascii="Calibri" w:hAnsi="Calibri"/>
                <w:b/>
                <w:i w:val="0"/>
                <w:color w:val="102A43"/>
                <w:sz w:val="16"/>
              </w:rPr>
              <w:t>Stress</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80% AI adoption × 20 actions, 4 OTP/user, 10 email/user, 10 map loads/user, 1 GB traffic/user, 10% payers.</w:t>
            </w:r>
          </w:p>
        </w:tc>
        <w:tc>
          <w:tcPr>
            <w:tcW w:type="dxa" w:w="3460"/>
            <w:shd w:fill="F8FAFC"/>
            <w:tcMar>
              <w:top w:w="80" w:type="dxa"/>
              <w:start w:w="120" w:type="dxa"/>
              <w:bottom w:w="80" w:type="dxa"/>
              <w:end w:w="120" w:type="dxa"/>
            </w:tcMar>
            <w:vAlign w:val="center"/>
          </w:tcPr>
          <w:p>
            <w:r>
              <w:rPr>
                <w:rFonts w:ascii="Calibri" w:hAnsi="Calibri"/>
                <w:b w:val="0"/>
                <w:i w:val="0"/>
                <w:color w:val="1F2937"/>
                <w:sz w:val="16"/>
              </w:rPr>
              <w:t>Maps, AI, egress, SMS and payment fees rise sharply; negotiate and load-test before commitment.</w:t>
            </w:r>
          </w:p>
        </w:tc>
      </w:tr>
    </w:tbl>
    <w:p>
      <w:pPr>
        <w:pStyle w:val="CaptionSmall"/>
      </w:pPr>
      <w:r>
        <w:rPr>
          <w:rFonts w:ascii="Calibri" w:hAnsi="Calibri"/>
          <w:b/>
          <w:i w:val="0"/>
          <w:color w:val="5B6673"/>
          <w:sz w:val="17"/>
        </w:rPr>
        <w:t xml:space="preserve">Sources checked 15 July 2026: </w:t>
      </w:r>
      <w:hyperlink r:id="rId12">
        <w:r>
          <w:rPr>
            <w:color w:val="2E74B5"/>
            <w:u w:val="single"/>
          </w:rPr>
          <w:t>S01 Supabase</w:t>
        </w:r>
      </w:hyperlink>
      <w:r>
        <w:rPr>
          <w:rFonts w:ascii="Calibri" w:hAnsi="Calibri"/>
          <w:b w:val="0"/>
          <w:i w:val="0"/>
          <w:color w:val="5B6673"/>
          <w:sz w:val="17"/>
        </w:rPr>
        <w:t xml:space="preserve">; </w:t>
      </w:r>
      <w:hyperlink r:id="rId13">
        <w:r>
          <w:rPr>
            <w:color w:val="2E74B5"/>
            <w:u w:val="single"/>
          </w:rPr>
          <w:t>S02 Vercel</w:t>
        </w:r>
      </w:hyperlink>
      <w:r>
        <w:rPr>
          <w:rFonts w:ascii="Calibri" w:hAnsi="Calibri"/>
          <w:b w:val="0"/>
          <w:i w:val="0"/>
          <w:color w:val="5B6673"/>
          <w:sz w:val="17"/>
        </w:rPr>
        <w:t xml:space="preserve">; </w:t>
      </w:r>
      <w:hyperlink r:id="rId14">
        <w:r>
          <w:rPr>
            <w:color w:val="2E74B5"/>
            <w:u w:val="single"/>
          </w:rPr>
          <w:t>S03 Twenty</w:t>
        </w:r>
      </w:hyperlink>
      <w:r>
        <w:rPr>
          <w:rFonts w:ascii="Calibri" w:hAnsi="Calibri"/>
          <w:b w:val="0"/>
          <w:i w:val="0"/>
          <w:color w:val="5B6673"/>
          <w:sz w:val="17"/>
        </w:rPr>
        <w:t xml:space="preserve">; </w:t>
      </w:r>
      <w:hyperlink r:id="rId15">
        <w:r>
          <w:rPr>
            <w:color w:val="2E74B5"/>
            <w:u w:val="single"/>
          </w:rPr>
          <w:t>S05 OpenAI</w:t>
        </w:r>
      </w:hyperlink>
      <w:r>
        <w:rPr>
          <w:rFonts w:ascii="Calibri" w:hAnsi="Calibri"/>
          <w:b w:val="0"/>
          <w:i w:val="0"/>
          <w:color w:val="5B6673"/>
          <w:sz w:val="17"/>
        </w:rPr>
        <w:t xml:space="preserve">; </w:t>
      </w:r>
      <w:hyperlink r:id="rId16">
        <w:r>
          <w:rPr>
            <w:color w:val="2E74B5"/>
            <w:u w:val="single"/>
          </w:rPr>
          <w:t>S07 Google</w:t>
        </w:r>
      </w:hyperlink>
      <w:r>
        <w:rPr>
          <w:rFonts w:ascii="Calibri" w:hAnsi="Calibri"/>
          <w:b w:val="0"/>
          <w:i w:val="0"/>
          <w:color w:val="5B6673"/>
          <w:sz w:val="17"/>
        </w:rPr>
        <w:t xml:space="preserve">; </w:t>
      </w:r>
      <w:hyperlink r:id="rId22">
        <w:r>
          <w:rPr>
            <w:color w:val="2E74B5"/>
            <w:u w:val="single"/>
          </w:rPr>
          <w:t>S08 Google</w:t>
        </w:r>
      </w:hyperlink>
      <w:r>
        <w:rPr>
          <w:rFonts w:ascii="Calibri" w:hAnsi="Calibri"/>
          <w:b w:val="0"/>
          <w:i w:val="0"/>
          <w:color w:val="5B6673"/>
          <w:sz w:val="17"/>
        </w:rPr>
        <w:t xml:space="preserve">; </w:t>
      </w:r>
      <w:hyperlink r:id="rId23">
        <w:r>
          <w:rPr>
            <w:color w:val="2E74B5"/>
            <w:u w:val="single"/>
          </w:rPr>
          <w:t>S09 Resend</w:t>
        </w:r>
      </w:hyperlink>
      <w:r>
        <w:rPr>
          <w:rFonts w:ascii="Calibri" w:hAnsi="Calibri"/>
          <w:b w:val="0"/>
          <w:i w:val="0"/>
          <w:color w:val="5B6673"/>
          <w:sz w:val="17"/>
        </w:rPr>
        <w:t xml:space="preserve">; </w:t>
      </w:r>
      <w:hyperlink r:id="rId17">
        <w:r>
          <w:rPr>
            <w:color w:val="2E74B5"/>
            <w:u w:val="single"/>
          </w:rPr>
          <w:t>S12 iyzico</w:t>
        </w:r>
      </w:hyperlink>
      <w:r>
        <w:rPr>
          <w:rFonts w:ascii="Calibri" w:hAnsi="Calibri"/>
          <w:b w:val="0"/>
          <w:i w:val="0"/>
          <w:color w:val="5B6673"/>
          <w:sz w:val="17"/>
        </w:rPr>
        <w:t xml:space="preserve">; </w:t>
      </w:r>
      <w:hyperlink r:id="rId18">
        <w:r>
          <w:rPr>
            <w:color w:val="2E74B5"/>
            <w:u w:val="single"/>
          </w:rPr>
          <w:t>S16 Netgsm</w:t>
        </w:r>
      </w:hyperlink>
      <w:r>
        <w:rPr>
          <w:rFonts w:ascii="Calibri" w:hAnsi="Calibri"/>
          <w:b w:val="0"/>
          <w:i w:val="0"/>
          <w:color w:val="5B6673"/>
          <w:sz w:val="17"/>
        </w:rPr>
        <w:t xml:space="preserve">; </w:t>
      </w:r>
      <w:hyperlink r:id="rId24">
        <w:r>
          <w:rPr>
            <w:color w:val="2E74B5"/>
            <w:u w:val="single"/>
          </w:rPr>
          <w:t>S20 Paraşüt</w:t>
        </w:r>
      </w:hyperlink>
      <w:r>
        <w:rPr>
          <w:rFonts w:ascii="Calibri" w:hAnsi="Calibri"/>
          <w:b w:val="0"/>
          <w:i w:val="0"/>
          <w:color w:val="5B6673"/>
          <w:sz w:val="17"/>
        </w:rPr>
        <w:t xml:space="preserve">; </w:t>
      </w:r>
      <w:hyperlink r:id="rId25">
        <w:r>
          <w:rPr>
            <w:color w:val="2E74B5"/>
            <w:u w:val="single"/>
          </w:rPr>
          <w:t>S21 Netgsm</w:t>
        </w:r>
      </w:hyperlink>
      <w:r>
        <w:rPr>
          <w:rFonts w:ascii="Calibri" w:hAnsi="Calibri"/>
          <w:b w:val="0"/>
          <w:i w:val="0"/>
          <w:color w:val="5B6673"/>
          <w:sz w:val="17"/>
        </w:rPr>
        <w:t xml:space="preserve">; </w:t>
      </w:r>
      <w:hyperlink r:id="rId19">
        <w:r>
          <w:rPr>
            <w:color w:val="2E74B5"/>
            <w:u w:val="single"/>
          </w:rPr>
          <w:t>S36 Ministry of Trade</w:t>
        </w:r>
      </w:hyperlink>
      <w:r>
        <w:rPr>
          <w:rFonts w:ascii="Calibri" w:hAnsi="Calibri"/>
          <w:b w:val="0"/>
          <w:i w:val="0"/>
          <w:color w:val="5B6673"/>
          <w:sz w:val="17"/>
        </w:rPr>
        <w:t xml:space="preserve">; </w:t>
      </w:r>
      <w:hyperlink r:id="rId20">
        <w:r>
          <w:rPr>
            <w:color w:val="2E74B5"/>
            <w:u w:val="single"/>
          </w:rPr>
          <w:t>S39 e-Devlet / TCMB</w:t>
        </w:r>
      </w:hyperlink>
    </w:p>
    <w:p>
      <w:bookmarkStart w:id="109" w:name="providers"/>
      <w:pPr>
        <w:pStyle w:val="Heading1"/>
      </w:pPr>
      <w:r>
        <w:t>7. External dependency and provider catalogue</w:t>
      </w:r>
      <w:bookmarkEnd w:id="109"/>
    </w:p>
    <w:p>
      <w:pPr>
        <w:pStyle w:val="ExecutiveLead"/>
      </w:pPr>
      <w:r>
        <w:rPr>
          <w:rFonts w:ascii="Calibri" w:hAnsi="Calibri"/>
          <w:b w:val="0"/>
          <w:i w:val="0"/>
          <w:color w:val="1F2937"/>
          <w:sz w:val="20"/>
        </w:rPr>
        <w:t>Provider selection should be capability-led and contract-led. Each row below identifies the operational purpose, recommended route, public price signal and missing procurement evidence.</w:t>
      </w:r>
    </w:p>
    <w:p>
      <w:pPr>
        <w:pStyle w:val="Heading2"/>
      </w:pPr>
      <w:r>
        <w:t>7.1 Core cloud, CRM and delivery services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550"/>
        <w:gridCol w:w="2700"/>
        <w:gridCol w:w="2500"/>
        <w:gridCol w:w="2610"/>
      </w:tblGrid>
      <w:tr>
        <w:trPr>
          <w:cantSplit/>
          <w:tblHeader w:val="true"/>
          <w:cantSplit/>
        </w:trPr>
        <w:tc>
          <w:tcPr>
            <w:tcW w:type="dxa" w:w="1550"/>
            <w:shd w:fill="102A43"/>
            <w:tcMar>
              <w:top w:w="80" w:type="dxa"/>
              <w:start w:w="120" w:type="dxa"/>
              <w:bottom w:w="80" w:type="dxa"/>
              <w:end w:w="120" w:type="dxa"/>
            </w:tcMar>
            <w:vAlign w:val="center"/>
          </w:tcPr>
          <w:p>
            <w:r>
              <w:rPr>
                <w:rFonts w:ascii="Calibri" w:hAnsi="Calibri"/>
                <w:b/>
                <w:i w:val="0"/>
                <w:color w:val="FFFFFF"/>
                <w:sz w:val="16"/>
              </w:rPr>
              <w:t>Dependency</w:t>
            </w:r>
          </w:p>
        </w:tc>
        <w:tc>
          <w:tcPr>
            <w:tcW w:type="dxa" w:w="2700"/>
            <w:shd w:fill="102A43"/>
            <w:tcMar>
              <w:top w:w="80" w:type="dxa"/>
              <w:start w:w="120" w:type="dxa"/>
              <w:bottom w:w="80" w:type="dxa"/>
              <w:end w:w="120" w:type="dxa"/>
            </w:tcMar>
            <w:vAlign w:val="center"/>
          </w:tcPr>
          <w:p>
            <w:r>
              <w:rPr>
                <w:rFonts w:ascii="Calibri" w:hAnsi="Calibri"/>
                <w:b/>
                <w:i w:val="0"/>
                <w:color w:val="FFFFFF"/>
                <w:sz w:val="16"/>
              </w:rPr>
              <w:t>Recommended route</w:t>
            </w:r>
          </w:p>
        </w:tc>
        <w:tc>
          <w:tcPr>
            <w:tcW w:type="dxa" w:w="2500"/>
            <w:shd w:fill="102A43"/>
            <w:tcMar>
              <w:top w:w="80" w:type="dxa"/>
              <w:start w:w="120" w:type="dxa"/>
              <w:bottom w:w="80" w:type="dxa"/>
              <w:end w:w="120" w:type="dxa"/>
            </w:tcMar>
            <w:vAlign w:val="center"/>
          </w:tcPr>
          <w:p>
            <w:r>
              <w:rPr>
                <w:rFonts w:ascii="Calibri" w:hAnsi="Calibri"/>
                <w:b/>
                <w:i w:val="0"/>
                <w:color w:val="FFFFFF"/>
                <w:sz w:val="16"/>
              </w:rPr>
              <w:t>Public planning price</w:t>
            </w:r>
          </w:p>
        </w:tc>
        <w:tc>
          <w:tcPr>
            <w:tcW w:type="dxa" w:w="2610"/>
            <w:shd w:fill="102A43"/>
            <w:tcMar>
              <w:top w:w="80" w:type="dxa"/>
              <w:start w:w="120" w:type="dxa"/>
              <w:bottom w:w="80" w:type="dxa"/>
              <w:end w:w="120" w:type="dxa"/>
            </w:tcMar>
            <w:vAlign w:val="center"/>
          </w:tcPr>
          <w:p>
            <w:r>
              <w:rPr>
                <w:rFonts w:ascii="Calibri" w:hAnsi="Calibri"/>
                <w:b/>
                <w:i w:val="0"/>
                <w:color w:val="FFFFFF"/>
                <w:sz w:val="16"/>
              </w:rPr>
              <w:t>Scale trigger / caveat</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Vercel</w:t>
            </w:r>
          </w:p>
        </w:tc>
        <w:tc>
          <w:tcPr>
            <w:tcW w:type="dxa" w:w="2700"/>
            <w:tcMar>
              <w:top w:w="80" w:type="dxa"/>
              <w:start w:w="120" w:type="dxa"/>
              <w:bottom w:w="80" w:type="dxa"/>
              <w:end w:w="120" w:type="dxa"/>
            </w:tcMar>
            <w:vAlign w:val="center"/>
          </w:tcPr>
          <w:p>
            <w:r>
              <w:rPr>
                <w:rFonts w:ascii="Calibri" w:hAnsi="Calibri"/>
                <w:b w:val="0"/>
                <w:i w:val="0"/>
                <w:color w:val="1F2937"/>
                <w:sz w:val="16"/>
              </w:rPr>
              <w:t>Pro for managed Next.js deployment</w:t>
            </w:r>
          </w:p>
        </w:tc>
        <w:tc>
          <w:tcPr>
            <w:tcW w:type="dxa" w:w="2500"/>
            <w:tcMar>
              <w:top w:w="80" w:type="dxa"/>
              <w:start w:w="120" w:type="dxa"/>
              <w:bottom w:w="80" w:type="dxa"/>
              <w:end w:w="120" w:type="dxa"/>
            </w:tcMar>
            <w:vAlign w:val="center"/>
          </w:tcPr>
          <w:p>
            <w:r>
              <w:rPr>
                <w:rFonts w:ascii="Calibri" w:hAnsi="Calibri"/>
                <w:b w:val="0"/>
                <w:i w:val="0"/>
                <w:color w:val="1F2937"/>
                <w:sz w:val="16"/>
              </w:rPr>
              <w:t>$20/month; one deploying seat; extra deploying seat $20</w:t>
            </w:r>
          </w:p>
        </w:tc>
        <w:tc>
          <w:tcPr>
            <w:tcW w:type="dxa" w:w="2610"/>
            <w:tcMar>
              <w:top w:w="80" w:type="dxa"/>
              <w:start w:w="120" w:type="dxa"/>
              <w:bottom w:w="80" w:type="dxa"/>
              <w:end w:w="120" w:type="dxa"/>
            </w:tcMar>
            <w:vAlign w:val="center"/>
          </w:tcPr>
          <w:p>
            <w:r>
              <w:rPr>
                <w:rFonts w:ascii="Calibri" w:hAnsi="Calibri"/>
                <w:b w:val="0"/>
                <w:i w:val="0"/>
                <w:color w:val="1F2937"/>
                <w:sz w:val="16"/>
              </w:rPr>
              <w:t>User count is not the meter; monitor requests, transfer, functions and eligible usage credit.</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Supabase</w:t>
            </w:r>
          </w:p>
        </w:tc>
        <w:tc>
          <w:tcPr>
            <w:tcW w:type="dxa" w:w="2700"/>
            <w:shd w:fill="F8FAFC"/>
            <w:tcMar>
              <w:top w:w="80" w:type="dxa"/>
              <w:start w:w="120" w:type="dxa"/>
              <w:bottom w:w="80" w:type="dxa"/>
              <w:end w:w="120" w:type="dxa"/>
            </w:tcMar>
            <w:vAlign w:val="center"/>
          </w:tcPr>
          <w:p>
            <w:r>
              <w:rPr>
                <w:rFonts w:ascii="Calibri" w:hAnsi="Calibri"/>
                <w:b w:val="0"/>
                <w:i w:val="0"/>
                <w:color w:val="1F2937"/>
                <w:sz w:val="16"/>
              </w:rPr>
              <w:t>Pro production project</w:t>
            </w:r>
          </w:p>
        </w:tc>
        <w:tc>
          <w:tcPr>
            <w:tcW w:type="dxa" w:w="2500"/>
            <w:shd w:fill="F8FAFC"/>
            <w:tcMar>
              <w:top w:w="80" w:type="dxa"/>
              <w:start w:w="120" w:type="dxa"/>
              <w:bottom w:w="80" w:type="dxa"/>
              <w:end w:w="120" w:type="dxa"/>
            </w:tcMar>
            <w:vAlign w:val="center"/>
          </w:tcPr>
          <w:p>
            <w:r>
              <w:rPr>
                <w:rFonts w:ascii="Calibri" w:hAnsi="Calibri"/>
                <w:b w:val="0"/>
                <w:i w:val="0"/>
                <w:color w:val="1F2937"/>
                <w:sz w:val="16"/>
              </w:rPr>
              <w:t>$25 base; 100k MAU; metered DB/egress/storage; PITR $100</w:t>
            </w:r>
          </w:p>
        </w:tc>
        <w:tc>
          <w:tcPr>
            <w:tcW w:type="dxa" w:w="2610"/>
            <w:shd w:fill="F8FAFC"/>
            <w:tcMar>
              <w:top w:w="80" w:type="dxa"/>
              <w:start w:w="120" w:type="dxa"/>
              <w:bottom w:w="80" w:type="dxa"/>
              <w:end w:w="120" w:type="dxa"/>
            </w:tcMar>
            <w:vAlign w:val="center"/>
          </w:tcPr>
          <w:p>
            <w:r>
              <w:rPr>
                <w:rFonts w:ascii="Calibri" w:hAnsi="Calibri"/>
                <w:b w:val="0"/>
                <w:i w:val="0"/>
                <w:color w:val="1F2937"/>
                <w:sz w:val="16"/>
              </w:rPr>
              <w:t>Capacity selection follows load/data, not a 1k/5k/10k user tariff.</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Twenty Cloud</w:t>
            </w:r>
          </w:p>
        </w:tc>
        <w:tc>
          <w:tcPr>
            <w:tcW w:type="dxa" w:w="2700"/>
            <w:tcMar>
              <w:top w:w="80" w:type="dxa"/>
              <w:start w:w="120" w:type="dxa"/>
              <w:bottom w:w="80" w:type="dxa"/>
              <w:end w:w="120" w:type="dxa"/>
            </w:tcMar>
            <w:vAlign w:val="center"/>
          </w:tcPr>
          <w:p>
            <w:r>
              <w:rPr>
                <w:rFonts w:ascii="Calibri" w:hAnsi="Calibri"/>
                <w:b w:val="0"/>
                <w:i w:val="0"/>
                <w:color w:val="1F2937"/>
                <w:sz w:val="16"/>
              </w:rPr>
              <w:t>Organization if row-level permissions/SSO/audit are needed</w:t>
            </w:r>
          </w:p>
        </w:tc>
        <w:tc>
          <w:tcPr>
            <w:tcW w:type="dxa" w:w="2500"/>
            <w:tcMar>
              <w:top w:w="80" w:type="dxa"/>
              <w:start w:w="120" w:type="dxa"/>
              <w:bottom w:w="80" w:type="dxa"/>
              <w:end w:w="120" w:type="dxa"/>
            </w:tcMar>
            <w:vAlign w:val="center"/>
          </w:tcPr>
          <w:p>
            <w:r>
              <w:rPr>
                <w:rFonts w:ascii="Calibri" w:hAnsi="Calibri"/>
                <w:b w:val="0"/>
                <w:i w:val="0"/>
                <w:color w:val="1F2937"/>
                <w:sz w:val="16"/>
              </w:rPr>
              <w:t>$9 staff/month Pro; $19 staff/month Organization, annual billing</w:t>
            </w:r>
          </w:p>
        </w:tc>
        <w:tc>
          <w:tcPr>
            <w:tcW w:type="dxa" w:w="2610"/>
            <w:tcMar>
              <w:top w:w="80" w:type="dxa"/>
              <w:start w:w="120" w:type="dxa"/>
              <w:bottom w:w="80" w:type="dxa"/>
              <w:end w:w="120" w:type="dxa"/>
            </w:tcMar>
            <w:vAlign w:val="center"/>
          </w:tcPr>
          <w:p>
            <w:r>
              <w:rPr>
                <w:rFonts w:ascii="Calibri" w:hAnsi="Calibri"/>
                <w:b w:val="0"/>
                <w:i w:val="0"/>
                <w:color w:val="1F2937"/>
                <w:sz w:val="16"/>
              </w:rPr>
              <w:t>Count internal staff only. Self-host core has $0 software but non-zero hosting/ops.</w:t>
            </w:r>
          </w:p>
        </w:tc>
      </w:tr>
      <w:tr>
        <w:trPr>
          <w:cantSplit/>
        </w:trPr>
        <w:tc>
          <w:tcPr>
            <w:tcW w:type="dxa" w:w="1550"/>
            <w:shd w:fill="F8FAFC"/>
            <w:tcMar>
              <w:top w:w="80" w:type="dxa"/>
              <w:start w:w="120" w:type="dxa"/>
              <w:bottom w:w="80" w:type="dxa"/>
              <w:end w:w="120" w:type="dxa"/>
            </w:tcMar>
            <w:vAlign w:val="center"/>
          </w:tcPr>
          <w:p>
            <w:r>
              <w:rPr>
                <w:rFonts w:ascii="Calibri" w:hAnsi="Calibri"/>
                <w:b/>
                <w:i w:val="0"/>
                <w:color w:val="102A43"/>
                <w:sz w:val="16"/>
              </w:rPr>
              <w:t>Monitoring</w:t>
            </w:r>
          </w:p>
        </w:tc>
        <w:tc>
          <w:tcPr>
            <w:tcW w:type="dxa" w:w="2700"/>
            <w:shd w:fill="F8FAFC"/>
            <w:tcMar>
              <w:top w:w="80" w:type="dxa"/>
              <w:start w:w="120" w:type="dxa"/>
              <w:bottom w:w="80" w:type="dxa"/>
              <w:end w:w="120" w:type="dxa"/>
            </w:tcMar>
            <w:vAlign w:val="center"/>
          </w:tcPr>
          <w:p>
            <w:r>
              <w:rPr>
                <w:rFonts w:ascii="Calibri" w:hAnsi="Calibri"/>
                <w:b w:val="0"/>
                <w:i w:val="0"/>
                <w:color w:val="1F2937"/>
                <w:sz w:val="16"/>
              </w:rPr>
              <w:t>Sentry Team + platform logs + external uptime</w:t>
            </w:r>
          </w:p>
        </w:tc>
        <w:tc>
          <w:tcPr>
            <w:tcW w:type="dxa" w:w="2500"/>
            <w:shd w:fill="F8FAFC"/>
            <w:tcMar>
              <w:top w:w="80" w:type="dxa"/>
              <w:start w:w="120" w:type="dxa"/>
              <w:bottom w:w="80" w:type="dxa"/>
              <w:end w:w="120" w:type="dxa"/>
            </w:tcMar>
            <w:vAlign w:val="center"/>
          </w:tcPr>
          <w:p>
            <w:r>
              <w:rPr>
                <w:rFonts w:ascii="Calibri" w:hAnsi="Calibri"/>
                <w:b w:val="0"/>
                <w:i w:val="0"/>
                <w:color w:val="1F2937"/>
                <w:sz w:val="16"/>
              </w:rPr>
              <w:t>Sentry Team planning $26/month; Business $80</w:t>
            </w:r>
          </w:p>
        </w:tc>
        <w:tc>
          <w:tcPr>
            <w:tcW w:type="dxa" w:w="2610"/>
            <w:shd w:fill="F8FAFC"/>
            <w:tcMar>
              <w:top w:w="80" w:type="dxa"/>
              <w:start w:w="120" w:type="dxa"/>
              <w:bottom w:w="80" w:type="dxa"/>
              <w:end w:w="120" w:type="dxa"/>
            </w:tcMar>
            <w:vAlign w:val="center"/>
          </w:tcPr>
          <w:p>
            <w:r>
              <w:rPr>
                <w:rFonts w:ascii="Calibri" w:hAnsi="Calibri"/>
                <w:b w:val="0"/>
                <w:i w:val="0"/>
                <w:color w:val="1F2937"/>
                <w:sz w:val="16"/>
              </w:rPr>
              <w:t>Event volume, retention, uptime tool and on-call process can add cost.</w:t>
            </w:r>
          </w:p>
        </w:tc>
      </w:tr>
      <w:tr>
        <w:trPr>
          <w:cantSplit/>
        </w:trPr>
        <w:tc>
          <w:tcPr>
            <w:tcW w:type="dxa" w:w="1550"/>
            <w:tcMar>
              <w:top w:w="80" w:type="dxa"/>
              <w:start w:w="120" w:type="dxa"/>
              <w:bottom w:w="80" w:type="dxa"/>
              <w:end w:w="120" w:type="dxa"/>
            </w:tcMar>
            <w:vAlign w:val="center"/>
          </w:tcPr>
          <w:p>
            <w:r>
              <w:rPr>
                <w:rFonts w:ascii="Calibri" w:hAnsi="Calibri"/>
                <w:b/>
                <w:i w:val="0"/>
                <w:color w:val="102A43"/>
                <w:sz w:val="16"/>
              </w:rPr>
              <w:t>Domain/DNS</w:t>
            </w:r>
          </w:p>
        </w:tc>
        <w:tc>
          <w:tcPr>
            <w:tcW w:type="dxa" w:w="2700"/>
            <w:tcMar>
              <w:top w:w="80" w:type="dxa"/>
              <w:start w:w="120" w:type="dxa"/>
              <w:bottom w:w="80" w:type="dxa"/>
              <w:end w:w="120" w:type="dxa"/>
            </w:tcMar>
            <w:vAlign w:val="center"/>
          </w:tcPr>
          <w:p>
            <w:r>
              <w:rPr>
                <w:rFonts w:ascii="Calibri" w:hAnsi="Calibri"/>
                <w:b w:val="0"/>
                <w:i w:val="0"/>
                <w:color w:val="1F2937"/>
                <w:sz w:val="16"/>
              </w:rPr>
              <w:t>Ataberk-owned domain; Vercel SSL</w:t>
            </w:r>
          </w:p>
        </w:tc>
        <w:tc>
          <w:tcPr>
            <w:tcW w:type="dxa" w:w="2500"/>
            <w:tcMar>
              <w:top w:w="80" w:type="dxa"/>
              <w:start w:w="120" w:type="dxa"/>
              <w:bottom w:w="80" w:type="dxa"/>
              <w:end w:w="120" w:type="dxa"/>
            </w:tcMar>
            <w:vAlign w:val="center"/>
          </w:tcPr>
          <w:p>
            <w:r>
              <w:rPr>
                <w:rFonts w:ascii="Calibri" w:hAnsi="Calibri"/>
                <w:b w:val="0"/>
                <w:i w:val="0"/>
                <w:color w:val="1F2937"/>
                <w:sz w:val="16"/>
              </w:rPr>
              <w:t>.com.tr TRY 109 + VAT registration / TRY 189 + VAT renewal reference</w:t>
            </w:r>
          </w:p>
        </w:tc>
        <w:tc>
          <w:tcPr>
            <w:tcW w:type="dxa" w:w="2610"/>
            <w:tcMar>
              <w:top w:w="80" w:type="dxa"/>
              <w:start w:w="120" w:type="dxa"/>
              <w:bottom w:w="80" w:type="dxa"/>
              <w:end w:w="120" w:type="dxa"/>
            </w:tcMar>
            <w:vAlign w:val="center"/>
          </w:tcPr>
          <w:p>
            <w:r>
              <w:rPr>
                <w:rFonts w:ascii="Calibri" w:hAnsi="Calibri"/>
                <w:b w:val="0"/>
                <w:i w:val="0"/>
                <w:color w:val="1F2937"/>
                <w:sz w:val="16"/>
              </w:rPr>
              <w:t>Confirm ownership, DNS access, renewal and mailbox/support domains.</w:t>
            </w:r>
          </w:p>
        </w:tc>
      </w:tr>
    </w:tbl>
    <w:p>
      <w:pPr>
        <w:pStyle w:val="Heading2"/>
      </w:pPr>
      <w:r>
        <w:t>7.2 Payments, banking and money movement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50"/>
        <w:gridCol w:w="1550"/>
        <w:gridCol w:w="2760"/>
        <w:gridCol w:w="3200"/>
      </w:tblGrid>
      <w:tr>
        <w:trPr>
          <w:cantSplit/>
          <w:tblHeader w:val="true"/>
          <w:cantSplit/>
        </w:trPr>
        <w:tc>
          <w:tcPr>
            <w:tcW w:type="dxa" w:w="1850"/>
            <w:shd w:fill="102A43"/>
            <w:tcMar>
              <w:top w:w="80" w:type="dxa"/>
              <w:start w:w="120" w:type="dxa"/>
              <w:bottom w:w="80" w:type="dxa"/>
              <w:end w:w="120" w:type="dxa"/>
            </w:tcMar>
            <w:vAlign w:val="center"/>
          </w:tcPr>
          <w:p>
            <w:r>
              <w:rPr>
                <w:rFonts w:ascii="Calibri" w:hAnsi="Calibri"/>
                <w:b/>
                <w:i w:val="0"/>
                <w:color w:val="FFFFFF"/>
                <w:sz w:val="15"/>
              </w:rPr>
              <w:t>Provider/route</w:t>
            </w:r>
          </w:p>
        </w:tc>
        <w:tc>
          <w:tcPr>
            <w:tcW w:type="dxa" w:w="1550"/>
            <w:shd w:fill="102A43"/>
            <w:tcMar>
              <w:top w:w="80" w:type="dxa"/>
              <w:start w:w="120" w:type="dxa"/>
              <w:bottom w:w="80" w:type="dxa"/>
              <w:end w:w="120" w:type="dxa"/>
            </w:tcMar>
            <w:vAlign w:val="center"/>
          </w:tcPr>
          <w:p>
            <w:r>
              <w:rPr>
                <w:rFonts w:ascii="Calibri" w:hAnsi="Calibri"/>
                <w:b/>
                <w:i w:val="0"/>
                <w:color w:val="FFFFFF"/>
                <w:sz w:val="15"/>
              </w:rPr>
              <w:t>Status</w:t>
            </w:r>
          </w:p>
        </w:tc>
        <w:tc>
          <w:tcPr>
            <w:tcW w:type="dxa" w:w="2760"/>
            <w:shd w:fill="102A43"/>
            <w:tcMar>
              <w:top w:w="80" w:type="dxa"/>
              <w:start w:w="120" w:type="dxa"/>
              <w:bottom w:w="80" w:type="dxa"/>
              <w:end w:w="120" w:type="dxa"/>
            </w:tcMar>
            <w:vAlign w:val="center"/>
          </w:tcPr>
          <w:p>
            <w:r>
              <w:rPr>
                <w:rFonts w:ascii="Calibri" w:hAnsi="Calibri"/>
                <w:b/>
                <w:i w:val="0"/>
                <w:color w:val="FFFFFF"/>
                <w:sz w:val="15"/>
              </w:rPr>
              <w:t>Cost signal</w:t>
            </w:r>
          </w:p>
        </w:tc>
        <w:tc>
          <w:tcPr>
            <w:tcW w:type="dxa" w:w="3200"/>
            <w:shd w:fill="102A43"/>
            <w:tcMar>
              <w:top w:w="80" w:type="dxa"/>
              <w:start w:w="120" w:type="dxa"/>
              <w:bottom w:w="80" w:type="dxa"/>
              <w:end w:w="120" w:type="dxa"/>
            </w:tcMar>
            <w:vAlign w:val="center"/>
          </w:tcPr>
          <w:p>
            <w:r>
              <w:rPr>
                <w:rFonts w:ascii="Calibri" w:hAnsi="Calibri"/>
                <w:b/>
                <w:i w:val="0"/>
                <w:color w:val="FFFFFF"/>
                <w:sz w:val="15"/>
              </w:rPr>
              <w:t>Decision note</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iyzico</w:t>
            </w:r>
          </w:p>
        </w:tc>
        <w:tc>
          <w:tcPr>
            <w:tcW w:type="dxa" w:w="1550"/>
            <w:tcMar>
              <w:top w:w="80" w:type="dxa"/>
              <w:start w:w="120" w:type="dxa"/>
              <w:bottom w:w="80" w:type="dxa"/>
              <w:end w:w="120" w:type="dxa"/>
            </w:tcMar>
            <w:vAlign w:val="center"/>
          </w:tcPr>
          <w:p>
            <w:r>
              <w:rPr>
                <w:rFonts w:ascii="Calibri" w:hAnsi="Calibri"/>
                <w:b w:val="0"/>
                <w:i w:val="0"/>
                <w:color w:val="1F2937"/>
                <w:sz w:val="15"/>
              </w:rPr>
              <w:t>Active institution; public offer</w:t>
            </w:r>
          </w:p>
        </w:tc>
        <w:tc>
          <w:tcPr>
            <w:tcW w:type="dxa" w:w="2760"/>
            <w:tcMar>
              <w:top w:w="80" w:type="dxa"/>
              <w:start w:w="120" w:type="dxa"/>
              <w:bottom w:w="80" w:type="dxa"/>
              <w:end w:w="120" w:type="dxa"/>
            </w:tcMar>
            <w:vAlign w:val="center"/>
          </w:tcPr>
          <w:p>
            <w:r>
              <w:rPr>
                <w:rFonts w:ascii="Calibri" w:hAnsi="Calibri"/>
                <w:b w:val="0"/>
                <w:i w:val="0"/>
                <w:color w:val="1F2937"/>
                <w:sz w:val="15"/>
              </w:rPr>
              <w:t>4.29% + TRY 0.25/success; no setup/monthly fee; stated for &gt;TRY 20k monthly sales</w:t>
            </w:r>
          </w:p>
        </w:tc>
        <w:tc>
          <w:tcPr>
            <w:tcW w:type="dxa" w:w="3200"/>
            <w:tcMar>
              <w:top w:w="80" w:type="dxa"/>
              <w:start w:w="120" w:type="dxa"/>
              <w:bottom w:w="80" w:type="dxa"/>
              <w:end w:w="120" w:type="dxa"/>
            </w:tcMar>
            <w:vAlign w:val="center"/>
          </w:tcPr>
          <w:p>
            <w:r>
              <w:rPr>
                <w:rFonts w:ascii="Calibri" w:hAnsi="Calibri"/>
                <w:b w:val="0"/>
                <w:i w:val="0"/>
                <w:color w:val="1F2937"/>
                <w:sz w:val="15"/>
              </w:rPr>
              <w:t>Good transparent baseline; obtain contract for instalments, foreign cards, settlement, refunds and chargebacks.</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PayTR</w:t>
            </w:r>
          </w:p>
        </w:tc>
        <w:tc>
          <w:tcPr>
            <w:tcW w:type="dxa" w:w="1550"/>
            <w:shd w:fill="F8FAFC"/>
            <w:tcMar>
              <w:top w:w="80" w:type="dxa"/>
              <w:start w:w="120" w:type="dxa"/>
              <w:bottom w:w="80" w:type="dxa"/>
              <w:end w:w="120" w:type="dxa"/>
            </w:tcMar>
            <w:vAlign w:val="center"/>
          </w:tcPr>
          <w:p>
            <w:r>
              <w:rPr>
                <w:rFonts w:ascii="Calibri" w:hAnsi="Calibri"/>
                <w:b w:val="0"/>
                <w:i w:val="0"/>
                <w:color w:val="1F2937"/>
                <w:sz w:val="15"/>
              </w:rPr>
              <w:t>Active institution; quote</w:t>
            </w:r>
          </w:p>
        </w:tc>
        <w:tc>
          <w:tcPr>
            <w:tcW w:type="dxa" w:w="2760"/>
            <w:shd w:fill="F8FAFC"/>
            <w:tcMar>
              <w:top w:w="80" w:type="dxa"/>
              <w:start w:w="120" w:type="dxa"/>
              <w:bottom w:w="80" w:type="dxa"/>
              <w:end w:w="120" w:type="dxa"/>
            </w:tcMar>
            <w:vAlign w:val="center"/>
          </w:tcPr>
          <w:p>
            <w:r>
              <w:rPr>
                <w:rFonts w:ascii="Calibri" w:hAnsi="Calibri"/>
                <w:b w:val="0"/>
                <w:i w:val="0"/>
                <w:color w:val="1F2937"/>
                <w:sz w:val="15"/>
              </w:rPr>
              <w:t>No setup/integration/monthly/annual fixed fee; commission business-specific</w:t>
            </w:r>
          </w:p>
        </w:tc>
        <w:tc>
          <w:tcPr>
            <w:tcW w:type="dxa" w:w="3200"/>
            <w:shd w:fill="F8FAFC"/>
            <w:tcMar>
              <w:top w:w="80" w:type="dxa"/>
              <w:start w:w="120" w:type="dxa"/>
              <w:bottom w:w="80" w:type="dxa"/>
              <w:end w:w="120" w:type="dxa"/>
            </w:tcMar>
            <w:vAlign w:val="center"/>
          </w:tcPr>
          <w:p>
            <w:r>
              <w:rPr>
                <w:rFonts w:ascii="Calibri" w:hAnsi="Calibri"/>
                <w:b w:val="0"/>
                <w:i w:val="0"/>
                <w:color w:val="1F2937"/>
                <w:sz w:val="15"/>
              </w:rPr>
              <w:t>Do not use a numeric promotional rate as a contracted assumption.</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Sipay</w:t>
            </w:r>
          </w:p>
        </w:tc>
        <w:tc>
          <w:tcPr>
            <w:tcW w:type="dxa" w:w="1550"/>
            <w:tcMar>
              <w:top w:w="80" w:type="dxa"/>
              <w:start w:w="120" w:type="dxa"/>
              <w:bottom w:w="80" w:type="dxa"/>
              <w:end w:w="120" w:type="dxa"/>
            </w:tcMar>
            <w:vAlign w:val="center"/>
          </w:tcPr>
          <w:p>
            <w:r>
              <w:rPr>
                <w:rFonts w:ascii="Calibri" w:hAnsi="Calibri"/>
                <w:b w:val="0"/>
                <w:i w:val="0"/>
                <w:color w:val="1F2937"/>
                <w:sz w:val="15"/>
              </w:rPr>
              <w:t>Active institution; quote</w:t>
            </w:r>
          </w:p>
        </w:tc>
        <w:tc>
          <w:tcPr>
            <w:tcW w:type="dxa" w:w="2760"/>
            <w:tcMar>
              <w:top w:w="80" w:type="dxa"/>
              <w:start w:w="120" w:type="dxa"/>
              <w:bottom w:w="80" w:type="dxa"/>
              <w:end w:w="120" w:type="dxa"/>
            </w:tcMar>
            <w:vAlign w:val="center"/>
          </w:tcPr>
          <w:p>
            <w:r>
              <w:rPr>
                <w:rFonts w:ascii="Calibri" w:hAnsi="Calibri"/>
                <w:b w:val="0"/>
                <w:i w:val="0"/>
                <w:color w:val="1F2937"/>
                <w:sz w:val="15"/>
              </w:rPr>
              <w:t>No setup/monthly/annual fixed fee; commission quote</w:t>
            </w:r>
          </w:p>
        </w:tc>
        <w:tc>
          <w:tcPr>
            <w:tcW w:type="dxa" w:w="3200"/>
            <w:tcMar>
              <w:top w:w="80" w:type="dxa"/>
              <w:start w:w="120" w:type="dxa"/>
              <w:bottom w:w="80" w:type="dxa"/>
              <w:end w:w="120" w:type="dxa"/>
            </w:tcMar>
            <w:vAlign w:val="center"/>
          </w:tcPr>
          <w:p>
            <w:r>
              <w:rPr>
                <w:rFonts w:ascii="Calibri" w:hAnsi="Calibri"/>
                <w:b w:val="0"/>
                <w:i w:val="0"/>
                <w:color w:val="1F2937"/>
                <w:sz w:val="15"/>
              </w:rPr>
              <w:t>Editable comparison only after written offer.</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Param</w:t>
            </w:r>
          </w:p>
        </w:tc>
        <w:tc>
          <w:tcPr>
            <w:tcW w:type="dxa" w:w="1550"/>
            <w:shd w:fill="F8FAFC"/>
            <w:tcMar>
              <w:top w:w="80" w:type="dxa"/>
              <w:start w:w="120" w:type="dxa"/>
              <w:bottom w:w="80" w:type="dxa"/>
              <w:end w:w="120" w:type="dxa"/>
            </w:tcMar>
            <w:vAlign w:val="center"/>
          </w:tcPr>
          <w:p>
            <w:r>
              <w:rPr>
                <w:rFonts w:ascii="Calibri" w:hAnsi="Calibri"/>
                <w:b w:val="0"/>
                <w:i w:val="0"/>
                <w:color w:val="1F2937"/>
                <w:sz w:val="15"/>
              </w:rPr>
              <w:t>Unsettled permissions footnote</w:t>
            </w:r>
          </w:p>
        </w:tc>
        <w:tc>
          <w:tcPr>
            <w:tcW w:type="dxa" w:w="2760"/>
            <w:shd w:fill="F8FAFC"/>
            <w:tcMar>
              <w:top w:w="80" w:type="dxa"/>
              <w:start w:w="120" w:type="dxa"/>
              <w:bottom w:w="80" w:type="dxa"/>
              <w:end w:w="120" w:type="dxa"/>
            </w:tcMar>
            <w:vAlign w:val="center"/>
          </w:tcPr>
          <w:p>
            <w:r>
              <w:rPr>
                <w:rFonts w:ascii="Calibri" w:hAnsi="Calibri"/>
                <w:b w:val="0"/>
                <w:i w:val="0"/>
                <w:color w:val="1F2937"/>
                <w:sz w:val="15"/>
              </w:rPr>
              <w:t>Do not price or select until written TCMB/legal confirmation</w:t>
            </w:r>
          </w:p>
        </w:tc>
        <w:tc>
          <w:tcPr>
            <w:tcW w:type="dxa" w:w="3200"/>
            <w:shd w:fill="F8FAFC"/>
            <w:tcMar>
              <w:top w:w="80" w:type="dxa"/>
              <w:start w:w="120" w:type="dxa"/>
              <w:bottom w:w="80" w:type="dxa"/>
              <w:end w:w="120" w:type="dxa"/>
            </w:tcMar>
            <w:vAlign w:val="center"/>
          </w:tcPr>
          <w:p>
            <w:r>
              <w:rPr>
                <w:rFonts w:ascii="Calibri" w:hAnsi="Calibri"/>
                <w:b w:val="0"/>
                <w:i w:val="0"/>
                <w:color w:val="1F2937"/>
                <w:sz w:val="15"/>
              </w:rPr>
              <w:t>TCMB page records suspension/court-stay history; exclude from launch shortlist for now.</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Bank CSV/Excel</w:t>
            </w:r>
          </w:p>
        </w:tc>
        <w:tc>
          <w:tcPr>
            <w:tcW w:type="dxa" w:w="1550"/>
            <w:tcMar>
              <w:top w:w="80" w:type="dxa"/>
              <w:start w:w="120" w:type="dxa"/>
              <w:bottom w:w="80" w:type="dxa"/>
              <w:end w:w="120" w:type="dxa"/>
            </w:tcMar>
            <w:vAlign w:val="center"/>
          </w:tcPr>
          <w:p>
            <w:r>
              <w:rPr>
                <w:rFonts w:ascii="Calibri" w:hAnsi="Calibri"/>
                <w:b w:val="0"/>
                <w:i w:val="0"/>
                <w:color w:val="1F2937"/>
                <w:sz w:val="15"/>
              </w:rPr>
              <w:t>Recommended launch fallback</w:t>
            </w:r>
          </w:p>
        </w:tc>
        <w:tc>
          <w:tcPr>
            <w:tcW w:type="dxa" w:w="2760"/>
            <w:tcMar>
              <w:top w:w="80" w:type="dxa"/>
              <w:start w:w="120" w:type="dxa"/>
              <w:bottom w:w="80" w:type="dxa"/>
              <w:end w:w="120" w:type="dxa"/>
            </w:tcMar>
            <w:vAlign w:val="center"/>
          </w:tcPr>
          <w:p>
            <w:r>
              <w:rPr>
                <w:rFonts w:ascii="Calibri" w:hAnsi="Calibri"/>
                <w:b w:val="0"/>
                <w:i w:val="0"/>
                <w:color w:val="1F2937"/>
                <w:sz w:val="15"/>
              </w:rPr>
              <w:t>Low direct provider cost; operational labour remains</w:t>
            </w:r>
          </w:p>
        </w:tc>
        <w:tc>
          <w:tcPr>
            <w:tcW w:type="dxa" w:w="3200"/>
            <w:tcMar>
              <w:top w:w="80" w:type="dxa"/>
              <w:start w:w="120" w:type="dxa"/>
              <w:bottom w:w="80" w:type="dxa"/>
              <w:end w:w="120" w:type="dxa"/>
            </w:tcMar>
            <w:vAlign w:val="center"/>
          </w:tcPr>
          <w:p>
            <w:r>
              <w:rPr>
                <w:rFonts w:ascii="Calibri" w:hAnsi="Calibri"/>
                <w:b w:val="0"/>
                <w:i w:val="0"/>
                <w:color w:val="1F2937"/>
                <w:sz w:val="15"/>
              </w:rPr>
              <w:t>Accountant-approved formats, duplicate detection and matching tolerance required.</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Bank/open-banking API</w:t>
            </w:r>
          </w:p>
        </w:tc>
        <w:tc>
          <w:tcPr>
            <w:tcW w:type="dxa" w:w="1550"/>
            <w:shd w:fill="F8FAFC"/>
            <w:tcMar>
              <w:top w:w="80" w:type="dxa"/>
              <w:start w:w="120" w:type="dxa"/>
              <w:bottom w:w="80" w:type="dxa"/>
              <w:end w:w="120" w:type="dxa"/>
            </w:tcMar>
            <w:vAlign w:val="center"/>
          </w:tcPr>
          <w:p>
            <w:r>
              <w:rPr>
                <w:rFonts w:ascii="Calibri" w:hAnsi="Calibri"/>
                <w:b w:val="0"/>
                <w:i w:val="0"/>
                <w:color w:val="1F2937"/>
                <w:sz w:val="15"/>
              </w:rPr>
              <w:t>Later / quote</w:t>
            </w:r>
          </w:p>
        </w:tc>
        <w:tc>
          <w:tcPr>
            <w:tcW w:type="dxa" w:w="2760"/>
            <w:shd w:fill="F8FAFC"/>
            <w:tcMar>
              <w:top w:w="80" w:type="dxa"/>
              <w:start w:w="120" w:type="dxa"/>
              <w:bottom w:w="80" w:type="dxa"/>
              <w:end w:w="120" w:type="dxa"/>
            </w:tcMar>
            <w:vAlign w:val="center"/>
          </w:tcPr>
          <w:p>
            <w:r>
              <w:rPr>
                <w:rFonts w:ascii="Calibri" w:hAnsi="Calibri"/>
                <w:b w:val="0"/>
                <w:i w:val="0"/>
                <w:color w:val="1F2937"/>
                <w:sz w:val="15"/>
              </w:rPr>
              <w:t>Bank/provider contract, per-account/transaction/API/support fee</w:t>
            </w:r>
          </w:p>
        </w:tc>
        <w:tc>
          <w:tcPr>
            <w:tcW w:type="dxa" w:w="3200"/>
            <w:shd w:fill="F8FAFC"/>
            <w:tcMar>
              <w:top w:w="80" w:type="dxa"/>
              <w:start w:w="120" w:type="dxa"/>
              <w:bottom w:w="80" w:type="dxa"/>
              <w:end w:w="120" w:type="dxa"/>
            </w:tcMar>
            <w:vAlign w:val="center"/>
          </w:tcPr>
          <w:p>
            <w:r>
              <w:rPr>
                <w:rFonts w:ascii="Calibri" w:hAnsi="Calibri"/>
                <w:b w:val="0"/>
                <w:i w:val="0"/>
                <w:color w:val="1F2937"/>
                <w:sz w:val="15"/>
              </w:rPr>
              <w:t>Only add after the bank list and ROI are confirmed.</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Secure Property Payment</w:t>
            </w:r>
          </w:p>
        </w:tc>
        <w:tc>
          <w:tcPr>
            <w:tcW w:type="dxa" w:w="1550"/>
            <w:tcMar>
              <w:top w:w="80" w:type="dxa"/>
              <w:start w:w="120" w:type="dxa"/>
              <w:bottom w:w="80" w:type="dxa"/>
              <w:end w:w="120" w:type="dxa"/>
            </w:tcMar>
            <w:vAlign w:val="center"/>
          </w:tcPr>
          <w:p>
            <w:r>
              <w:rPr>
                <w:rFonts w:ascii="Calibri" w:hAnsi="Calibri"/>
                <w:b w:val="0"/>
                <w:i w:val="0"/>
                <w:color w:val="1F2937"/>
                <w:sz w:val="15"/>
              </w:rPr>
              <w:t>Regulatory dependency from 1 Oct 2026</w:t>
            </w:r>
          </w:p>
        </w:tc>
        <w:tc>
          <w:tcPr>
            <w:tcW w:type="dxa" w:w="2760"/>
            <w:tcMar>
              <w:top w:w="80" w:type="dxa"/>
              <w:start w:w="120" w:type="dxa"/>
              <w:bottom w:w="80" w:type="dxa"/>
              <w:end w:w="120" w:type="dxa"/>
            </w:tcMar>
            <w:vAlign w:val="center"/>
          </w:tcPr>
          <w:p>
            <w:r>
              <w:rPr>
                <w:rFonts w:ascii="Calibri" w:hAnsi="Calibri"/>
                <w:b w:val="0"/>
                <w:i w:val="0"/>
                <w:color w:val="1F2937"/>
                <w:sz w:val="15"/>
              </w:rPr>
              <w:t>Public tariff/specification not located; quote/pending</w:t>
            </w:r>
          </w:p>
        </w:tc>
        <w:tc>
          <w:tcPr>
            <w:tcW w:type="dxa" w:w="3200"/>
            <w:tcMar>
              <w:top w:w="80" w:type="dxa"/>
              <w:start w:w="120" w:type="dxa"/>
              <w:bottom w:w="80" w:type="dxa"/>
              <w:end w:w="120" w:type="dxa"/>
            </w:tcMar>
            <w:vAlign w:val="center"/>
          </w:tcPr>
          <w:p>
            <w:r>
              <w:rPr>
                <w:rFonts w:ascii="Calibri" w:hAnsi="Calibri"/>
                <w:b w:val="0"/>
                <w:i w:val="0"/>
                <w:color w:val="1F2937"/>
                <w:sz w:val="15"/>
              </w:rPr>
              <w:t>Ordinary Virtual POS does not prove compliance.</w:t>
            </w:r>
          </w:p>
        </w:tc>
      </w:tr>
    </w:tbl>
    <w:p>
      <w:pPr>
        <w:pStyle w:val="Heading2"/>
      </w:pPr>
      <w:r>
        <w:t>7.3 Communication and consent services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650"/>
        <w:gridCol w:w="2600"/>
        <w:gridCol w:w="2000"/>
        <w:gridCol w:w="3110"/>
      </w:tblGrid>
      <w:tr>
        <w:trPr>
          <w:cantSplit/>
          <w:tblHeader w:val="true"/>
          <w:cantSplit/>
        </w:trPr>
        <w:tc>
          <w:tcPr>
            <w:tcW w:type="dxa" w:w="1650"/>
            <w:shd w:fill="102A43"/>
            <w:tcMar>
              <w:top w:w="80" w:type="dxa"/>
              <w:start w:w="120" w:type="dxa"/>
              <w:bottom w:w="80" w:type="dxa"/>
              <w:end w:w="120" w:type="dxa"/>
            </w:tcMar>
            <w:vAlign w:val="center"/>
          </w:tcPr>
          <w:p>
            <w:r>
              <w:rPr>
                <w:rFonts w:ascii="Calibri" w:hAnsi="Calibri"/>
                <w:b/>
                <w:i w:val="0"/>
                <w:color w:val="FFFFFF"/>
                <w:sz w:val="15"/>
              </w:rPr>
              <w:t>Channel/provider</w:t>
            </w:r>
          </w:p>
        </w:tc>
        <w:tc>
          <w:tcPr>
            <w:tcW w:type="dxa" w:w="2600"/>
            <w:shd w:fill="102A43"/>
            <w:tcMar>
              <w:top w:w="80" w:type="dxa"/>
              <w:start w:w="120" w:type="dxa"/>
              <w:bottom w:w="80" w:type="dxa"/>
              <w:end w:w="120" w:type="dxa"/>
            </w:tcMar>
            <w:vAlign w:val="center"/>
          </w:tcPr>
          <w:p>
            <w:r>
              <w:rPr>
                <w:rFonts w:ascii="Calibri" w:hAnsi="Calibri"/>
                <w:b/>
                <w:i w:val="0"/>
                <w:color w:val="FFFFFF"/>
                <w:sz w:val="15"/>
              </w:rPr>
              <w:t>Public cost signal</w:t>
            </w:r>
          </w:p>
        </w:tc>
        <w:tc>
          <w:tcPr>
            <w:tcW w:type="dxa" w:w="2000"/>
            <w:shd w:fill="102A43"/>
            <w:tcMar>
              <w:top w:w="80" w:type="dxa"/>
              <w:start w:w="120" w:type="dxa"/>
              <w:bottom w:w="80" w:type="dxa"/>
              <w:end w:w="120" w:type="dxa"/>
            </w:tcMar>
            <w:vAlign w:val="center"/>
          </w:tcPr>
          <w:p>
            <w:r>
              <w:rPr>
                <w:rFonts w:ascii="Calibri" w:hAnsi="Calibri"/>
                <w:b/>
                <w:i w:val="0"/>
                <w:color w:val="FFFFFF"/>
                <w:sz w:val="15"/>
              </w:rPr>
              <w:t>Use</w:t>
            </w:r>
          </w:p>
        </w:tc>
        <w:tc>
          <w:tcPr>
            <w:tcW w:type="dxa" w:w="3110"/>
            <w:shd w:fill="102A43"/>
            <w:tcMar>
              <w:top w:w="80" w:type="dxa"/>
              <w:start w:w="120" w:type="dxa"/>
              <w:bottom w:w="80" w:type="dxa"/>
              <w:end w:w="120" w:type="dxa"/>
            </w:tcMar>
            <w:vAlign w:val="center"/>
          </w:tcPr>
          <w:p>
            <w:r>
              <w:rPr>
                <w:rFonts w:ascii="Calibri" w:hAnsi="Calibri"/>
                <w:b/>
                <w:i w:val="0"/>
                <w:color w:val="FFFFFF"/>
                <w:sz w:val="15"/>
              </w:rPr>
              <w:t>Important caveat</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5"/>
              </w:rPr>
              <w:t>Netgsm OTP</w:t>
            </w:r>
          </w:p>
        </w:tc>
        <w:tc>
          <w:tcPr>
            <w:tcW w:type="dxa" w:w="2600"/>
            <w:tcMar>
              <w:top w:w="80" w:type="dxa"/>
              <w:start w:w="120" w:type="dxa"/>
              <w:bottom w:w="80" w:type="dxa"/>
              <w:end w:w="120" w:type="dxa"/>
            </w:tcMar>
            <w:vAlign w:val="center"/>
          </w:tcPr>
          <w:p>
            <w:r>
              <w:rPr>
                <w:rFonts w:ascii="Calibri" w:hAnsi="Calibri"/>
                <w:b w:val="0"/>
                <w:i w:val="0"/>
                <w:color w:val="1F2937"/>
                <w:sz w:val="15"/>
              </w:rPr>
              <w:t>1k TRY 400; 5k TRY 1,625; 10k TRY 2,790, taxes included; one-year validity</w:t>
            </w:r>
          </w:p>
        </w:tc>
        <w:tc>
          <w:tcPr>
            <w:tcW w:type="dxa" w:w="2000"/>
            <w:tcMar>
              <w:top w:w="80" w:type="dxa"/>
              <w:start w:w="120" w:type="dxa"/>
              <w:bottom w:w="80" w:type="dxa"/>
              <w:end w:w="120" w:type="dxa"/>
            </w:tcMar>
            <w:vAlign w:val="center"/>
          </w:tcPr>
          <w:p>
            <w:r>
              <w:rPr>
                <w:rFonts w:ascii="Calibri" w:hAnsi="Calibri"/>
                <w:b w:val="0"/>
                <w:i w:val="0"/>
                <w:color w:val="1F2937"/>
                <w:sz w:val="15"/>
              </w:rPr>
              <w:t>OTP and high-priority messages</w:t>
            </w:r>
          </w:p>
        </w:tc>
        <w:tc>
          <w:tcPr>
            <w:tcW w:type="dxa" w:w="3110"/>
            <w:tcMar>
              <w:top w:w="80" w:type="dxa"/>
              <w:start w:w="120" w:type="dxa"/>
              <w:bottom w:w="80" w:type="dxa"/>
              <w:end w:w="120" w:type="dxa"/>
            </w:tcMar>
            <w:vAlign w:val="center"/>
          </w:tcPr>
          <w:p>
            <w:r>
              <w:rPr>
                <w:rFonts w:ascii="Calibri" w:hAnsi="Calibri"/>
                <w:b w:val="0"/>
                <w:i w:val="0"/>
                <w:color w:val="1F2937"/>
                <w:sz w:val="15"/>
              </w:rPr>
              <w:t>Optimise annual packages; confirm stacking, sender ID and delivery-report terms.</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5"/>
              </w:rPr>
              <w:t>İleti Merkezi</w:t>
            </w:r>
          </w:p>
        </w:tc>
        <w:tc>
          <w:tcPr>
            <w:tcW w:type="dxa" w:w="2600"/>
            <w:shd w:fill="F8FAFC"/>
            <w:tcMar>
              <w:top w:w="80" w:type="dxa"/>
              <w:start w:w="120" w:type="dxa"/>
              <w:bottom w:w="80" w:type="dxa"/>
              <w:end w:w="120" w:type="dxa"/>
            </w:tcMar>
            <w:vAlign w:val="center"/>
          </w:tcPr>
          <w:p>
            <w:r>
              <w:rPr>
                <w:rFonts w:ascii="Calibri" w:hAnsi="Calibri"/>
                <w:b w:val="0"/>
                <w:i w:val="0"/>
                <w:color w:val="1F2937"/>
                <w:sz w:val="15"/>
              </w:rPr>
              <w:t>1k TRY 359; 5k TRY 1,049; 10k TRY 1,599, taxes included</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Notification SMS alternative</w:t>
            </w:r>
          </w:p>
        </w:tc>
        <w:tc>
          <w:tcPr>
            <w:tcW w:type="dxa" w:w="3110"/>
            <w:shd w:fill="F8FAFC"/>
            <w:tcMar>
              <w:top w:w="80" w:type="dxa"/>
              <w:start w:w="120" w:type="dxa"/>
              <w:bottom w:w="80" w:type="dxa"/>
              <w:end w:w="120" w:type="dxa"/>
            </w:tcMar>
            <w:vAlign w:val="center"/>
          </w:tcPr>
          <w:p>
            <w:r>
              <w:rPr>
                <w:rFonts w:ascii="Calibri" w:hAnsi="Calibri"/>
                <w:b w:val="0"/>
                <w:i w:val="0"/>
                <w:color w:val="1F2937"/>
                <w:sz w:val="15"/>
              </w:rPr>
              <w:t>Confirm category, expiry, sender and API terms.</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5"/>
              </w:rPr>
              <w:t>Turkcell DMS</w:t>
            </w:r>
          </w:p>
        </w:tc>
        <w:tc>
          <w:tcPr>
            <w:tcW w:type="dxa" w:w="2600"/>
            <w:tcMar>
              <w:top w:w="80" w:type="dxa"/>
              <w:start w:w="120" w:type="dxa"/>
              <w:bottom w:w="80" w:type="dxa"/>
              <w:end w:w="120" w:type="dxa"/>
            </w:tcMar>
            <w:vAlign w:val="center"/>
          </w:tcPr>
          <w:p>
            <w:r>
              <w:rPr>
                <w:rFonts w:ascii="Calibri" w:hAnsi="Calibri"/>
                <w:b w:val="0"/>
                <w:i w:val="0"/>
                <w:color w:val="1F2937"/>
                <w:sz w:val="15"/>
              </w:rPr>
              <w:t>1k TRY 315; 5k TRY 1,395; 10k TRY 2,625; higher public packs</w:t>
            </w:r>
          </w:p>
        </w:tc>
        <w:tc>
          <w:tcPr>
            <w:tcW w:type="dxa" w:w="2000"/>
            <w:tcMar>
              <w:top w:w="80" w:type="dxa"/>
              <w:start w:w="120" w:type="dxa"/>
              <w:bottom w:w="80" w:type="dxa"/>
              <w:end w:w="120" w:type="dxa"/>
            </w:tcMar>
            <w:vAlign w:val="center"/>
          </w:tcPr>
          <w:p>
            <w:r>
              <w:rPr>
                <w:rFonts w:ascii="Calibri" w:hAnsi="Calibri"/>
                <w:b w:val="0"/>
                <w:i w:val="0"/>
                <w:color w:val="1F2937"/>
                <w:sz w:val="15"/>
              </w:rPr>
              <w:t>Enterprise bulk SMS comparison</w:t>
            </w:r>
          </w:p>
        </w:tc>
        <w:tc>
          <w:tcPr>
            <w:tcW w:type="dxa" w:w="3110"/>
            <w:tcMar>
              <w:top w:w="80" w:type="dxa"/>
              <w:start w:w="120" w:type="dxa"/>
              <w:bottom w:w="80" w:type="dxa"/>
              <w:end w:w="120" w:type="dxa"/>
            </w:tcMar>
            <w:vAlign w:val="center"/>
          </w:tcPr>
          <w:p>
            <w:r>
              <w:rPr>
                <w:rFonts w:ascii="Calibri" w:hAnsi="Calibri"/>
                <w:b w:val="0"/>
                <w:i w:val="0"/>
                <w:color w:val="1F2937"/>
                <w:sz w:val="15"/>
              </w:rPr>
              <w:t>Package and tax terms require contract confirmation.</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5"/>
              </w:rPr>
              <w:t>Resend</w:t>
            </w:r>
          </w:p>
        </w:tc>
        <w:tc>
          <w:tcPr>
            <w:tcW w:type="dxa" w:w="2600"/>
            <w:shd w:fill="F8FAFC"/>
            <w:tcMar>
              <w:top w:w="80" w:type="dxa"/>
              <w:start w:w="120" w:type="dxa"/>
              <w:bottom w:w="80" w:type="dxa"/>
              <w:end w:w="120" w:type="dxa"/>
            </w:tcMar>
            <w:vAlign w:val="center"/>
          </w:tcPr>
          <w:p>
            <w:r>
              <w:rPr>
                <w:rFonts w:ascii="Calibri" w:hAnsi="Calibri"/>
                <w:b w:val="0"/>
                <w:i w:val="0"/>
                <w:color w:val="1F2937"/>
                <w:sz w:val="15"/>
              </w:rPr>
              <w:t>$20/50k or $35/100k; $0.90/1k overage</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Transactional email</w:t>
            </w:r>
          </w:p>
        </w:tc>
        <w:tc>
          <w:tcPr>
            <w:tcW w:type="dxa" w:w="3110"/>
            <w:shd w:fill="F8FAFC"/>
            <w:tcMar>
              <w:top w:w="80" w:type="dxa"/>
              <w:start w:w="120" w:type="dxa"/>
              <w:bottom w:w="80" w:type="dxa"/>
              <w:end w:w="120" w:type="dxa"/>
            </w:tcMar>
            <w:vAlign w:val="center"/>
          </w:tcPr>
          <w:p>
            <w:r>
              <w:rPr>
                <w:rFonts w:ascii="Calibri" w:hAnsi="Calibri"/>
                <w:b w:val="0"/>
                <w:i w:val="0"/>
                <w:color w:val="1F2937"/>
                <w:sz w:val="15"/>
              </w:rPr>
              <w:t>Production should not rely on free daily-capped plan; configure SPF/DKIM/DMARC and bounce handling.</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5"/>
              </w:rPr>
              <w:t>SenderTR</w:t>
            </w:r>
          </w:p>
        </w:tc>
        <w:tc>
          <w:tcPr>
            <w:tcW w:type="dxa" w:w="2600"/>
            <w:tcMar>
              <w:top w:w="80" w:type="dxa"/>
              <w:start w:w="120" w:type="dxa"/>
              <w:bottom w:w="80" w:type="dxa"/>
              <w:end w:w="120" w:type="dxa"/>
            </w:tcMar>
            <w:vAlign w:val="center"/>
          </w:tcPr>
          <w:p>
            <w:r>
              <w:rPr>
                <w:rFonts w:ascii="Calibri" w:hAnsi="Calibri"/>
                <w:b w:val="0"/>
                <w:i w:val="0"/>
                <w:color w:val="1F2937"/>
                <w:sz w:val="15"/>
              </w:rPr>
              <w:t>10k TRY 250 + VAT; 100k TRY 1,900; higher packs</w:t>
            </w:r>
          </w:p>
        </w:tc>
        <w:tc>
          <w:tcPr>
            <w:tcW w:type="dxa" w:w="2000"/>
            <w:tcMar>
              <w:top w:w="80" w:type="dxa"/>
              <w:start w:w="120" w:type="dxa"/>
              <w:bottom w:w="80" w:type="dxa"/>
              <w:end w:w="120" w:type="dxa"/>
            </w:tcMar>
            <w:vAlign w:val="center"/>
          </w:tcPr>
          <w:p>
            <w:r>
              <w:rPr>
                <w:rFonts w:ascii="Calibri" w:hAnsi="Calibri"/>
                <w:b w:val="0"/>
                <w:i w:val="0"/>
                <w:color w:val="1F2937"/>
                <w:sz w:val="15"/>
              </w:rPr>
              <w:t>Turkish email alternative</w:t>
            </w:r>
          </w:p>
        </w:tc>
        <w:tc>
          <w:tcPr>
            <w:tcW w:type="dxa" w:w="3110"/>
            <w:tcMar>
              <w:top w:w="80" w:type="dxa"/>
              <w:start w:w="120" w:type="dxa"/>
              <w:bottom w:w="80" w:type="dxa"/>
              <w:end w:w="120" w:type="dxa"/>
            </w:tcMar>
            <w:vAlign w:val="center"/>
          </w:tcPr>
          <w:p>
            <w:r>
              <w:rPr>
                <w:rFonts w:ascii="Calibri" w:hAnsi="Calibri"/>
                <w:b w:val="0"/>
                <w:i w:val="0"/>
                <w:color w:val="1F2937"/>
                <w:sz w:val="15"/>
              </w:rPr>
              <w:t>Pilot deliverability and DPA; public positioning is not a production SLA.</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5"/>
              </w:rPr>
              <w:t>FCM / web push</w:t>
            </w:r>
          </w:p>
        </w:tc>
        <w:tc>
          <w:tcPr>
            <w:tcW w:type="dxa" w:w="2600"/>
            <w:shd w:fill="F8FAFC"/>
            <w:tcMar>
              <w:top w:w="80" w:type="dxa"/>
              <w:start w:w="120" w:type="dxa"/>
              <w:bottom w:w="80" w:type="dxa"/>
              <w:end w:w="120" w:type="dxa"/>
            </w:tcMar>
            <w:vAlign w:val="center"/>
          </w:tcPr>
          <w:p>
            <w:r>
              <w:rPr>
                <w:rFonts w:ascii="Calibri" w:hAnsi="Calibri"/>
                <w:b w:val="0"/>
                <w:i w:val="0"/>
                <w:color w:val="1F2937"/>
                <w:sz w:val="15"/>
              </w:rPr>
              <w:t>No direct messaging subscription in normal base usage</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Routine low-cost notifications</w:t>
            </w:r>
          </w:p>
        </w:tc>
        <w:tc>
          <w:tcPr>
            <w:tcW w:type="dxa" w:w="3110"/>
            <w:shd w:fill="F8FAFC"/>
            <w:tcMar>
              <w:top w:w="80" w:type="dxa"/>
              <w:start w:w="120" w:type="dxa"/>
              <w:bottom w:w="80" w:type="dxa"/>
              <w:end w:w="120" w:type="dxa"/>
            </w:tcMar>
            <w:vAlign w:val="center"/>
          </w:tcPr>
          <w:p>
            <w:r>
              <w:rPr>
                <w:rFonts w:ascii="Calibri" w:hAnsi="Calibri"/>
                <w:b w:val="0"/>
                <w:i w:val="0"/>
                <w:color w:val="1F2937"/>
                <w:sz w:val="15"/>
              </w:rPr>
              <w:t>Browser/device coverage, permission UX and supporting cloud usage still matter.</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5"/>
              </w:rPr>
              <w:t>WhatsApp BSP</w:t>
            </w:r>
          </w:p>
        </w:tc>
        <w:tc>
          <w:tcPr>
            <w:tcW w:type="dxa" w:w="2600"/>
            <w:tcMar>
              <w:top w:w="80" w:type="dxa"/>
              <w:start w:w="120" w:type="dxa"/>
              <w:bottom w:w="80" w:type="dxa"/>
              <w:end w:w="120" w:type="dxa"/>
            </w:tcMar>
            <w:vAlign w:val="center"/>
          </w:tcPr>
          <w:p>
            <w:r>
              <w:rPr>
                <w:rFonts w:ascii="Calibri" w:hAnsi="Calibri"/>
                <w:b w:val="0"/>
                <w:i w:val="0"/>
                <w:color w:val="1F2937"/>
                <w:sz w:val="15"/>
              </w:rPr>
              <w:t>Quote / editable category rates</w:t>
            </w:r>
          </w:p>
        </w:tc>
        <w:tc>
          <w:tcPr>
            <w:tcW w:type="dxa" w:w="2000"/>
            <w:tcMar>
              <w:top w:w="80" w:type="dxa"/>
              <w:start w:w="120" w:type="dxa"/>
              <w:bottom w:w="80" w:type="dxa"/>
              <w:end w:w="120" w:type="dxa"/>
            </w:tcMar>
            <w:vAlign w:val="center"/>
          </w:tcPr>
          <w:p>
            <w:r>
              <w:rPr>
                <w:rFonts w:ascii="Calibri" w:hAnsi="Calibri"/>
                <w:b w:val="0"/>
                <w:i w:val="0"/>
                <w:color w:val="1F2937"/>
                <w:sz w:val="15"/>
              </w:rPr>
              <w:t>Optional resident/support channel</w:t>
            </w:r>
          </w:p>
        </w:tc>
        <w:tc>
          <w:tcPr>
            <w:tcW w:type="dxa" w:w="3110"/>
            <w:tcMar>
              <w:top w:w="80" w:type="dxa"/>
              <w:start w:w="120" w:type="dxa"/>
              <w:bottom w:w="80" w:type="dxa"/>
              <w:end w:w="120" w:type="dxa"/>
            </w:tcMar>
            <w:vAlign w:val="center"/>
          </w:tcPr>
          <w:p>
            <w:r>
              <w:rPr>
                <w:rFonts w:ascii="Calibri" w:hAnsi="Calibri"/>
                <w:b w:val="0"/>
                <w:i w:val="0"/>
                <w:color w:val="1F2937"/>
                <w:sz w:val="15"/>
              </w:rPr>
              <w:t>Do not insert zero for unknown Meta/BSP category rates and markups.</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5"/>
              </w:rPr>
              <w:t>İYS</w:t>
            </w:r>
          </w:p>
        </w:tc>
        <w:tc>
          <w:tcPr>
            <w:tcW w:type="dxa" w:w="2600"/>
            <w:shd w:fill="F8FAFC"/>
            <w:tcMar>
              <w:top w:w="80" w:type="dxa"/>
              <w:start w:w="120" w:type="dxa"/>
              <w:bottom w:w="80" w:type="dxa"/>
              <w:end w:w="120" w:type="dxa"/>
            </w:tcMar>
            <w:vAlign w:val="center"/>
          </w:tcPr>
          <w:p>
            <w:r>
              <w:rPr>
                <w:rFonts w:ascii="Calibri" w:hAnsi="Calibri"/>
                <w:b w:val="0"/>
                <w:i w:val="0"/>
                <w:color w:val="1F2937"/>
                <w:sz w:val="15"/>
              </w:rPr>
              <w:t>Mandatory basic functions described as free</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Marketing consent/rejection registry</w:t>
            </w:r>
          </w:p>
        </w:tc>
        <w:tc>
          <w:tcPr>
            <w:tcW w:type="dxa" w:w="3110"/>
            <w:shd w:fill="F8FAFC"/>
            <w:tcMar>
              <w:top w:w="80" w:type="dxa"/>
              <w:start w:w="120" w:type="dxa"/>
              <w:bottom w:w="80" w:type="dxa"/>
              <w:end w:w="120" w:type="dxa"/>
            </w:tcMar>
            <w:vAlign w:val="center"/>
          </w:tcPr>
          <w:p>
            <w:r>
              <w:rPr>
                <w:rFonts w:ascii="Calibri" w:hAnsi="Calibri"/>
                <w:b w:val="0"/>
                <w:i w:val="0"/>
                <w:color w:val="1F2937"/>
                <w:sz w:val="15"/>
              </w:rPr>
              <w:t>Operational and marketing messages must be classified; integrate only after legal workflow approval.</w:t>
            </w:r>
          </w:p>
        </w:tc>
      </w:tr>
    </w:tbl>
    <w:p>
      <w:pPr>
        <w:pStyle w:val="Heading2"/>
      </w:pPr>
      <w:r>
        <w:t>7.4 Documents, identity and Turkish business services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750"/>
        <w:gridCol w:w="2700"/>
        <w:gridCol w:w="2350"/>
        <w:gridCol w:w="2560"/>
      </w:tblGrid>
      <w:tr>
        <w:trPr>
          <w:cantSplit/>
          <w:tblHeader w:val="true"/>
          <w:cantSplit/>
        </w:trPr>
        <w:tc>
          <w:tcPr>
            <w:tcW w:type="dxa" w:w="1750"/>
            <w:shd w:fill="102A43"/>
            <w:tcMar>
              <w:top w:w="80" w:type="dxa"/>
              <w:start w:w="120" w:type="dxa"/>
              <w:bottom w:w="80" w:type="dxa"/>
              <w:end w:w="120" w:type="dxa"/>
            </w:tcMar>
            <w:vAlign w:val="center"/>
          </w:tcPr>
          <w:p>
            <w:r>
              <w:rPr>
                <w:rFonts w:ascii="Calibri" w:hAnsi="Calibri"/>
                <w:b/>
                <w:i w:val="0"/>
                <w:color w:val="FFFFFF"/>
                <w:sz w:val="15"/>
              </w:rPr>
              <w:t>Dependency</w:t>
            </w:r>
          </w:p>
        </w:tc>
        <w:tc>
          <w:tcPr>
            <w:tcW w:type="dxa" w:w="2700"/>
            <w:shd w:fill="102A43"/>
            <w:tcMar>
              <w:top w:w="80" w:type="dxa"/>
              <w:start w:w="120" w:type="dxa"/>
              <w:bottom w:w="80" w:type="dxa"/>
              <w:end w:w="120" w:type="dxa"/>
            </w:tcMar>
            <w:vAlign w:val="center"/>
          </w:tcPr>
          <w:p>
            <w:r>
              <w:rPr>
                <w:rFonts w:ascii="Calibri" w:hAnsi="Calibri"/>
                <w:b/>
                <w:i w:val="0"/>
                <w:color w:val="FFFFFF"/>
                <w:sz w:val="15"/>
              </w:rPr>
              <w:t>Route / public signal</w:t>
            </w:r>
          </w:p>
        </w:tc>
        <w:tc>
          <w:tcPr>
            <w:tcW w:type="dxa" w:w="2350"/>
            <w:shd w:fill="102A43"/>
            <w:tcMar>
              <w:top w:w="80" w:type="dxa"/>
              <w:start w:w="120" w:type="dxa"/>
              <w:bottom w:w="80" w:type="dxa"/>
              <w:end w:w="120" w:type="dxa"/>
            </w:tcMar>
            <w:vAlign w:val="center"/>
          </w:tcPr>
          <w:p>
            <w:r>
              <w:rPr>
                <w:rFonts w:ascii="Calibri" w:hAnsi="Calibri"/>
                <w:b/>
                <w:i w:val="0"/>
                <w:color w:val="FFFFFF"/>
                <w:sz w:val="15"/>
              </w:rPr>
              <w:t>When required</w:t>
            </w:r>
          </w:p>
        </w:tc>
        <w:tc>
          <w:tcPr>
            <w:tcW w:type="dxa" w:w="2560"/>
            <w:shd w:fill="102A43"/>
            <w:tcMar>
              <w:top w:w="80" w:type="dxa"/>
              <w:start w:w="120" w:type="dxa"/>
              <w:bottom w:w="80" w:type="dxa"/>
              <w:end w:w="120" w:type="dxa"/>
            </w:tcMar>
            <w:vAlign w:val="center"/>
          </w:tcPr>
          <w:p>
            <w:r>
              <w:rPr>
                <w:rFonts w:ascii="Calibri" w:hAnsi="Calibri"/>
                <w:b/>
                <w:i w:val="0"/>
                <w:color w:val="FFFFFF"/>
                <w:sz w:val="15"/>
              </w:rPr>
              <w:t>Cost treatment</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e-Fatura/e-Arşiv</w:t>
            </w:r>
          </w:p>
        </w:tc>
        <w:tc>
          <w:tcPr>
            <w:tcW w:type="dxa" w:w="2700"/>
            <w:tcMar>
              <w:top w:w="80" w:type="dxa"/>
              <w:start w:w="120" w:type="dxa"/>
              <w:bottom w:w="80" w:type="dxa"/>
              <w:end w:w="120" w:type="dxa"/>
            </w:tcMar>
            <w:vAlign w:val="center"/>
          </w:tcPr>
          <w:p>
            <w:r>
              <w:rPr>
                <w:rFonts w:ascii="Calibri" w:hAnsi="Calibri"/>
                <w:b w:val="0"/>
                <w:i w:val="0"/>
                <w:color w:val="1F2937"/>
                <w:sz w:val="15"/>
              </w:rPr>
              <w:t>GİB Portal, authorised private integrator or direct integration</w:t>
            </w:r>
          </w:p>
        </w:tc>
        <w:tc>
          <w:tcPr>
            <w:tcW w:type="dxa" w:w="2350"/>
            <w:tcMar>
              <w:top w:w="80" w:type="dxa"/>
              <w:start w:w="120" w:type="dxa"/>
              <w:bottom w:w="80" w:type="dxa"/>
              <w:end w:w="120" w:type="dxa"/>
            </w:tcMar>
            <w:vAlign w:val="center"/>
          </w:tcPr>
          <w:p>
            <w:r>
              <w:rPr>
                <w:rFonts w:ascii="Calibri" w:hAnsi="Calibri"/>
                <w:b w:val="0"/>
                <w:i w:val="0"/>
                <w:color w:val="1F2937"/>
                <w:sz w:val="15"/>
              </w:rPr>
              <w:t>Accountant confirms entity scope and current thresholds</w:t>
            </w:r>
          </w:p>
        </w:tc>
        <w:tc>
          <w:tcPr>
            <w:tcW w:type="dxa" w:w="2560"/>
            <w:tcMar>
              <w:top w:w="80" w:type="dxa"/>
              <w:start w:w="120" w:type="dxa"/>
              <w:bottom w:w="80" w:type="dxa"/>
              <w:end w:w="120" w:type="dxa"/>
            </w:tcMar>
            <w:vAlign w:val="center"/>
          </w:tcPr>
          <w:p>
            <w:r>
              <w:rPr>
                <w:rFonts w:ascii="Calibri" w:hAnsi="Calibri"/>
                <w:b w:val="0"/>
                <w:i w:val="0"/>
                <w:color w:val="1F2937"/>
                <w:sz w:val="15"/>
              </w:rPr>
              <w:t>Portal can avoid provider subscription; Paraşüt example is optional convenience.</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Paraşüt example</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TRY 1,800 + VAT activation with 120 credits; 50/100/200 credits TRY 210/400/660 + VAT</w:t>
            </w:r>
          </w:p>
        </w:tc>
        <w:tc>
          <w:tcPr>
            <w:tcW w:type="dxa" w:w="2350"/>
            <w:shd w:fill="F8FAFC"/>
            <w:tcMar>
              <w:top w:w="80" w:type="dxa"/>
              <w:start w:w="120" w:type="dxa"/>
              <w:bottom w:w="80" w:type="dxa"/>
              <w:end w:w="120" w:type="dxa"/>
            </w:tcMar>
            <w:vAlign w:val="center"/>
          </w:tcPr>
          <w:p>
            <w:r>
              <w:rPr>
                <w:rFonts w:ascii="Calibri" w:hAnsi="Calibri"/>
                <w:b w:val="0"/>
                <w:i w:val="0"/>
                <w:color w:val="1F2937"/>
                <w:sz w:val="15"/>
              </w:rPr>
              <w:t>If selected as the private-integrator route</w:t>
            </w:r>
          </w:p>
        </w:tc>
        <w:tc>
          <w:tcPr>
            <w:tcW w:type="dxa" w:w="2560"/>
            <w:shd w:fill="F8FAFC"/>
            <w:tcMar>
              <w:top w:w="80" w:type="dxa"/>
              <w:start w:w="120" w:type="dxa"/>
              <w:bottom w:w="80" w:type="dxa"/>
              <w:end w:w="120" w:type="dxa"/>
            </w:tcMar>
            <w:vAlign w:val="center"/>
          </w:tcPr>
          <w:p>
            <w:r>
              <w:rPr>
                <w:rFonts w:ascii="Calibri" w:hAnsi="Calibri"/>
                <w:b w:val="0"/>
                <w:i w:val="0"/>
                <w:color w:val="1F2937"/>
                <w:sz w:val="15"/>
              </w:rPr>
              <w:t>Annual-document demand; activation counted once.</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Qualified e-sign</w:t>
            </w:r>
          </w:p>
        </w:tc>
        <w:tc>
          <w:tcPr>
            <w:tcW w:type="dxa" w:w="2700"/>
            <w:tcMar>
              <w:top w:w="80" w:type="dxa"/>
              <w:start w:w="120" w:type="dxa"/>
              <w:bottom w:w="80" w:type="dxa"/>
              <w:end w:w="120" w:type="dxa"/>
            </w:tcMar>
            <w:vAlign w:val="center"/>
          </w:tcPr>
          <w:p>
            <w:r>
              <w:rPr>
                <w:rFonts w:ascii="Calibri" w:hAnsi="Calibri"/>
                <w:b w:val="0"/>
                <w:i w:val="0"/>
                <w:color w:val="1F2937"/>
                <w:sz w:val="15"/>
              </w:rPr>
              <w:t>Netgsm three-year TRY 2,990 incl. VAT; TürkTrust alternatives</w:t>
            </w:r>
          </w:p>
        </w:tc>
        <w:tc>
          <w:tcPr>
            <w:tcW w:type="dxa" w:w="2350"/>
            <w:tcMar>
              <w:top w:w="80" w:type="dxa"/>
              <w:start w:w="120" w:type="dxa"/>
              <w:bottom w:w="80" w:type="dxa"/>
              <w:end w:w="120" w:type="dxa"/>
            </w:tcMar>
            <w:vAlign w:val="center"/>
          </w:tcPr>
          <w:p>
            <w:r>
              <w:rPr>
                <w:rFonts w:ascii="Calibri" w:hAnsi="Calibri"/>
                <w:b w:val="0"/>
                <w:i w:val="0"/>
                <w:color w:val="1F2937"/>
                <w:sz w:val="15"/>
              </w:rPr>
              <w:t>Named authorised signers where legally/operationally needed</w:t>
            </w:r>
          </w:p>
        </w:tc>
        <w:tc>
          <w:tcPr>
            <w:tcW w:type="dxa" w:w="2560"/>
            <w:tcMar>
              <w:top w:w="80" w:type="dxa"/>
              <w:start w:w="120" w:type="dxa"/>
              <w:bottom w:w="80" w:type="dxa"/>
              <w:end w:w="120" w:type="dxa"/>
            </w:tcMar>
            <w:vAlign w:val="center"/>
          </w:tcPr>
          <w:p>
            <w:r>
              <w:rPr>
                <w:rFonts w:ascii="Calibri" w:hAnsi="Calibri"/>
                <w:b w:val="0"/>
                <w:i w:val="0"/>
                <w:color w:val="1F2937"/>
                <w:sz w:val="15"/>
              </w:rPr>
              <w:t>Per signer and certificate term; does not transfer property title.</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Mali mühür</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Official/provider quote</w:t>
            </w:r>
          </w:p>
        </w:tc>
        <w:tc>
          <w:tcPr>
            <w:tcW w:type="dxa" w:w="2350"/>
            <w:shd w:fill="F8FAFC"/>
            <w:tcMar>
              <w:top w:w="80" w:type="dxa"/>
              <w:start w:w="120" w:type="dxa"/>
              <w:bottom w:w="80" w:type="dxa"/>
              <w:end w:w="120" w:type="dxa"/>
            </w:tcMar>
            <w:vAlign w:val="center"/>
          </w:tcPr>
          <w:p>
            <w:r>
              <w:rPr>
                <w:rFonts w:ascii="Calibri" w:hAnsi="Calibri"/>
                <w:b w:val="0"/>
                <w:i w:val="0"/>
                <w:color w:val="1F2937"/>
                <w:sz w:val="15"/>
              </w:rPr>
              <w:t>Entity-specific e-document signing route</w:t>
            </w:r>
          </w:p>
        </w:tc>
        <w:tc>
          <w:tcPr>
            <w:tcW w:type="dxa" w:w="2560"/>
            <w:shd w:fill="F8FAFC"/>
            <w:tcMar>
              <w:top w:w="80" w:type="dxa"/>
              <w:start w:w="120" w:type="dxa"/>
              <w:bottom w:w="80" w:type="dxa"/>
              <w:end w:w="120" w:type="dxa"/>
            </w:tcMar>
            <w:vAlign w:val="center"/>
          </w:tcPr>
          <w:p>
            <w:r>
              <w:rPr>
                <w:rFonts w:ascii="Calibri" w:hAnsi="Calibri"/>
                <w:b w:val="0"/>
                <w:i w:val="0"/>
                <w:color w:val="1F2937"/>
                <w:sz w:val="15"/>
              </w:rPr>
              <w:t>Accountant/provider confirms; quote-only until known.</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KEP</w:t>
            </w:r>
          </w:p>
        </w:tc>
        <w:tc>
          <w:tcPr>
            <w:tcW w:type="dxa" w:w="2700"/>
            <w:tcMar>
              <w:top w:w="80" w:type="dxa"/>
              <w:start w:w="120" w:type="dxa"/>
              <w:bottom w:w="80" w:type="dxa"/>
              <w:end w:w="120" w:type="dxa"/>
            </w:tcMar>
            <w:vAlign w:val="center"/>
          </w:tcPr>
          <w:p>
            <w:r>
              <w:rPr>
                <w:rFonts w:ascii="Calibri" w:hAnsi="Calibri"/>
                <w:b w:val="0"/>
                <w:i w:val="0"/>
                <w:color w:val="1F2937"/>
                <w:sz w:val="15"/>
              </w:rPr>
              <w:t>Choose from BTK authorised register</w:t>
            </w:r>
          </w:p>
        </w:tc>
        <w:tc>
          <w:tcPr>
            <w:tcW w:type="dxa" w:w="2350"/>
            <w:tcMar>
              <w:top w:w="80" w:type="dxa"/>
              <w:start w:w="120" w:type="dxa"/>
              <w:bottom w:w="80" w:type="dxa"/>
              <w:end w:w="120" w:type="dxa"/>
            </w:tcMar>
            <w:vAlign w:val="center"/>
          </w:tcPr>
          <w:p>
            <w:r>
              <w:rPr>
                <w:rFonts w:ascii="Calibri" w:hAnsi="Calibri"/>
                <w:b w:val="0"/>
                <w:i w:val="0"/>
                <w:color w:val="1F2937"/>
                <w:sz w:val="15"/>
              </w:rPr>
              <w:t>Legally evidential communications where required</w:t>
            </w:r>
          </w:p>
        </w:tc>
        <w:tc>
          <w:tcPr>
            <w:tcW w:type="dxa" w:w="2560"/>
            <w:tcMar>
              <w:top w:w="80" w:type="dxa"/>
              <w:start w:w="120" w:type="dxa"/>
              <w:bottom w:w="80" w:type="dxa"/>
              <w:end w:w="120" w:type="dxa"/>
            </w:tcMar>
            <w:vAlign w:val="center"/>
          </w:tcPr>
          <w:p>
            <w:r>
              <w:rPr>
                <w:rFonts w:ascii="Calibri" w:hAnsi="Calibri"/>
                <w:b w:val="0"/>
                <w:i w:val="0"/>
                <w:color w:val="1F2937"/>
                <w:sz w:val="15"/>
              </w:rPr>
              <w:t>Mailbox, sends, storage and integration tariff by quote.</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EİDS</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Official authority-verification system</w:t>
            </w:r>
          </w:p>
        </w:tc>
        <w:tc>
          <w:tcPr>
            <w:tcW w:type="dxa" w:w="2350"/>
            <w:shd w:fill="F8FAFC"/>
            <w:tcMar>
              <w:top w:w="80" w:type="dxa"/>
              <w:start w:w="120" w:type="dxa"/>
              <w:bottom w:w="80" w:type="dxa"/>
              <w:end w:w="120" w:type="dxa"/>
            </w:tcMar>
            <w:vAlign w:val="center"/>
          </w:tcPr>
          <w:p>
            <w:r>
              <w:rPr>
                <w:rFonts w:ascii="Calibri" w:hAnsi="Calibri"/>
                <w:b w:val="0"/>
                <w:i w:val="0"/>
                <w:color w:val="1F2937"/>
                <w:sz w:val="15"/>
              </w:rPr>
              <w:t>All electronic property advertisements, including social/WhatsApp contexts</w:t>
            </w:r>
          </w:p>
        </w:tc>
        <w:tc>
          <w:tcPr>
            <w:tcW w:type="dxa" w:w="2560"/>
            <w:shd w:fill="F8FAFC"/>
            <w:tcMar>
              <w:top w:w="80" w:type="dxa"/>
              <w:start w:w="120" w:type="dxa"/>
              <w:bottom w:w="80" w:type="dxa"/>
              <w:end w:w="120" w:type="dxa"/>
            </w:tcMar>
            <w:vAlign w:val="center"/>
          </w:tcPr>
          <w:p>
            <w:r>
              <w:rPr>
                <w:rFonts w:ascii="Calibri" w:hAnsi="Calibri"/>
                <w:b w:val="0"/>
                <w:i w:val="0"/>
                <w:color w:val="1F2937"/>
                <w:sz w:val="15"/>
              </w:rPr>
              <w:t>Access/integration/portal process pending; process and evidence cost more than a simple API call.</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Property portals</w:t>
            </w:r>
          </w:p>
        </w:tc>
        <w:tc>
          <w:tcPr>
            <w:tcW w:type="dxa" w:w="2700"/>
            <w:tcMar>
              <w:top w:w="80" w:type="dxa"/>
              <w:start w:w="120" w:type="dxa"/>
              <w:bottom w:w="80" w:type="dxa"/>
              <w:end w:w="120" w:type="dxa"/>
            </w:tcMar>
            <w:vAlign w:val="center"/>
          </w:tcPr>
          <w:p>
            <w:r>
              <w:rPr>
                <w:rFonts w:ascii="Calibri" w:hAnsi="Calibri"/>
                <w:b w:val="0"/>
                <w:i w:val="0"/>
                <w:color w:val="1F2937"/>
                <w:sz w:val="15"/>
              </w:rPr>
              <w:t>Sahibinden/Hepsiemlak/other contracts</w:t>
            </w:r>
          </w:p>
        </w:tc>
        <w:tc>
          <w:tcPr>
            <w:tcW w:type="dxa" w:w="2350"/>
            <w:tcMar>
              <w:top w:w="80" w:type="dxa"/>
              <w:start w:w="120" w:type="dxa"/>
              <w:bottom w:w="80" w:type="dxa"/>
              <w:end w:w="120" w:type="dxa"/>
            </w:tcMar>
            <w:vAlign w:val="center"/>
          </w:tcPr>
          <w:p>
            <w:r>
              <w:rPr>
                <w:rFonts w:ascii="Calibri" w:hAnsi="Calibri"/>
                <w:b w:val="0"/>
                <w:i w:val="0"/>
                <w:color w:val="1F2937"/>
                <w:sz w:val="15"/>
              </w:rPr>
              <w:t>Publication and lead ingestion</w:t>
            </w:r>
          </w:p>
        </w:tc>
        <w:tc>
          <w:tcPr>
            <w:tcW w:type="dxa" w:w="2560"/>
            <w:tcMar>
              <w:top w:w="80" w:type="dxa"/>
              <w:start w:w="120" w:type="dxa"/>
              <w:bottom w:w="80" w:type="dxa"/>
              <w:end w:w="120" w:type="dxa"/>
            </w:tcMar>
            <w:vAlign w:val="center"/>
          </w:tcPr>
          <w:p>
            <w:r>
              <w:rPr>
                <w:rFonts w:ascii="Calibri" w:hAnsi="Calibri"/>
                <w:b w:val="0"/>
                <w:i w:val="0"/>
                <w:color w:val="1F2937"/>
                <w:sz w:val="15"/>
              </w:rPr>
              <w:t>Subscription, listing pack, API/feed, photos and support quote.</w:t>
            </w:r>
          </w:p>
        </w:tc>
      </w:tr>
    </w:tbl>
    <w:p>
      <w:pPr>
        <w:pStyle w:val="Heading2"/>
      </w:pPr>
      <w:r>
        <w:t>7.5 Maps, storage, access, camera and facilities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750"/>
        <w:gridCol w:w="2700"/>
        <w:gridCol w:w="2550"/>
        <w:gridCol w:w="2360"/>
      </w:tblGrid>
      <w:tr>
        <w:trPr>
          <w:cantSplit/>
          <w:tblHeader w:val="true"/>
          <w:cantSplit/>
        </w:trPr>
        <w:tc>
          <w:tcPr>
            <w:tcW w:type="dxa" w:w="1750"/>
            <w:shd w:fill="102A43"/>
            <w:tcMar>
              <w:top w:w="80" w:type="dxa"/>
              <w:start w:w="120" w:type="dxa"/>
              <w:bottom w:w="80" w:type="dxa"/>
              <w:end w:w="120" w:type="dxa"/>
            </w:tcMar>
            <w:vAlign w:val="center"/>
          </w:tcPr>
          <w:p>
            <w:r>
              <w:rPr>
                <w:rFonts w:ascii="Calibri" w:hAnsi="Calibri"/>
                <w:b/>
                <w:i w:val="0"/>
                <w:color w:val="FFFFFF"/>
                <w:sz w:val="15"/>
              </w:rPr>
              <w:t>Dependency</w:t>
            </w:r>
          </w:p>
        </w:tc>
        <w:tc>
          <w:tcPr>
            <w:tcW w:type="dxa" w:w="2700"/>
            <w:shd w:fill="102A43"/>
            <w:tcMar>
              <w:top w:w="80" w:type="dxa"/>
              <w:start w:w="120" w:type="dxa"/>
              <w:bottom w:w="80" w:type="dxa"/>
              <w:end w:w="120" w:type="dxa"/>
            </w:tcMar>
            <w:vAlign w:val="center"/>
          </w:tcPr>
          <w:p>
            <w:r>
              <w:rPr>
                <w:rFonts w:ascii="Calibri" w:hAnsi="Calibri"/>
                <w:b/>
                <w:i w:val="0"/>
                <w:color w:val="FFFFFF"/>
                <w:sz w:val="15"/>
              </w:rPr>
              <w:t>Planning position</w:t>
            </w:r>
          </w:p>
        </w:tc>
        <w:tc>
          <w:tcPr>
            <w:tcW w:type="dxa" w:w="2550"/>
            <w:shd w:fill="102A43"/>
            <w:tcMar>
              <w:top w:w="80" w:type="dxa"/>
              <w:start w:w="120" w:type="dxa"/>
              <w:bottom w:w="80" w:type="dxa"/>
              <w:end w:w="120" w:type="dxa"/>
            </w:tcMar>
            <w:vAlign w:val="center"/>
          </w:tcPr>
          <w:p>
            <w:r>
              <w:rPr>
                <w:rFonts w:ascii="Calibri" w:hAnsi="Calibri"/>
                <w:b/>
                <w:i w:val="0"/>
                <w:color w:val="FFFFFF"/>
                <w:sz w:val="15"/>
              </w:rPr>
              <w:t>Price/cost signal</w:t>
            </w:r>
          </w:p>
        </w:tc>
        <w:tc>
          <w:tcPr>
            <w:tcW w:type="dxa" w:w="2360"/>
            <w:shd w:fill="102A43"/>
            <w:tcMar>
              <w:top w:w="80" w:type="dxa"/>
              <w:start w:w="120" w:type="dxa"/>
              <w:bottom w:w="80" w:type="dxa"/>
              <w:end w:w="120" w:type="dxa"/>
            </w:tcMar>
            <w:vAlign w:val="center"/>
          </w:tcPr>
          <w:p>
            <w:r>
              <w:rPr>
                <w:rFonts w:ascii="Calibri" w:hAnsi="Calibri"/>
                <w:b/>
                <w:i w:val="0"/>
                <w:color w:val="FFFFFF"/>
                <w:sz w:val="15"/>
              </w:rPr>
              <w:t>Gate</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Google Maps PAYG</w:t>
            </w:r>
          </w:p>
        </w:tc>
        <w:tc>
          <w:tcPr>
            <w:tcW w:type="dxa" w:w="2700"/>
            <w:tcMar>
              <w:top w:w="80" w:type="dxa"/>
              <w:start w:w="120" w:type="dxa"/>
              <w:bottom w:w="80" w:type="dxa"/>
              <w:end w:w="120" w:type="dxa"/>
            </w:tcMar>
            <w:vAlign w:val="center"/>
          </w:tcPr>
          <w:p>
            <w:r>
              <w:rPr>
                <w:rFonts w:ascii="Calibri" w:hAnsi="Calibri"/>
                <w:b w:val="0"/>
                <w:i w:val="0"/>
                <w:color w:val="1F2937"/>
                <w:sz w:val="15"/>
              </w:rPr>
              <w:t>Dynamic maps only where interactive value is needed</w:t>
            </w:r>
          </w:p>
        </w:tc>
        <w:tc>
          <w:tcPr>
            <w:tcW w:type="dxa" w:w="2550"/>
            <w:tcMar>
              <w:top w:w="80" w:type="dxa"/>
              <w:start w:w="120" w:type="dxa"/>
              <w:bottom w:w="80" w:type="dxa"/>
              <w:end w:w="120" w:type="dxa"/>
            </w:tcMar>
            <w:vAlign w:val="center"/>
          </w:tcPr>
          <w:p>
            <w:r>
              <w:rPr>
                <w:rFonts w:ascii="Calibri" w:hAnsi="Calibri"/>
                <w:b w:val="0"/>
                <w:i w:val="0"/>
                <w:color w:val="1F2937"/>
                <w:sz w:val="15"/>
              </w:rPr>
              <w:t>First 10k free; then progressive $7/$5.60/$4.20/$2.10/$0.53 per 1k</w:t>
            </w:r>
          </w:p>
        </w:tc>
        <w:tc>
          <w:tcPr>
            <w:tcW w:type="dxa" w:w="2360"/>
            <w:tcMar>
              <w:top w:w="80" w:type="dxa"/>
              <w:start w:w="120" w:type="dxa"/>
              <w:bottom w:w="80" w:type="dxa"/>
              <w:end w:w="120" w:type="dxa"/>
            </w:tcMar>
            <w:vAlign w:val="center"/>
          </w:tcPr>
          <w:p>
            <w:r>
              <w:rPr>
                <w:rFonts w:ascii="Calibri" w:hAnsi="Calibri"/>
                <w:b w:val="0"/>
                <w:i w:val="0"/>
                <w:color w:val="1F2937"/>
                <w:sz w:val="15"/>
              </w:rPr>
              <w:t>Compare with Embed and subscription SKUs.</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Google Maps subscriptions</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Evaluate current call mix</w:t>
            </w:r>
          </w:p>
        </w:tc>
        <w:tc>
          <w:tcPr>
            <w:tcW w:type="dxa" w:w="2550"/>
            <w:shd w:fill="F8FAFC"/>
            <w:tcMar>
              <w:top w:w="80" w:type="dxa"/>
              <w:start w:w="120" w:type="dxa"/>
              <w:bottom w:w="80" w:type="dxa"/>
              <w:end w:w="120" w:type="dxa"/>
            </w:tcMar>
            <w:vAlign w:val="center"/>
          </w:tcPr>
          <w:p>
            <w:r>
              <w:rPr>
                <w:rFonts w:ascii="Calibri" w:hAnsi="Calibri"/>
                <w:b w:val="0"/>
                <w:i w:val="0"/>
                <w:color w:val="1F2937"/>
                <w:sz w:val="15"/>
              </w:rPr>
              <w:t>Starter $100/50k; Essentials $275/100k; Pro $1,200/250k combined calls</w:t>
            </w:r>
          </w:p>
        </w:tc>
        <w:tc>
          <w:tcPr>
            <w:tcW w:type="dxa" w:w="2360"/>
            <w:shd w:fill="F8FAFC"/>
            <w:tcMar>
              <w:top w:w="80" w:type="dxa"/>
              <w:start w:w="120" w:type="dxa"/>
              <w:bottom w:w="80" w:type="dxa"/>
              <w:end w:w="120" w:type="dxa"/>
            </w:tcMar>
            <w:vAlign w:val="center"/>
          </w:tcPr>
          <w:p>
            <w:r>
              <w:rPr>
                <w:rFonts w:ascii="Calibri" w:hAnsi="Calibri"/>
                <w:b w:val="0"/>
                <w:i w:val="0"/>
                <w:color w:val="1F2937"/>
                <w:sz w:val="15"/>
              </w:rPr>
              <w:t>Eligibility/SKU inclusion and actual mix must be verified.</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Supabase Storage</w:t>
            </w:r>
          </w:p>
        </w:tc>
        <w:tc>
          <w:tcPr>
            <w:tcW w:type="dxa" w:w="2700"/>
            <w:tcMar>
              <w:top w:w="80" w:type="dxa"/>
              <w:start w:w="120" w:type="dxa"/>
              <w:bottom w:w="80" w:type="dxa"/>
              <w:end w:w="120" w:type="dxa"/>
            </w:tcMar>
            <w:vAlign w:val="center"/>
          </w:tcPr>
          <w:p>
            <w:r>
              <w:rPr>
                <w:rFonts w:ascii="Calibri" w:hAnsi="Calibri"/>
                <w:b w:val="0"/>
                <w:i w:val="0"/>
                <w:color w:val="1F2937"/>
                <w:sz w:val="15"/>
              </w:rPr>
              <w:t>Private documents and optimised images</w:t>
            </w:r>
          </w:p>
        </w:tc>
        <w:tc>
          <w:tcPr>
            <w:tcW w:type="dxa" w:w="2550"/>
            <w:tcMar>
              <w:top w:w="80" w:type="dxa"/>
              <w:start w:w="120" w:type="dxa"/>
              <w:bottom w:w="80" w:type="dxa"/>
              <w:end w:w="120" w:type="dxa"/>
            </w:tcMar>
            <w:vAlign w:val="center"/>
          </w:tcPr>
          <w:p>
            <w:r>
              <w:rPr>
                <w:rFonts w:ascii="Calibri" w:hAnsi="Calibri"/>
                <w:b w:val="0"/>
                <w:i w:val="0"/>
                <w:color w:val="1F2937"/>
                <w:sz w:val="15"/>
              </w:rPr>
              <w:t>100 GB included; then $0.0213/GB-month</w:t>
            </w:r>
          </w:p>
        </w:tc>
        <w:tc>
          <w:tcPr>
            <w:tcW w:type="dxa" w:w="2360"/>
            <w:tcMar>
              <w:top w:w="80" w:type="dxa"/>
              <w:start w:w="120" w:type="dxa"/>
              <w:bottom w:w="80" w:type="dxa"/>
              <w:end w:w="120" w:type="dxa"/>
            </w:tcMar>
            <w:vAlign w:val="center"/>
          </w:tcPr>
          <w:p>
            <w:r>
              <w:rPr>
                <w:rFonts w:ascii="Calibri" w:hAnsi="Calibri"/>
                <w:b w:val="0"/>
                <w:i w:val="0"/>
                <w:color w:val="1F2937"/>
                <w:sz w:val="15"/>
              </w:rPr>
              <w:t>Apply signed URLs, RLS, retention and export/backup.</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Cloudflare R2</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Alternative for large object portfolio</w:t>
            </w:r>
          </w:p>
        </w:tc>
        <w:tc>
          <w:tcPr>
            <w:tcW w:type="dxa" w:w="2550"/>
            <w:shd w:fill="F8FAFC"/>
            <w:tcMar>
              <w:top w:w="80" w:type="dxa"/>
              <w:start w:w="120" w:type="dxa"/>
              <w:bottom w:w="80" w:type="dxa"/>
              <w:end w:w="120" w:type="dxa"/>
            </w:tcMar>
            <w:vAlign w:val="center"/>
          </w:tcPr>
          <w:p>
            <w:r>
              <w:rPr>
                <w:rFonts w:ascii="Calibri" w:hAnsi="Calibri"/>
                <w:b w:val="0"/>
                <w:i w:val="0"/>
                <w:color w:val="1F2937"/>
                <w:sz w:val="15"/>
              </w:rPr>
              <w:t>10 GB free; $0.015/GB-month; egress described as free</w:t>
            </w:r>
          </w:p>
        </w:tc>
        <w:tc>
          <w:tcPr>
            <w:tcW w:type="dxa" w:w="2360"/>
            <w:shd w:fill="F8FAFC"/>
            <w:tcMar>
              <w:top w:w="80" w:type="dxa"/>
              <w:start w:w="120" w:type="dxa"/>
              <w:bottom w:w="80" w:type="dxa"/>
              <w:end w:w="120" w:type="dxa"/>
            </w:tcMar>
            <w:vAlign w:val="center"/>
          </w:tcPr>
          <w:p>
            <w:r>
              <w:rPr>
                <w:rFonts w:ascii="Calibri" w:hAnsi="Calibri"/>
                <w:b w:val="0"/>
                <w:i w:val="0"/>
                <w:color w:val="1F2937"/>
                <w:sz w:val="15"/>
              </w:rPr>
              <w:t>Architecture, requests, DPA/location and operational support still apply.</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Image transformations</w:t>
            </w:r>
          </w:p>
        </w:tc>
        <w:tc>
          <w:tcPr>
            <w:tcW w:type="dxa" w:w="2700"/>
            <w:tcMar>
              <w:top w:w="80" w:type="dxa"/>
              <w:start w:w="120" w:type="dxa"/>
              <w:bottom w:w="80" w:type="dxa"/>
              <w:end w:w="120" w:type="dxa"/>
            </w:tcMar>
            <w:vAlign w:val="center"/>
          </w:tcPr>
          <w:p>
            <w:r>
              <w:rPr>
                <w:rFonts w:ascii="Calibri" w:hAnsi="Calibri"/>
                <w:b w:val="0"/>
                <w:i w:val="0"/>
                <w:color w:val="1F2937"/>
                <w:sz w:val="15"/>
              </w:rPr>
              <w:t>Pre-generate thumbnails by default</w:t>
            </w:r>
          </w:p>
        </w:tc>
        <w:tc>
          <w:tcPr>
            <w:tcW w:type="dxa" w:w="2550"/>
            <w:tcMar>
              <w:top w:w="80" w:type="dxa"/>
              <w:start w:w="120" w:type="dxa"/>
              <w:bottom w:w="80" w:type="dxa"/>
              <w:end w:w="120" w:type="dxa"/>
            </w:tcMar>
            <w:vAlign w:val="center"/>
          </w:tcPr>
          <w:p>
            <w:r>
              <w:rPr>
                <w:rFonts w:ascii="Calibri" w:hAnsi="Calibri"/>
                <w:b w:val="0"/>
                <w:i w:val="0"/>
                <w:color w:val="1F2937"/>
                <w:sz w:val="15"/>
              </w:rPr>
              <w:t>100 origins included; then $5/1,000 unique origins in Supabase example</w:t>
            </w:r>
          </w:p>
        </w:tc>
        <w:tc>
          <w:tcPr>
            <w:tcW w:type="dxa" w:w="2360"/>
            <w:tcMar>
              <w:top w:w="80" w:type="dxa"/>
              <w:start w:w="120" w:type="dxa"/>
              <w:bottom w:w="80" w:type="dxa"/>
              <w:end w:w="120" w:type="dxa"/>
            </w:tcMar>
            <w:vAlign w:val="center"/>
          </w:tcPr>
          <w:p>
            <w:r>
              <w:rPr>
                <w:rFonts w:ascii="Calibri" w:hAnsi="Calibri"/>
                <w:b w:val="0"/>
                <w:i w:val="0"/>
                <w:color w:val="1F2937"/>
                <w:sz w:val="15"/>
              </w:rPr>
              <w:t>Bulk-transforming 1.698m origins can create an ~$8,491 event.</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Access/barrier/card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Existing-site inventory first</w:t>
            </w:r>
          </w:p>
        </w:tc>
        <w:tc>
          <w:tcPr>
            <w:tcW w:type="dxa" w:w="2550"/>
            <w:shd w:fill="F8FAFC"/>
            <w:tcMar>
              <w:top w:w="80" w:type="dxa"/>
              <w:start w:w="120" w:type="dxa"/>
              <w:bottom w:w="80" w:type="dxa"/>
              <w:end w:w="120" w:type="dxa"/>
            </w:tcMar>
            <w:vAlign w:val="center"/>
          </w:tcPr>
          <w:p>
            <w:r>
              <w:rPr>
                <w:rFonts w:ascii="Calibri" w:hAnsi="Calibri"/>
                <w:b w:val="0"/>
                <w:i w:val="0"/>
                <w:color w:val="1F2937"/>
                <w:sz w:val="15"/>
              </w:rPr>
              <w:t>Hardware/API/licence/installer/network/support quote</w:t>
            </w:r>
          </w:p>
        </w:tc>
        <w:tc>
          <w:tcPr>
            <w:tcW w:type="dxa" w:w="2360"/>
            <w:shd w:fill="F8FAFC"/>
            <w:tcMar>
              <w:top w:w="80" w:type="dxa"/>
              <w:start w:w="120" w:type="dxa"/>
              <w:bottom w:w="80" w:type="dxa"/>
              <w:end w:w="120" w:type="dxa"/>
            </w:tcMar>
            <w:vAlign w:val="center"/>
          </w:tcPr>
          <w:p>
            <w:r>
              <w:rPr>
                <w:rFonts w:ascii="Calibri" w:hAnsi="Calibri"/>
                <w:b w:val="0"/>
                <w:i w:val="0"/>
                <w:color w:val="1F2937"/>
                <w:sz w:val="15"/>
              </w:rPr>
              <w:t>No adapter build before model numbers, API docs and site network are confirmed.</w:t>
            </w:r>
          </w:p>
        </w:tc>
      </w:tr>
      <w:tr>
        <w:trPr>
          <w:cantSplit/>
        </w:trPr>
        <w:tc>
          <w:tcPr>
            <w:tcW w:type="dxa" w:w="1750"/>
            <w:tcMar>
              <w:top w:w="80" w:type="dxa"/>
              <w:start w:w="120" w:type="dxa"/>
              <w:bottom w:w="80" w:type="dxa"/>
              <w:end w:w="120" w:type="dxa"/>
            </w:tcMar>
            <w:vAlign w:val="center"/>
          </w:tcPr>
          <w:p>
            <w:r>
              <w:rPr>
                <w:rFonts w:ascii="Calibri" w:hAnsi="Calibri"/>
                <w:b/>
                <w:i w:val="0"/>
                <w:color w:val="102A43"/>
                <w:sz w:val="15"/>
              </w:rPr>
              <w:t>Cameras/VMS/NVR</w:t>
            </w:r>
          </w:p>
        </w:tc>
        <w:tc>
          <w:tcPr>
            <w:tcW w:type="dxa" w:w="2700"/>
            <w:tcMar>
              <w:top w:w="80" w:type="dxa"/>
              <w:start w:w="120" w:type="dxa"/>
              <w:bottom w:w="80" w:type="dxa"/>
              <w:end w:w="120" w:type="dxa"/>
            </w:tcMar>
            <w:vAlign w:val="center"/>
          </w:tcPr>
          <w:p>
            <w:r>
              <w:rPr>
                <w:rFonts w:ascii="Calibri" w:hAnsi="Calibri"/>
                <w:b w:val="0"/>
                <w:i w:val="0"/>
                <w:color w:val="1F2937"/>
                <w:sz w:val="15"/>
              </w:rPr>
              <w:t>Evidence pointer, not uncontrolled video copying</w:t>
            </w:r>
          </w:p>
        </w:tc>
        <w:tc>
          <w:tcPr>
            <w:tcW w:type="dxa" w:w="2550"/>
            <w:tcMar>
              <w:top w:w="80" w:type="dxa"/>
              <w:start w:w="120" w:type="dxa"/>
              <w:bottom w:w="80" w:type="dxa"/>
              <w:end w:w="120" w:type="dxa"/>
            </w:tcMar>
            <w:vAlign w:val="center"/>
          </w:tcPr>
          <w:p>
            <w:r>
              <w:rPr>
                <w:rFonts w:ascii="Calibri" w:hAnsi="Calibri"/>
                <w:b w:val="0"/>
                <w:i w:val="0"/>
                <w:color w:val="1F2937"/>
                <w:sz w:val="15"/>
              </w:rPr>
              <w:t>Licence, storage, retention, connectivity and installer quote</w:t>
            </w:r>
          </w:p>
        </w:tc>
        <w:tc>
          <w:tcPr>
            <w:tcW w:type="dxa" w:w="2360"/>
            <w:tcMar>
              <w:top w:w="80" w:type="dxa"/>
              <w:start w:w="120" w:type="dxa"/>
              <w:bottom w:w="80" w:type="dxa"/>
              <w:end w:w="120" w:type="dxa"/>
            </w:tcMar>
            <w:vAlign w:val="center"/>
          </w:tcPr>
          <w:p>
            <w:r>
              <w:rPr>
                <w:rFonts w:ascii="Calibri" w:hAnsi="Calibri"/>
                <w:b w:val="0"/>
                <w:i w:val="0"/>
                <w:color w:val="1F2937"/>
                <w:sz w:val="15"/>
              </w:rPr>
              <w:t>Purpose, access, retention, signage and KVKK assessment required.</w:t>
            </w:r>
          </w:p>
        </w:tc>
      </w:tr>
      <w:tr>
        <w:trPr>
          <w:cantSplit/>
        </w:trPr>
        <w:tc>
          <w:tcPr>
            <w:tcW w:type="dxa" w:w="1750"/>
            <w:shd w:fill="F8FAFC"/>
            <w:tcMar>
              <w:top w:w="80" w:type="dxa"/>
              <w:start w:w="120" w:type="dxa"/>
              <w:bottom w:w="80" w:type="dxa"/>
              <w:end w:w="120" w:type="dxa"/>
            </w:tcMar>
            <w:vAlign w:val="center"/>
          </w:tcPr>
          <w:p>
            <w:r>
              <w:rPr>
                <w:rFonts w:ascii="Calibri" w:hAnsi="Calibri"/>
                <w:b/>
                <w:i w:val="0"/>
                <w:color w:val="102A43"/>
                <w:sz w:val="15"/>
              </w:rPr>
              <w:t>Meters/IoT</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Controlled Excel/import first, device API later</w:t>
            </w:r>
          </w:p>
        </w:tc>
        <w:tc>
          <w:tcPr>
            <w:tcW w:type="dxa" w:w="2550"/>
            <w:shd w:fill="F8FAFC"/>
            <w:tcMar>
              <w:top w:w="80" w:type="dxa"/>
              <w:start w:w="120" w:type="dxa"/>
              <w:bottom w:w="80" w:type="dxa"/>
              <w:end w:w="120" w:type="dxa"/>
            </w:tcMar>
            <w:vAlign w:val="center"/>
          </w:tcPr>
          <w:p>
            <w:r>
              <w:rPr>
                <w:rFonts w:ascii="Calibri" w:hAnsi="Calibri"/>
                <w:b w:val="0"/>
                <w:i w:val="0"/>
                <w:color w:val="1F2937"/>
                <w:sz w:val="15"/>
              </w:rPr>
              <w:t>Gateway/device/connectivity/calibration/support quote</w:t>
            </w:r>
          </w:p>
        </w:tc>
        <w:tc>
          <w:tcPr>
            <w:tcW w:type="dxa" w:w="2360"/>
            <w:shd w:fill="F8FAFC"/>
            <w:tcMar>
              <w:top w:w="80" w:type="dxa"/>
              <w:start w:w="120" w:type="dxa"/>
              <w:bottom w:w="80" w:type="dxa"/>
              <w:end w:w="120" w:type="dxa"/>
            </w:tcMar>
            <w:vAlign w:val="center"/>
          </w:tcPr>
          <w:p>
            <w:r>
              <w:rPr>
                <w:rFonts w:ascii="Calibri" w:hAnsi="Calibri"/>
                <w:b w:val="0"/>
                <w:i w:val="0"/>
                <w:color w:val="1F2937"/>
                <w:sz w:val="15"/>
              </w:rPr>
              <w:t>Confirm devices, units, disputes, data ownership and failure fallback.</w:t>
            </w:r>
          </w:p>
        </w:tc>
      </w:tr>
    </w:tbl>
    <w:p>
      <w:pPr>
        <w:pStyle w:val="CaptionSmall"/>
      </w:pPr>
      <w:r>
        <w:rPr>
          <w:rFonts w:ascii="Calibri" w:hAnsi="Calibri"/>
          <w:b/>
          <w:i w:val="0"/>
          <w:color w:val="5B6673"/>
          <w:sz w:val="17"/>
        </w:rPr>
        <w:t xml:space="preserve">Sources checked 15 July 2026: </w:t>
      </w:r>
      <w:hyperlink r:id="rId12">
        <w:r>
          <w:rPr>
            <w:color w:val="2E74B5"/>
            <w:u w:val="single"/>
          </w:rPr>
          <w:t>S01 Supabase</w:t>
        </w:r>
      </w:hyperlink>
      <w:r>
        <w:rPr>
          <w:rFonts w:ascii="Calibri" w:hAnsi="Calibri"/>
          <w:b w:val="0"/>
          <w:i w:val="0"/>
          <w:color w:val="5B6673"/>
          <w:sz w:val="17"/>
        </w:rPr>
        <w:t xml:space="preserve">; </w:t>
      </w:r>
      <w:hyperlink r:id="rId13">
        <w:r>
          <w:rPr>
            <w:color w:val="2E74B5"/>
            <w:u w:val="single"/>
          </w:rPr>
          <w:t>S02 Vercel</w:t>
        </w:r>
      </w:hyperlink>
      <w:r>
        <w:rPr>
          <w:rFonts w:ascii="Calibri" w:hAnsi="Calibri"/>
          <w:b w:val="0"/>
          <w:i w:val="0"/>
          <w:color w:val="5B6673"/>
          <w:sz w:val="17"/>
        </w:rPr>
        <w:t xml:space="preserve">; </w:t>
      </w:r>
      <w:hyperlink r:id="rId14">
        <w:r>
          <w:rPr>
            <w:color w:val="2E74B5"/>
            <w:u w:val="single"/>
          </w:rPr>
          <w:t>S03 Twenty</w:t>
        </w:r>
      </w:hyperlink>
      <w:r>
        <w:rPr>
          <w:rFonts w:ascii="Calibri" w:hAnsi="Calibri"/>
          <w:b w:val="0"/>
          <w:i w:val="0"/>
          <w:color w:val="5B6673"/>
          <w:sz w:val="17"/>
        </w:rPr>
        <w:t xml:space="preserve">; </w:t>
      </w:r>
      <w:hyperlink r:id="rId16">
        <w:r>
          <w:rPr>
            <w:color w:val="2E74B5"/>
            <w:u w:val="single"/>
          </w:rPr>
          <w:t>S07 Google</w:t>
        </w:r>
      </w:hyperlink>
      <w:r>
        <w:rPr>
          <w:rFonts w:ascii="Calibri" w:hAnsi="Calibri"/>
          <w:b w:val="0"/>
          <w:i w:val="0"/>
          <w:color w:val="5B6673"/>
          <w:sz w:val="17"/>
        </w:rPr>
        <w:t xml:space="preserve">; </w:t>
      </w:r>
      <w:hyperlink r:id="rId22">
        <w:r>
          <w:rPr>
            <w:color w:val="2E74B5"/>
            <w:u w:val="single"/>
          </w:rPr>
          <w:t>S08 Google</w:t>
        </w:r>
      </w:hyperlink>
      <w:r>
        <w:rPr>
          <w:rFonts w:ascii="Calibri" w:hAnsi="Calibri"/>
          <w:b w:val="0"/>
          <w:i w:val="0"/>
          <w:color w:val="5B6673"/>
          <w:sz w:val="17"/>
        </w:rPr>
        <w:t xml:space="preserve">; </w:t>
      </w:r>
      <w:hyperlink r:id="rId26">
        <w:r>
          <w:rPr>
            <w:color w:val="2E74B5"/>
            <w:u w:val="single"/>
          </w:rPr>
          <w:t>S11 Cloudflare</w:t>
        </w:r>
      </w:hyperlink>
      <w:r>
        <w:rPr>
          <w:rFonts w:ascii="Calibri" w:hAnsi="Calibri"/>
          <w:b w:val="0"/>
          <w:i w:val="0"/>
          <w:color w:val="5B6673"/>
          <w:sz w:val="17"/>
        </w:rPr>
        <w:t xml:space="preserve">; </w:t>
      </w:r>
      <w:hyperlink r:id="rId17">
        <w:r>
          <w:rPr>
            <w:color w:val="2E74B5"/>
            <w:u w:val="single"/>
          </w:rPr>
          <w:t>S12 iyzico</w:t>
        </w:r>
      </w:hyperlink>
      <w:r>
        <w:rPr>
          <w:rFonts w:ascii="Calibri" w:hAnsi="Calibri"/>
          <w:b w:val="0"/>
          <w:i w:val="0"/>
          <w:color w:val="5B6673"/>
          <w:sz w:val="17"/>
        </w:rPr>
        <w:t xml:space="preserve">; </w:t>
      </w:r>
      <w:hyperlink r:id="rId27">
        <w:r>
          <w:rPr>
            <w:color w:val="2E74B5"/>
            <w:u w:val="single"/>
          </w:rPr>
          <w:t>S13 PayTR</w:t>
        </w:r>
      </w:hyperlink>
      <w:r>
        <w:rPr>
          <w:rFonts w:ascii="Calibri" w:hAnsi="Calibri"/>
          <w:b w:val="0"/>
          <w:i w:val="0"/>
          <w:color w:val="5B6673"/>
          <w:sz w:val="17"/>
        </w:rPr>
        <w:t xml:space="preserve">; </w:t>
      </w:r>
      <w:hyperlink r:id="rId28">
        <w:r>
          <w:rPr>
            <w:color w:val="2E74B5"/>
            <w:u w:val="single"/>
          </w:rPr>
          <w:t>S14 Sipay</w:t>
        </w:r>
      </w:hyperlink>
      <w:r>
        <w:rPr>
          <w:rFonts w:ascii="Calibri" w:hAnsi="Calibri"/>
          <w:b w:val="0"/>
          <w:i w:val="0"/>
          <w:color w:val="5B6673"/>
          <w:sz w:val="17"/>
        </w:rPr>
        <w:t xml:space="preserve">; </w:t>
      </w:r>
      <w:hyperlink r:id="rId29">
        <w:r>
          <w:rPr>
            <w:color w:val="2E74B5"/>
            <w:u w:val="single"/>
          </w:rPr>
          <w:t>S15 TCMB</w:t>
        </w:r>
      </w:hyperlink>
      <w:r>
        <w:rPr>
          <w:rFonts w:ascii="Calibri" w:hAnsi="Calibri"/>
          <w:b w:val="0"/>
          <w:i w:val="0"/>
          <w:color w:val="5B6673"/>
          <w:sz w:val="17"/>
        </w:rPr>
        <w:t xml:space="preserve">; </w:t>
      </w:r>
      <w:hyperlink r:id="rId18">
        <w:r>
          <w:rPr>
            <w:color w:val="2E74B5"/>
            <w:u w:val="single"/>
          </w:rPr>
          <w:t>S16 Netgsm</w:t>
        </w:r>
      </w:hyperlink>
      <w:r>
        <w:rPr>
          <w:rFonts w:ascii="Calibri" w:hAnsi="Calibri"/>
          <w:b w:val="0"/>
          <w:i w:val="0"/>
          <w:color w:val="5B6673"/>
          <w:sz w:val="17"/>
        </w:rPr>
        <w:t xml:space="preserve">; </w:t>
      </w:r>
      <w:hyperlink r:id="rId30">
        <w:r>
          <w:rPr>
            <w:color w:val="2E74B5"/>
            <w:u w:val="single"/>
          </w:rPr>
          <w:t>S18 İleti Merkezi</w:t>
        </w:r>
      </w:hyperlink>
      <w:r>
        <w:rPr>
          <w:rFonts w:ascii="Calibri" w:hAnsi="Calibri"/>
          <w:b w:val="0"/>
          <w:i w:val="0"/>
          <w:color w:val="5B6673"/>
          <w:sz w:val="17"/>
        </w:rPr>
        <w:t xml:space="preserve">; </w:t>
      </w:r>
      <w:hyperlink r:id="rId31">
        <w:r>
          <w:rPr>
            <w:color w:val="2E74B5"/>
            <w:u w:val="single"/>
          </w:rPr>
          <w:t>S19 SenderTR</w:t>
        </w:r>
      </w:hyperlink>
      <w:r>
        <w:rPr>
          <w:rFonts w:ascii="Calibri" w:hAnsi="Calibri"/>
          <w:b w:val="0"/>
          <w:i w:val="0"/>
          <w:color w:val="5B6673"/>
          <w:sz w:val="17"/>
        </w:rPr>
        <w:t xml:space="preserve">; </w:t>
      </w:r>
      <w:hyperlink r:id="rId24">
        <w:r>
          <w:rPr>
            <w:color w:val="2E74B5"/>
            <w:u w:val="single"/>
          </w:rPr>
          <w:t>S20 Paraşüt</w:t>
        </w:r>
      </w:hyperlink>
      <w:r>
        <w:rPr>
          <w:rFonts w:ascii="Calibri" w:hAnsi="Calibri"/>
          <w:b w:val="0"/>
          <w:i w:val="0"/>
          <w:color w:val="5B6673"/>
          <w:sz w:val="17"/>
        </w:rPr>
        <w:t xml:space="preserve">; </w:t>
      </w:r>
      <w:hyperlink r:id="rId25">
        <w:r>
          <w:rPr>
            <w:color w:val="2E74B5"/>
            <w:u w:val="single"/>
          </w:rPr>
          <w:t>S21 Netgsm</w:t>
        </w:r>
      </w:hyperlink>
      <w:r>
        <w:rPr>
          <w:rFonts w:ascii="Calibri" w:hAnsi="Calibri"/>
          <w:b w:val="0"/>
          <w:i w:val="0"/>
          <w:color w:val="5B6673"/>
          <w:sz w:val="17"/>
        </w:rPr>
        <w:t xml:space="preserve">; </w:t>
      </w:r>
      <w:hyperlink r:id="rId32">
        <w:r>
          <w:rPr>
            <w:color w:val="2E74B5"/>
            <w:u w:val="single"/>
          </w:rPr>
          <w:t>S22 BTK</w:t>
        </w:r>
      </w:hyperlink>
      <w:r>
        <w:rPr>
          <w:rFonts w:ascii="Calibri" w:hAnsi="Calibri"/>
          <w:b w:val="0"/>
          <w:i w:val="0"/>
          <w:color w:val="5B6673"/>
          <w:sz w:val="17"/>
        </w:rPr>
        <w:t xml:space="preserve">; </w:t>
      </w:r>
      <w:hyperlink r:id="rId33">
        <w:r>
          <w:rPr>
            <w:color w:val="2E74B5"/>
            <w:u w:val="single"/>
          </w:rPr>
          <w:t>S23 GİB</w:t>
        </w:r>
      </w:hyperlink>
      <w:r>
        <w:rPr>
          <w:rFonts w:ascii="Calibri" w:hAnsi="Calibri"/>
          <w:b w:val="0"/>
          <w:i w:val="0"/>
          <w:color w:val="5B6673"/>
          <w:sz w:val="17"/>
        </w:rPr>
        <w:t xml:space="preserve">; </w:t>
      </w:r>
      <w:hyperlink r:id="rId34">
        <w:r>
          <w:rPr>
            <w:color w:val="2E74B5"/>
            <w:u w:val="single"/>
          </w:rPr>
          <w:t>S24 GİB</w:t>
        </w:r>
      </w:hyperlink>
      <w:r>
        <w:rPr>
          <w:rFonts w:ascii="Calibri" w:hAnsi="Calibri"/>
          <w:b w:val="0"/>
          <w:i w:val="0"/>
          <w:color w:val="5B6673"/>
          <w:sz w:val="17"/>
        </w:rPr>
        <w:t xml:space="preserve">; </w:t>
      </w:r>
      <w:hyperlink r:id="rId35">
        <w:r>
          <w:rPr>
            <w:color w:val="2E74B5"/>
            <w:u w:val="single"/>
          </w:rPr>
          <w:t>S33 İYS</w:t>
        </w:r>
      </w:hyperlink>
      <w:r>
        <w:rPr>
          <w:rFonts w:ascii="Calibri" w:hAnsi="Calibri"/>
          <w:b w:val="0"/>
          <w:i w:val="0"/>
          <w:color w:val="5B6673"/>
          <w:sz w:val="17"/>
        </w:rPr>
        <w:t xml:space="preserve">; </w:t>
      </w:r>
      <w:hyperlink r:id="rId36">
        <w:r>
          <w:rPr>
            <w:color w:val="2E74B5"/>
            <w:u w:val="single"/>
          </w:rPr>
          <w:t>S34 Ministry of Trade</w:t>
        </w:r>
      </w:hyperlink>
      <w:r>
        <w:rPr>
          <w:rFonts w:ascii="Calibri" w:hAnsi="Calibri"/>
          <w:b w:val="0"/>
          <w:i w:val="0"/>
          <w:color w:val="5B6673"/>
          <w:sz w:val="17"/>
        </w:rPr>
        <w:t xml:space="preserve">; </w:t>
      </w:r>
      <w:hyperlink r:id="rId37">
        <w:r>
          <w:rPr>
            <w:color w:val="2E74B5"/>
            <w:u w:val="single"/>
          </w:rPr>
          <w:t>S37 Ministry of Trade</w:t>
        </w:r>
      </w:hyperlink>
    </w:p>
    <w:p>
      <w:bookmarkStart w:id="110" w:name="turkey"/>
      <w:pPr>
        <w:pStyle w:val="Heading1"/>
      </w:pPr>
      <w:r>
        <w:t>8. Turkish regulatory and compliance blueprint</w:t>
      </w:r>
      <w:bookmarkEnd w:id="110"/>
    </w:p>
    <w:p>
      <w:pPr>
        <w:pStyle w:val="ExecutiveLead"/>
      </w:pPr>
      <w:r>
        <w:rPr>
          <w:rFonts w:ascii="Calibri" w:hAnsi="Calibri"/>
          <w:b w:val="0"/>
          <w:i w:val="0"/>
          <w:color w:val="1F2937"/>
          <w:sz w:val="20"/>
        </w:rPr>
        <w:t>Turkish compliance is a set of operating controls, not a single legal checkbox. Applicability depends on Ataberk's legal entity, employee/balance-sheet thresholds, brokerage activity, listing channels, payment role, data flows and chosen providers. Each item needs a named evidence owner.</w:t>
      </w:r>
    </w:p>
    <w:p>
      <w:pPr>
        <w:pStyle w:val="Heading2"/>
      </w:pPr>
      <w:r>
        <w:t>8.1 KVKK and cross-border cloud</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50"/>
        <w:gridCol w:w="4200"/>
        <w:gridCol w:w="3310"/>
      </w:tblGrid>
      <w:tr>
        <w:trPr>
          <w:cantSplit/>
          <w:tblHeader w:val="true"/>
          <w:cantSplit/>
        </w:trPr>
        <w:tc>
          <w:tcPr>
            <w:tcW w:type="dxa" w:w="1850"/>
            <w:shd w:fill="102A43"/>
            <w:tcMar>
              <w:top w:w="80" w:type="dxa"/>
              <w:start w:w="120" w:type="dxa"/>
              <w:bottom w:w="80" w:type="dxa"/>
              <w:end w:w="120" w:type="dxa"/>
            </w:tcMar>
            <w:vAlign w:val="center"/>
          </w:tcPr>
          <w:p>
            <w:r>
              <w:rPr>
                <w:rFonts w:ascii="Calibri" w:hAnsi="Calibri"/>
                <w:b/>
                <w:i w:val="0"/>
                <w:color w:val="FFFFFF"/>
                <w:sz w:val="15"/>
              </w:rPr>
              <w:t>Requirement</w:t>
            </w:r>
          </w:p>
        </w:tc>
        <w:tc>
          <w:tcPr>
            <w:tcW w:type="dxa" w:w="4200"/>
            <w:shd w:fill="102A43"/>
            <w:tcMar>
              <w:top w:w="80" w:type="dxa"/>
              <w:start w:w="120" w:type="dxa"/>
              <w:bottom w:w="80" w:type="dxa"/>
              <w:end w:w="120" w:type="dxa"/>
            </w:tcMar>
            <w:vAlign w:val="center"/>
          </w:tcPr>
          <w:p>
            <w:r>
              <w:rPr>
                <w:rFonts w:ascii="Calibri" w:hAnsi="Calibri"/>
                <w:b/>
                <w:i w:val="0"/>
                <w:color w:val="FFFFFF"/>
                <w:sz w:val="15"/>
              </w:rPr>
              <w:t>Verified planning position</w:t>
            </w:r>
          </w:p>
        </w:tc>
        <w:tc>
          <w:tcPr>
            <w:tcW w:type="dxa" w:w="3310"/>
            <w:shd w:fill="102A43"/>
            <w:tcMar>
              <w:top w:w="80" w:type="dxa"/>
              <w:start w:w="120" w:type="dxa"/>
              <w:bottom w:w="80" w:type="dxa"/>
              <w:end w:w="120" w:type="dxa"/>
            </w:tcMar>
            <w:vAlign w:val="center"/>
          </w:tcPr>
          <w:p>
            <w:r>
              <w:rPr>
                <w:rFonts w:ascii="Calibri" w:hAnsi="Calibri"/>
                <w:b/>
                <w:i w:val="0"/>
                <w:color w:val="FFFFFF"/>
                <w:sz w:val="15"/>
              </w:rPr>
              <w:t>Evidence before launch</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Lawful processing and transparency</w:t>
            </w:r>
          </w:p>
        </w:tc>
        <w:tc>
          <w:tcPr>
            <w:tcW w:type="dxa" w:w="4200"/>
            <w:tcMar>
              <w:top w:w="80" w:type="dxa"/>
              <w:start w:w="120" w:type="dxa"/>
              <w:bottom w:w="80" w:type="dxa"/>
              <w:end w:w="120" w:type="dxa"/>
            </w:tcMar>
            <w:vAlign w:val="center"/>
          </w:tcPr>
          <w:p>
            <w:r>
              <w:rPr>
                <w:rFonts w:ascii="Calibri" w:hAnsi="Calibri"/>
                <w:b w:val="0"/>
                <w:i w:val="0"/>
                <w:color w:val="1F2937"/>
                <w:sz w:val="15"/>
              </w:rPr>
              <w:t>Separate notice from consent; purpose, recipient, retention and rights must be intelligible.</w:t>
            </w:r>
          </w:p>
        </w:tc>
        <w:tc>
          <w:tcPr>
            <w:tcW w:type="dxa" w:w="3310"/>
            <w:tcMar>
              <w:top w:w="80" w:type="dxa"/>
              <w:start w:w="120" w:type="dxa"/>
              <w:bottom w:w="80" w:type="dxa"/>
              <w:end w:w="120" w:type="dxa"/>
            </w:tcMar>
            <w:vAlign w:val="center"/>
          </w:tcPr>
          <w:p>
            <w:r>
              <w:rPr>
                <w:rFonts w:ascii="Calibri" w:hAnsi="Calibri"/>
                <w:b w:val="0"/>
                <w:i w:val="0"/>
                <w:color w:val="1F2937"/>
                <w:sz w:val="15"/>
              </w:rPr>
              <w:t>Data inventory, lawful-basis matrix, notices, consent records and retention schedule.</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Cross-border transfers</w:t>
            </w:r>
          </w:p>
        </w:tc>
        <w:tc>
          <w:tcPr>
            <w:tcW w:type="dxa" w:w="4200"/>
            <w:shd w:fill="F8FAFC"/>
            <w:tcMar>
              <w:top w:w="80" w:type="dxa"/>
              <w:start w:w="120" w:type="dxa"/>
              <w:bottom w:w="80" w:type="dxa"/>
              <w:end w:w="120" w:type="dxa"/>
            </w:tcMar>
            <w:vAlign w:val="center"/>
          </w:tcPr>
          <w:p>
            <w:r>
              <w:rPr>
                <w:rFonts w:ascii="Calibri" w:hAnsi="Calibri"/>
                <w:b w:val="0"/>
                <w:i w:val="0"/>
                <w:color w:val="1F2937"/>
                <w:sz w:val="15"/>
              </w:rPr>
              <w:t>No adequacy country/sector is currently designated. Routine foreign-cloud transfers need a valid safeguard, commonly the correct Turkish SCC.</w:t>
            </w:r>
          </w:p>
        </w:tc>
        <w:tc>
          <w:tcPr>
            <w:tcW w:type="dxa" w:w="3310"/>
            <w:shd w:fill="F8FAFC"/>
            <w:tcMar>
              <w:top w:w="80" w:type="dxa"/>
              <w:start w:w="120" w:type="dxa"/>
              <w:bottom w:w="80" w:type="dxa"/>
              <w:end w:w="120" w:type="dxa"/>
            </w:tcMar>
            <w:vAlign w:val="center"/>
          </w:tcPr>
          <w:p>
            <w:r>
              <w:rPr>
                <w:rFonts w:ascii="Calibri" w:hAnsi="Calibri"/>
                <w:b w:val="0"/>
                <w:i w:val="0"/>
                <w:color w:val="1F2937"/>
                <w:sz w:val="15"/>
              </w:rPr>
              <w:t>Processor/subprocessor map, correct SCC template, Turkish execution and transfer-impact/legal assessment.</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SCC notification</w:t>
            </w:r>
          </w:p>
        </w:tc>
        <w:tc>
          <w:tcPr>
            <w:tcW w:type="dxa" w:w="4200"/>
            <w:tcMar>
              <w:top w:w="80" w:type="dxa"/>
              <w:start w:w="120" w:type="dxa"/>
              <w:bottom w:w="80" w:type="dxa"/>
              <w:end w:w="120" w:type="dxa"/>
            </w:tcMar>
            <w:vAlign w:val="center"/>
          </w:tcPr>
          <w:p>
            <w:r>
              <w:rPr>
                <w:rFonts w:ascii="Calibri" w:hAnsi="Calibri"/>
                <w:b w:val="0"/>
                <w:i w:val="0"/>
                <w:color w:val="1F2937"/>
                <w:sz w:val="15"/>
              </w:rPr>
              <w:t>Notify KVKK within five business days of completing signatures.</w:t>
            </w:r>
          </w:p>
        </w:tc>
        <w:tc>
          <w:tcPr>
            <w:tcW w:type="dxa" w:w="3310"/>
            <w:tcMar>
              <w:top w:w="80" w:type="dxa"/>
              <w:start w:w="120" w:type="dxa"/>
              <w:bottom w:w="80" w:type="dxa"/>
              <w:end w:w="120" w:type="dxa"/>
            </w:tcMar>
            <w:vAlign w:val="center"/>
          </w:tcPr>
          <w:p>
            <w:r>
              <w:rPr>
                <w:rFonts w:ascii="Calibri" w:hAnsi="Calibri"/>
                <w:b w:val="0"/>
                <w:i w:val="0"/>
                <w:color w:val="1F2937"/>
                <w:sz w:val="15"/>
              </w:rPr>
              <w:t>Submission receipt through accepted channel; signatory authority and translations.</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VERBİS</w:t>
            </w:r>
          </w:p>
        </w:tc>
        <w:tc>
          <w:tcPr>
            <w:tcW w:type="dxa" w:w="4200"/>
            <w:shd w:fill="F8FAFC"/>
            <w:tcMar>
              <w:top w:w="80" w:type="dxa"/>
              <w:start w:w="120" w:type="dxa"/>
              <w:bottom w:w="80" w:type="dxa"/>
              <w:end w:w="120" w:type="dxa"/>
            </w:tcMar>
            <w:vAlign w:val="center"/>
          </w:tcPr>
          <w:p>
            <w:r>
              <w:rPr>
                <w:rFonts w:ascii="Calibri" w:hAnsi="Calibri"/>
                <w:b w:val="0"/>
                <w:i w:val="0"/>
                <w:color w:val="1F2937"/>
                <w:sz w:val="15"/>
              </w:rPr>
              <w:t>Ordinary-business exemption generally requires both fewer than 50 employees and balance sheet below TRY 100m; other exemptions/thresholds exist.</w:t>
            </w:r>
          </w:p>
        </w:tc>
        <w:tc>
          <w:tcPr>
            <w:tcW w:type="dxa" w:w="3310"/>
            <w:shd w:fill="F8FAFC"/>
            <w:tcMar>
              <w:top w:w="80" w:type="dxa"/>
              <w:start w:w="120" w:type="dxa"/>
              <w:bottom w:w="80" w:type="dxa"/>
              <w:end w:w="120" w:type="dxa"/>
            </w:tcMar>
            <w:vAlign w:val="center"/>
          </w:tcPr>
          <w:p>
            <w:r>
              <w:rPr>
                <w:rFonts w:ascii="Calibri" w:hAnsi="Calibri"/>
                <w:b w:val="0"/>
                <w:i w:val="0"/>
                <w:color w:val="1F2937"/>
                <w:sz w:val="15"/>
              </w:rPr>
              <w:t>Accountant/counsel determination, threshold monitoring and registration evidence if required.</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Rights requests</w:t>
            </w:r>
          </w:p>
        </w:tc>
        <w:tc>
          <w:tcPr>
            <w:tcW w:type="dxa" w:w="4200"/>
            <w:tcMar>
              <w:top w:w="80" w:type="dxa"/>
              <w:start w:w="120" w:type="dxa"/>
              <w:bottom w:w="80" w:type="dxa"/>
              <w:end w:w="120" w:type="dxa"/>
            </w:tcMar>
            <w:vAlign w:val="center"/>
          </w:tcPr>
          <w:p>
            <w:r>
              <w:rPr>
                <w:rFonts w:ascii="Calibri" w:hAnsi="Calibri"/>
                <w:b w:val="0"/>
                <w:i w:val="0"/>
                <w:color w:val="1F2937"/>
                <w:sz w:val="15"/>
              </w:rPr>
              <w:t>Data-subject request handling requires ownership and deadline controls.</w:t>
            </w:r>
          </w:p>
        </w:tc>
        <w:tc>
          <w:tcPr>
            <w:tcW w:type="dxa" w:w="3310"/>
            <w:tcMar>
              <w:top w:w="80" w:type="dxa"/>
              <w:start w:w="120" w:type="dxa"/>
              <w:bottom w:w="80" w:type="dxa"/>
              <w:end w:w="120" w:type="dxa"/>
            </w:tcMar>
            <w:vAlign w:val="center"/>
          </w:tcPr>
          <w:p>
            <w:r>
              <w:rPr>
                <w:rFonts w:ascii="Calibri" w:hAnsi="Calibri"/>
                <w:b w:val="0"/>
                <w:i w:val="0"/>
                <w:color w:val="1F2937"/>
                <w:sz w:val="15"/>
              </w:rPr>
              <w:t>Intake, identity verification, response workflow and log.</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Breach</w:t>
            </w:r>
          </w:p>
        </w:tc>
        <w:tc>
          <w:tcPr>
            <w:tcW w:type="dxa" w:w="4200"/>
            <w:shd w:fill="F8FAFC"/>
            <w:tcMar>
              <w:top w:w="80" w:type="dxa"/>
              <w:start w:w="120" w:type="dxa"/>
              <w:bottom w:w="80" w:type="dxa"/>
              <w:end w:w="120" w:type="dxa"/>
            </w:tcMar>
            <w:vAlign w:val="center"/>
          </w:tcPr>
          <w:p>
            <w:r>
              <w:rPr>
                <w:rFonts w:ascii="Calibri" w:hAnsi="Calibri"/>
                <w:b w:val="0"/>
                <w:i w:val="0"/>
                <w:color w:val="1F2937"/>
                <w:sz w:val="15"/>
              </w:rPr>
              <w:t>KVKK expects notification within 72 hours of awareness in the cited decision framework.</w:t>
            </w:r>
          </w:p>
        </w:tc>
        <w:tc>
          <w:tcPr>
            <w:tcW w:type="dxa" w:w="3310"/>
            <w:shd w:fill="F8FAFC"/>
            <w:tcMar>
              <w:top w:w="80" w:type="dxa"/>
              <w:start w:w="120" w:type="dxa"/>
              <w:bottom w:w="80" w:type="dxa"/>
              <w:end w:w="120" w:type="dxa"/>
            </w:tcMar>
            <w:vAlign w:val="center"/>
          </w:tcPr>
          <w:p>
            <w:r>
              <w:rPr>
                <w:rFonts w:ascii="Calibri" w:hAnsi="Calibri"/>
                <w:b w:val="0"/>
                <w:i w:val="0"/>
                <w:color w:val="1F2937"/>
                <w:sz w:val="15"/>
              </w:rPr>
              <w:t>Incident plan, evidence preservation, notification decision log and exercises.</w:t>
            </w:r>
          </w:p>
        </w:tc>
      </w:tr>
      <w:tr>
        <w:trPr>
          <w:cantSplit/>
        </w:trPr>
        <w:tc>
          <w:tcPr>
            <w:tcW w:type="dxa" w:w="1850"/>
            <w:tcMar>
              <w:top w:w="80" w:type="dxa"/>
              <w:start w:w="120" w:type="dxa"/>
              <w:bottom w:w="80" w:type="dxa"/>
              <w:end w:w="120" w:type="dxa"/>
            </w:tcMar>
            <w:vAlign w:val="center"/>
          </w:tcPr>
          <w:p>
            <w:r>
              <w:rPr>
                <w:rFonts w:ascii="Calibri" w:hAnsi="Calibri"/>
                <w:b/>
                <w:i w:val="0"/>
                <w:color w:val="102A43"/>
                <w:sz w:val="15"/>
              </w:rPr>
              <w:t>Cookies/analytics</w:t>
            </w:r>
          </w:p>
        </w:tc>
        <w:tc>
          <w:tcPr>
            <w:tcW w:type="dxa" w:w="4200"/>
            <w:tcMar>
              <w:top w:w="80" w:type="dxa"/>
              <w:start w:w="120" w:type="dxa"/>
              <w:bottom w:w="80" w:type="dxa"/>
              <w:end w:w="120" w:type="dxa"/>
            </w:tcMar>
            <w:vAlign w:val="center"/>
          </w:tcPr>
          <w:p>
            <w:r>
              <w:rPr>
                <w:rFonts w:ascii="Calibri" w:hAnsi="Calibri"/>
                <w:b w:val="0"/>
                <w:i w:val="0"/>
                <w:color w:val="1F2937"/>
                <w:sz w:val="15"/>
              </w:rPr>
              <w:t>Non-essential cookies require an appropriate consent/control approach; dark patterns should be avoided.</w:t>
            </w:r>
          </w:p>
        </w:tc>
        <w:tc>
          <w:tcPr>
            <w:tcW w:type="dxa" w:w="3310"/>
            <w:tcMar>
              <w:top w:w="80" w:type="dxa"/>
              <w:start w:w="120" w:type="dxa"/>
              <w:bottom w:w="80" w:type="dxa"/>
              <w:end w:w="120" w:type="dxa"/>
            </w:tcMar>
            <w:vAlign w:val="center"/>
          </w:tcPr>
          <w:p>
            <w:r>
              <w:rPr>
                <w:rFonts w:ascii="Calibri" w:hAnsi="Calibri"/>
                <w:b w:val="0"/>
                <w:i w:val="0"/>
                <w:color w:val="1F2937"/>
                <w:sz w:val="15"/>
              </w:rPr>
              <w:t>Cookie inventory, banner settings, preference log and Turkish notice.</w:t>
            </w:r>
          </w:p>
        </w:tc>
      </w:tr>
      <w:tr>
        <w:trPr>
          <w:cantSplit/>
        </w:trPr>
        <w:tc>
          <w:tcPr>
            <w:tcW w:type="dxa" w:w="1850"/>
            <w:shd w:fill="F8FAFC"/>
            <w:tcMar>
              <w:top w:w="80" w:type="dxa"/>
              <w:start w:w="120" w:type="dxa"/>
              <w:bottom w:w="80" w:type="dxa"/>
              <w:end w:w="120" w:type="dxa"/>
            </w:tcMar>
            <w:vAlign w:val="center"/>
          </w:tcPr>
          <w:p>
            <w:r>
              <w:rPr>
                <w:rFonts w:ascii="Calibri" w:hAnsi="Calibri"/>
                <w:b/>
                <w:i w:val="0"/>
                <w:color w:val="102A43"/>
                <w:sz w:val="15"/>
              </w:rPr>
              <w:t>AI</w:t>
            </w:r>
          </w:p>
        </w:tc>
        <w:tc>
          <w:tcPr>
            <w:tcW w:type="dxa" w:w="4200"/>
            <w:shd w:fill="F8FAFC"/>
            <w:tcMar>
              <w:top w:w="80" w:type="dxa"/>
              <w:start w:w="120" w:type="dxa"/>
              <w:bottom w:w="80" w:type="dxa"/>
              <w:end w:w="120" w:type="dxa"/>
            </w:tcMar>
            <w:vAlign w:val="center"/>
          </w:tcPr>
          <w:p>
            <w:r>
              <w:rPr>
                <w:rFonts w:ascii="Calibri" w:hAnsi="Calibri"/>
                <w:b w:val="0"/>
                <w:i w:val="0"/>
                <w:color w:val="1F2937"/>
                <w:sz w:val="15"/>
              </w:rPr>
              <w:t>Minimisation, transparency, human oversight and security apply to AI processing.</w:t>
            </w:r>
          </w:p>
        </w:tc>
        <w:tc>
          <w:tcPr>
            <w:tcW w:type="dxa" w:w="3310"/>
            <w:shd w:fill="F8FAFC"/>
            <w:tcMar>
              <w:top w:w="80" w:type="dxa"/>
              <w:start w:w="120" w:type="dxa"/>
              <w:bottom w:w="80" w:type="dxa"/>
              <w:end w:w="120" w:type="dxa"/>
            </w:tcMar>
            <w:vAlign w:val="center"/>
          </w:tcPr>
          <w:p>
            <w:r>
              <w:rPr>
                <w:rFonts w:ascii="Calibri" w:hAnsi="Calibri"/>
                <w:b w:val="0"/>
                <w:i w:val="0"/>
                <w:color w:val="1F2937"/>
                <w:sz w:val="15"/>
              </w:rPr>
              <w:t>AI register, data-class policy, redaction, evals, approvals and retention.</w:t>
            </w:r>
          </w:p>
        </w:tc>
      </w:tr>
    </w:tbl>
    <w:tbl>
      <w:tblPr>
        <w:tblW w:type="dxa" w:w="9360"/>
        <w:jc w:val="left"/>
        <w:tblLayout w:type="fixed"/>
        <w:tblLook w:firstColumn="1" w:firstRow="1" w:lastColumn="0" w:lastRow="0" w:noHBand="0" w:noVBand="1" w:val="04A0"/>
        <w:tblInd w:w="120" w:type="dxa"/>
        <w:tblBorders>
          <w:top w:val="single" w:sz="8" w:color="B42318"/>
          <w:left w:val="single" w:sz="8" w:color="B42318"/>
          <w:bottom w:val="single" w:sz="8" w:color="B42318"/>
          <w:right w:val="single" w:sz="8" w:color="B42318"/>
          <w:insideH w:val="single" w:sz="8" w:color="B42318"/>
          <w:insideV w:val="single" w:sz="8" w:color="B42318"/>
        </w:tblBorders>
      </w:tblPr>
      <w:tblGrid>
        <w:gridCol w:w="9360"/>
      </w:tblGrid>
      <w:tr>
        <w:trPr>
          <w:cantSplit/>
          <w:tblHeader w:val="true"/>
        </w:trPr>
        <w:tc>
          <w:tcPr>
            <w:tcW w:type="dxa" w:w="9360"/>
            <w:shd w:fill="FDECEC"/>
            <w:tcMar>
              <w:top w:w="80" w:type="dxa"/>
              <w:start w:w="120" w:type="dxa"/>
              <w:bottom w:w="80" w:type="dxa"/>
              <w:end w:w="120" w:type="dxa"/>
            </w:tcMar>
            <w:vAlign w:val="center"/>
          </w:tcPr>
          <w:p>
            <w:r>
              <w:rPr>
                <w:rFonts w:ascii="Calibri" w:hAnsi="Calibri"/>
                <w:b/>
                <w:i w:val="0"/>
                <w:color w:val="B42318"/>
                <w:sz w:val="20"/>
              </w:rPr>
              <w:t>2026 KVKK exposure</w:t>
              <w:br/>
            </w:r>
            <w:r>
              <w:rPr>
                <w:rFonts w:ascii="Calibri" w:hAnsi="Calibri"/>
                <w:b w:val="0"/>
                <w:i w:val="0"/>
                <w:color w:val="1F2937"/>
                <w:sz w:val="19"/>
              </w:rPr>
              <w:t>Official 2026 ranges include substantial administrative fines for failures involving notices, security, Board decisions, VERBİS and SCC notification. The exact article, facts and authority decision determine exposure; do not budget fines as an operating cost—fund compliance and incident readiness instead.</w:t>
            </w:r>
          </w:p>
        </w:tc>
      </w:tr>
    </w:tbl>
    <w:p>
      <w:pPr>
        <w:spacing w:after="40"/>
      </w:pPr>
    </w:p>
    <w:p>
      <w:pPr>
        <w:pStyle w:val="Heading2"/>
      </w:pPr>
      <w:r>
        <w:t>8.2 Property brokerage, listings and payments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4300"/>
        <w:gridCol w:w="3160"/>
      </w:tblGrid>
      <w:tr>
        <w:trPr>
          <w:cantSplit/>
          <w:tblHeader w:val="true"/>
          <w:cantSplit/>
        </w:trPr>
        <w:tc>
          <w:tcPr>
            <w:tcW w:type="dxa" w:w="1900"/>
            <w:shd w:fill="102A43"/>
            <w:tcMar>
              <w:top w:w="80" w:type="dxa"/>
              <w:start w:w="120" w:type="dxa"/>
              <w:bottom w:w="80" w:type="dxa"/>
              <w:end w:w="120" w:type="dxa"/>
            </w:tcMar>
            <w:vAlign w:val="center"/>
          </w:tcPr>
          <w:p>
            <w:r>
              <w:rPr>
                <w:rFonts w:ascii="Calibri" w:hAnsi="Calibri"/>
                <w:b/>
                <w:i w:val="0"/>
                <w:color w:val="FFFFFF"/>
                <w:sz w:val="16"/>
              </w:rPr>
              <w:t>Topic</w:t>
            </w:r>
          </w:p>
        </w:tc>
        <w:tc>
          <w:tcPr>
            <w:tcW w:type="dxa" w:w="4300"/>
            <w:shd w:fill="102A43"/>
            <w:tcMar>
              <w:top w:w="80" w:type="dxa"/>
              <w:start w:w="120" w:type="dxa"/>
              <w:bottom w:w="80" w:type="dxa"/>
              <w:end w:w="120" w:type="dxa"/>
            </w:tcMar>
            <w:vAlign w:val="center"/>
          </w:tcPr>
          <w:p>
            <w:r>
              <w:rPr>
                <w:rFonts w:ascii="Calibri" w:hAnsi="Calibri"/>
                <w:b/>
                <w:i w:val="0"/>
                <w:color w:val="FFFFFF"/>
                <w:sz w:val="16"/>
              </w:rPr>
              <w:t>Verified rule / date</w:t>
            </w:r>
          </w:p>
        </w:tc>
        <w:tc>
          <w:tcPr>
            <w:tcW w:type="dxa" w:w="3160"/>
            <w:shd w:fill="102A43"/>
            <w:tcMar>
              <w:top w:w="80" w:type="dxa"/>
              <w:start w:w="120" w:type="dxa"/>
              <w:bottom w:w="80" w:type="dxa"/>
              <w:end w:w="120" w:type="dxa"/>
            </w:tcMar>
            <w:vAlign w:val="center"/>
          </w:tcPr>
          <w:p>
            <w:r>
              <w:rPr>
                <w:rFonts w:ascii="Calibri" w:hAnsi="Calibri"/>
                <w:b/>
                <w:i w:val="0"/>
                <w:color w:val="FFFFFF"/>
                <w:sz w:val="16"/>
              </w:rPr>
              <w:t>1Çatı control</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EİDS</w:t>
            </w:r>
          </w:p>
        </w:tc>
        <w:tc>
          <w:tcPr>
            <w:tcW w:type="dxa" w:w="4300"/>
            <w:tcMar>
              <w:top w:w="80" w:type="dxa"/>
              <w:start w:w="120" w:type="dxa"/>
              <w:bottom w:w="80" w:type="dxa"/>
              <w:end w:w="120" w:type="dxa"/>
            </w:tcMar>
            <w:vAlign w:val="center"/>
          </w:tcPr>
          <w:p>
            <w:r>
              <w:rPr>
                <w:rFonts w:ascii="Calibri" w:hAnsi="Calibri"/>
                <w:b w:val="0"/>
                <w:i w:val="0"/>
                <w:color w:val="1F2937"/>
                <w:sz w:val="16"/>
              </w:rPr>
              <w:t>Identity and authority verification applies to electronic property advertisements; the June 2026 Ministry notice expressly includes social media and WhatsApp.</w:t>
            </w:r>
          </w:p>
        </w:tc>
        <w:tc>
          <w:tcPr>
            <w:tcW w:type="dxa" w:w="3160"/>
            <w:tcMar>
              <w:top w:w="80" w:type="dxa"/>
              <w:start w:w="120" w:type="dxa"/>
              <w:bottom w:w="80" w:type="dxa"/>
              <w:end w:w="120" w:type="dxa"/>
            </w:tcMar>
            <w:vAlign w:val="center"/>
          </w:tcPr>
          <w:p>
            <w:r>
              <w:rPr>
                <w:rFonts w:ascii="Calibri" w:hAnsi="Calibri"/>
                <w:b w:val="0"/>
                <w:i w:val="0"/>
                <w:color w:val="1F2937"/>
                <w:sz w:val="16"/>
              </w:rPr>
              <w:t>Store verified listing/authority evidence and share links to the verified advertisement rather than creating unverified duplicate posts.</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TTYS authorisation fee</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From 1 Jan 2026: TRY 20,000 annually per relevant certificate, doubled to TRY 40,000 in qualifying metropolitan districts; branch/contracted-business certificates are included.</w:t>
            </w:r>
          </w:p>
        </w:tc>
        <w:tc>
          <w:tcPr>
            <w:tcW w:type="dxa" w:w="3160"/>
            <w:shd w:fill="F8FAFC"/>
            <w:tcMar>
              <w:top w:w="80" w:type="dxa"/>
              <w:start w:w="120" w:type="dxa"/>
              <w:bottom w:w="80" w:type="dxa"/>
              <w:end w:w="120" w:type="dxa"/>
            </w:tcMar>
            <w:vAlign w:val="center"/>
          </w:tcPr>
          <w:p>
            <w:r>
              <w:rPr>
                <w:rFonts w:ascii="Calibri" w:hAnsi="Calibri"/>
                <w:b w:val="0"/>
                <w:i w:val="0"/>
                <w:color w:val="1F2937"/>
                <w:sz w:val="16"/>
              </w:rPr>
              <w:t>Confirm certificate count and locations; treat a partial year as full year where applicable.</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Secure Property Payment System</w:t>
            </w:r>
          </w:p>
        </w:tc>
        <w:tc>
          <w:tcPr>
            <w:tcW w:type="dxa" w:w="4300"/>
            <w:tcMar>
              <w:top w:w="80" w:type="dxa"/>
              <w:start w:w="120" w:type="dxa"/>
              <w:bottom w:w="80" w:type="dxa"/>
              <w:end w:w="120" w:type="dxa"/>
            </w:tcMar>
            <w:vAlign w:val="center"/>
          </w:tcPr>
          <w:p>
            <w:r>
              <w:rPr>
                <w:rFonts w:ascii="Calibri" w:hAnsi="Calibri"/>
                <w:b w:val="0"/>
                <w:i w:val="0"/>
                <w:color w:val="1F2937"/>
                <w:sz w:val="16"/>
              </w:rPr>
              <w:t>Mandatory from 1 Oct 2026 for applicable property-sale consideration paid by cash, transfer or EFT.</w:t>
            </w:r>
          </w:p>
        </w:tc>
        <w:tc>
          <w:tcPr>
            <w:tcW w:type="dxa" w:w="3160"/>
            <w:tcMar>
              <w:top w:w="80" w:type="dxa"/>
              <w:start w:w="120" w:type="dxa"/>
              <w:bottom w:w="80" w:type="dxa"/>
              <w:end w:w="120" w:type="dxa"/>
            </w:tcMar>
            <w:vAlign w:val="center"/>
          </w:tcPr>
          <w:p>
            <w:r>
              <w:rPr>
                <w:rFonts w:ascii="Calibri" w:hAnsi="Calibri"/>
                <w:b w:val="0"/>
                <w:i w:val="0"/>
                <w:color w:val="1F2937"/>
                <w:sz w:val="16"/>
              </w:rPr>
              <w:t>Track separate regulatory readiness; do not equate card checkout with compliance.</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Brokerage agreements/fees</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Electronic authority does not replace brokerage/authorisation/showing agreements. Sector fee caps and prohibitions need counsel/accounting confirmation for each workflow.</w:t>
            </w:r>
          </w:p>
        </w:tc>
        <w:tc>
          <w:tcPr>
            <w:tcW w:type="dxa" w:w="3160"/>
            <w:shd w:fill="F8FAFC"/>
            <w:tcMar>
              <w:top w:w="80" w:type="dxa"/>
              <w:start w:w="120" w:type="dxa"/>
              <w:bottom w:w="80" w:type="dxa"/>
              <w:end w:w="120" w:type="dxa"/>
            </w:tcMar>
            <w:vAlign w:val="center"/>
          </w:tcPr>
          <w:p>
            <w:r>
              <w:rPr>
                <w:rFonts w:ascii="Calibri" w:hAnsi="Calibri"/>
                <w:b w:val="0"/>
                <w:i w:val="0"/>
                <w:color w:val="1F2937"/>
                <w:sz w:val="16"/>
              </w:rPr>
              <w:t>Digitise approved agreements, avoid viewing fees, configure commission calculation only from approved policy.</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ETBİS/e-commerce</w:t>
            </w:r>
          </w:p>
        </w:tc>
        <w:tc>
          <w:tcPr>
            <w:tcW w:type="dxa" w:w="4300"/>
            <w:tcMar>
              <w:top w:w="80" w:type="dxa"/>
              <w:start w:w="120" w:type="dxa"/>
              <w:bottom w:w="80" w:type="dxa"/>
              <w:end w:w="120" w:type="dxa"/>
            </w:tcMar>
            <w:vAlign w:val="center"/>
          </w:tcPr>
          <w:p>
            <w:r>
              <w:rPr>
                <w:rFonts w:ascii="Calibri" w:hAnsi="Calibri"/>
                <w:b w:val="0"/>
                <w:i w:val="0"/>
                <w:color w:val="1F2937"/>
                <w:sz w:val="16"/>
              </w:rPr>
              <w:t>Applicability depends on whether the platform concludes contracts or operates an electronic-commerce intermediary model.</w:t>
            </w:r>
          </w:p>
        </w:tc>
        <w:tc>
          <w:tcPr>
            <w:tcW w:type="dxa" w:w="3160"/>
            <w:tcMar>
              <w:top w:w="80" w:type="dxa"/>
              <w:start w:w="120" w:type="dxa"/>
              <w:bottom w:w="80" w:type="dxa"/>
              <w:end w:w="120" w:type="dxa"/>
            </w:tcMar>
            <w:vAlign w:val="center"/>
          </w:tcPr>
          <w:p>
            <w:r>
              <w:rPr>
                <w:rFonts w:ascii="Calibri" w:hAnsi="Calibri"/>
                <w:b w:val="0"/>
                <w:i w:val="0"/>
                <w:color w:val="1F2937"/>
                <w:sz w:val="16"/>
              </w:rPr>
              <w:t>Obtain written legal determination before public transactional launch.</w:t>
            </w:r>
          </w:p>
        </w:tc>
      </w:tr>
    </w:tbl>
    <w:p>
      <w:pPr>
        <w:pStyle w:val="Heading2"/>
      </w:pPr>
      <w:r>
        <w:t>8.3 Communications, invoicing, AML and evidential services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4350"/>
        <w:gridCol w:w="3110"/>
      </w:tblGrid>
      <w:tr>
        <w:trPr>
          <w:cantSplit/>
          <w:tblHeader w:val="true"/>
          <w:cantSplit/>
        </w:trPr>
        <w:tc>
          <w:tcPr>
            <w:tcW w:type="dxa" w:w="1900"/>
            <w:shd w:fill="102A43"/>
            <w:tcMar>
              <w:top w:w="80" w:type="dxa"/>
              <w:start w:w="120" w:type="dxa"/>
              <w:bottom w:w="80" w:type="dxa"/>
              <w:end w:w="120" w:type="dxa"/>
            </w:tcMar>
            <w:vAlign w:val="center"/>
          </w:tcPr>
          <w:p>
            <w:r>
              <w:rPr>
                <w:rFonts w:ascii="Calibri" w:hAnsi="Calibri"/>
                <w:b/>
                <w:i w:val="0"/>
                <w:color w:val="FFFFFF"/>
                <w:sz w:val="16"/>
              </w:rPr>
              <w:t>Area</w:t>
            </w:r>
          </w:p>
        </w:tc>
        <w:tc>
          <w:tcPr>
            <w:tcW w:type="dxa" w:w="4350"/>
            <w:shd w:fill="102A43"/>
            <w:tcMar>
              <w:top w:w="80" w:type="dxa"/>
              <w:start w:w="120" w:type="dxa"/>
              <w:bottom w:w="80" w:type="dxa"/>
              <w:end w:w="120" w:type="dxa"/>
            </w:tcMar>
            <w:vAlign w:val="center"/>
          </w:tcPr>
          <w:p>
            <w:r>
              <w:rPr>
                <w:rFonts w:ascii="Calibri" w:hAnsi="Calibri"/>
                <w:b/>
                <w:i w:val="0"/>
                <w:color w:val="FFFFFF"/>
                <w:sz w:val="16"/>
              </w:rPr>
              <w:t>Planning requirement</w:t>
            </w:r>
          </w:p>
        </w:tc>
        <w:tc>
          <w:tcPr>
            <w:tcW w:type="dxa" w:w="3110"/>
            <w:shd w:fill="102A43"/>
            <w:tcMar>
              <w:top w:w="80" w:type="dxa"/>
              <w:start w:w="120" w:type="dxa"/>
              <w:bottom w:w="80" w:type="dxa"/>
              <w:end w:w="120" w:type="dxa"/>
            </w:tcMar>
            <w:vAlign w:val="center"/>
          </w:tcPr>
          <w:p>
            <w:r>
              <w:rPr>
                <w:rFonts w:ascii="Calibri" w:hAnsi="Calibri"/>
                <w:b/>
                <w:i w:val="0"/>
                <w:color w:val="FFFFFF"/>
                <w:sz w:val="16"/>
              </w:rPr>
              <w:t>Production evidence</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İYS/commercial messages</w:t>
            </w:r>
          </w:p>
        </w:tc>
        <w:tc>
          <w:tcPr>
            <w:tcW w:type="dxa" w:w="4350"/>
            <w:tcMar>
              <w:top w:w="80" w:type="dxa"/>
              <w:start w:w="120" w:type="dxa"/>
              <w:bottom w:w="80" w:type="dxa"/>
              <w:end w:w="120" w:type="dxa"/>
            </w:tcMar>
            <w:vAlign w:val="center"/>
          </w:tcPr>
          <w:p>
            <w:r>
              <w:rPr>
                <w:rFonts w:ascii="Calibri" w:hAnsi="Calibri"/>
                <w:b w:val="0"/>
                <w:i w:val="0"/>
                <w:color w:val="1F2937"/>
                <w:sz w:val="16"/>
              </w:rPr>
              <w:t>Register/manage marketing permissions and rejections; basic mandatory functions are described as free. Classify OTP/service messages separately.</w:t>
            </w:r>
          </w:p>
        </w:tc>
        <w:tc>
          <w:tcPr>
            <w:tcW w:type="dxa" w:w="3110"/>
            <w:tcMar>
              <w:top w:w="80" w:type="dxa"/>
              <w:start w:w="120" w:type="dxa"/>
              <w:bottom w:w="80" w:type="dxa"/>
              <w:end w:w="120" w:type="dxa"/>
            </w:tcMar>
            <w:vAlign w:val="center"/>
          </w:tcPr>
          <w:p>
            <w:r>
              <w:rPr>
                <w:rFonts w:ascii="Calibri" w:hAnsi="Calibri"/>
                <w:b w:val="0"/>
                <w:i w:val="0"/>
                <w:color w:val="1F2937"/>
                <w:sz w:val="16"/>
              </w:rPr>
              <w:t>Consent/rejection records, campaign suppression tests and message-class matrix.</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e-Arşiv</w:t>
            </w:r>
          </w:p>
        </w:tc>
        <w:tc>
          <w:tcPr>
            <w:tcW w:type="dxa" w:w="4350"/>
            <w:shd w:fill="F8FAFC"/>
            <w:tcMar>
              <w:top w:w="80" w:type="dxa"/>
              <w:start w:w="120" w:type="dxa"/>
              <w:bottom w:w="80" w:type="dxa"/>
              <w:end w:w="120" w:type="dxa"/>
            </w:tcMar>
            <w:vAlign w:val="center"/>
          </w:tcPr>
          <w:p>
            <w:r>
              <w:rPr>
                <w:rFonts w:ascii="Calibri" w:hAnsi="Calibri"/>
                <w:b w:val="0"/>
                <w:i w:val="0"/>
                <w:color w:val="1F2937"/>
                <w:sz w:val="16"/>
              </w:rPr>
              <w:t>From 1 Jan 2026, the relevant covered invoices move to e-Arşiv regardless of amount, subject to the consolidated rule and exceptions.</w:t>
            </w:r>
          </w:p>
        </w:tc>
        <w:tc>
          <w:tcPr>
            <w:tcW w:type="dxa" w:w="3110"/>
            <w:shd w:fill="F8FAFC"/>
            <w:tcMar>
              <w:top w:w="80" w:type="dxa"/>
              <w:start w:w="120" w:type="dxa"/>
              <w:bottom w:w="80" w:type="dxa"/>
              <w:end w:w="120" w:type="dxa"/>
            </w:tcMar>
            <w:vAlign w:val="center"/>
          </w:tcPr>
          <w:p>
            <w:r>
              <w:rPr>
                <w:rFonts w:ascii="Calibri" w:hAnsi="Calibri"/>
                <w:b w:val="0"/>
                <w:i w:val="0"/>
                <w:color w:val="1F2937"/>
                <w:sz w:val="16"/>
              </w:rPr>
              <w:t>Accountant-approved issuance route and exception handling.</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e-Fatura</w:t>
            </w:r>
          </w:p>
        </w:tc>
        <w:tc>
          <w:tcPr>
            <w:tcW w:type="dxa" w:w="4350"/>
            <w:tcMar>
              <w:top w:w="80" w:type="dxa"/>
              <w:start w:w="120" w:type="dxa"/>
              <w:bottom w:w="80" w:type="dxa"/>
              <w:end w:w="120" w:type="dxa"/>
            </w:tcMar>
            <w:vAlign w:val="center"/>
          </w:tcPr>
          <w:p>
            <w:r>
              <w:rPr>
                <w:rFonts w:ascii="Calibri" w:hAnsi="Calibri"/>
                <w:b w:val="0"/>
                <w:i w:val="0"/>
                <w:color w:val="1F2937"/>
                <w:sz w:val="16"/>
              </w:rPr>
              <w:t>Real-estate sale/rent/intermediation has a TRY 500,000 gross-revenue threshold for 2022+ periods under current consolidated VUK 509.</w:t>
            </w:r>
          </w:p>
        </w:tc>
        <w:tc>
          <w:tcPr>
            <w:tcW w:type="dxa" w:w="3110"/>
            <w:tcMar>
              <w:top w:w="80" w:type="dxa"/>
              <w:start w:w="120" w:type="dxa"/>
              <w:bottom w:w="80" w:type="dxa"/>
              <w:end w:w="120" w:type="dxa"/>
            </w:tcMar>
            <w:vAlign w:val="center"/>
          </w:tcPr>
          <w:p>
            <w:r>
              <w:rPr>
                <w:rFonts w:ascii="Calibri" w:hAnsi="Calibri"/>
                <w:b w:val="0"/>
                <w:i w:val="0"/>
                <w:color w:val="1F2937"/>
                <w:sz w:val="16"/>
              </w:rPr>
              <w:t>Entity-specific accountant determination, activation evidence and reconciliation.</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Connection route</w:t>
            </w:r>
          </w:p>
        </w:tc>
        <w:tc>
          <w:tcPr>
            <w:tcW w:type="dxa" w:w="4350"/>
            <w:shd w:fill="F8FAFC"/>
            <w:tcMar>
              <w:top w:w="80" w:type="dxa"/>
              <w:start w:w="120" w:type="dxa"/>
              <w:bottom w:w="80" w:type="dxa"/>
              <w:end w:w="120" w:type="dxa"/>
            </w:tcMar>
            <w:vAlign w:val="center"/>
          </w:tcPr>
          <w:p>
            <w:r>
              <w:rPr>
                <w:rFonts w:ascii="Calibri" w:hAnsi="Calibri"/>
                <w:b w:val="0"/>
                <w:i w:val="0"/>
                <w:color w:val="1F2937"/>
                <w:sz w:val="16"/>
              </w:rPr>
              <w:t>GİB Portal, authorised private integrator and direct integration are permitted routes.</w:t>
            </w:r>
          </w:p>
        </w:tc>
        <w:tc>
          <w:tcPr>
            <w:tcW w:type="dxa" w:w="3110"/>
            <w:shd w:fill="F8FAFC"/>
            <w:tcMar>
              <w:top w:w="80" w:type="dxa"/>
              <w:start w:w="120" w:type="dxa"/>
              <w:bottom w:w="80" w:type="dxa"/>
              <w:end w:w="120" w:type="dxa"/>
            </w:tcMar>
            <w:vAlign w:val="center"/>
          </w:tcPr>
          <w:p>
            <w:r>
              <w:rPr>
                <w:rFonts w:ascii="Calibri" w:hAnsi="Calibri"/>
                <w:b w:val="0"/>
                <w:i w:val="0"/>
                <w:color w:val="1F2937"/>
                <w:sz w:val="16"/>
              </w:rPr>
              <w:t>Chosen route, service agreement if any, e-sign/mali mühür and test invoices.</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MASAK</w:t>
            </w:r>
          </w:p>
        </w:tc>
        <w:tc>
          <w:tcPr>
            <w:tcW w:type="dxa" w:w="4350"/>
            <w:tcMar>
              <w:top w:w="80" w:type="dxa"/>
              <w:start w:w="120" w:type="dxa"/>
              <w:bottom w:w="80" w:type="dxa"/>
              <w:end w:w="120" w:type="dxa"/>
            </w:tcMar>
            <w:vAlign w:val="center"/>
          </w:tcPr>
          <w:p>
            <w:r>
              <w:rPr>
                <w:rFonts w:ascii="Calibri" w:hAnsi="Calibri"/>
                <w:b w:val="0"/>
                <w:i w:val="0"/>
                <w:color w:val="1F2937"/>
                <w:sz w:val="16"/>
              </w:rPr>
              <w:t>Real-estate and payment-related activities can create identity, monitoring, reporting and record duties; thresholds/processes change.</w:t>
            </w:r>
          </w:p>
        </w:tc>
        <w:tc>
          <w:tcPr>
            <w:tcW w:type="dxa" w:w="3110"/>
            <w:tcMar>
              <w:top w:w="80" w:type="dxa"/>
              <w:start w:w="120" w:type="dxa"/>
              <w:bottom w:w="80" w:type="dxa"/>
              <w:end w:w="120" w:type="dxa"/>
            </w:tcMar>
            <w:vAlign w:val="center"/>
          </w:tcPr>
          <w:p>
            <w:r>
              <w:rPr>
                <w:rFonts w:ascii="Calibri" w:hAnsi="Calibri"/>
                <w:b w:val="0"/>
                <w:i w:val="0"/>
                <w:color w:val="1F2937"/>
                <w:sz w:val="16"/>
              </w:rPr>
              <w:t>Counsel-approved obligations matrix, customer due diligence, suspicious-transaction workflow and retention.</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KEP/e-sign</w:t>
            </w:r>
          </w:p>
        </w:tc>
        <w:tc>
          <w:tcPr>
            <w:tcW w:type="dxa" w:w="4350"/>
            <w:shd w:fill="F8FAFC"/>
            <w:tcMar>
              <w:top w:w="80" w:type="dxa"/>
              <w:start w:w="120" w:type="dxa"/>
              <w:bottom w:w="80" w:type="dxa"/>
              <w:end w:w="120" w:type="dxa"/>
            </w:tcMar>
            <w:vAlign w:val="center"/>
          </w:tcPr>
          <w:p>
            <w:r>
              <w:rPr>
                <w:rFonts w:ascii="Calibri" w:hAnsi="Calibri"/>
                <w:b w:val="0"/>
                <w:i w:val="0"/>
                <w:color w:val="1F2937"/>
                <w:sz w:val="16"/>
              </w:rPr>
              <w:t>Use authorised providers and the correct signature/legal route; qualified e-sign does not itself transfer title.</w:t>
            </w:r>
          </w:p>
        </w:tc>
        <w:tc>
          <w:tcPr>
            <w:tcW w:type="dxa" w:w="3110"/>
            <w:shd w:fill="F8FAFC"/>
            <w:tcMar>
              <w:top w:w="80" w:type="dxa"/>
              <w:start w:w="120" w:type="dxa"/>
              <w:bottom w:w="80" w:type="dxa"/>
              <w:end w:w="120" w:type="dxa"/>
            </w:tcMar>
            <w:vAlign w:val="center"/>
          </w:tcPr>
          <w:p>
            <w:r>
              <w:rPr>
                <w:rFonts w:ascii="Calibri" w:hAnsi="Calibri"/>
                <w:b w:val="0"/>
                <w:i w:val="0"/>
                <w:color w:val="1F2937"/>
                <w:sz w:val="16"/>
              </w:rPr>
              <w:t>Named signers, certificates, KEP account ownership, retention and revocation.</w:t>
            </w:r>
          </w:p>
        </w:tc>
      </w:tr>
    </w:tbl>
    <w:p>
      <w:pPr>
        <w:pStyle w:val="Heading2"/>
      </w:pPr>
      <w:r>
        <w:t>8.4 Camera, access and debt restrictions</w:t>
      </w:r>
    </w:p>
    <w:p>
      <w:pPr>
        <w:pStyle w:val="ListBullet"/>
        <w:spacing w:after="80"/>
        <w:ind w:left="720" w:hanging="360"/>
      </w:pPr>
      <w:r>
        <w:rPr>
          <w:rFonts w:ascii="Calibri" w:hAnsi="Calibri"/>
          <w:b w:val="0"/>
          <w:i w:val="0"/>
          <w:color w:val="1F2937"/>
          <w:sz w:val="20"/>
        </w:rPr>
        <w:t>Define a precise purpose for camera/access data; do not repurpose footage or access logs for convenience.</w:t>
      </w:r>
    </w:p>
    <w:p>
      <w:pPr>
        <w:pStyle w:val="ListBullet"/>
        <w:spacing w:after="80"/>
        <w:ind w:left="720" w:hanging="360"/>
      </w:pPr>
      <w:r>
        <w:rPr>
          <w:rFonts w:ascii="Calibri" w:hAnsi="Calibri"/>
          <w:b w:val="0"/>
          <w:i w:val="0"/>
          <w:color w:val="1F2937"/>
          <w:sz w:val="20"/>
        </w:rPr>
        <w:t>Minimise capture, retention and user access; maintain signage/notices and a request/incident process.</w:t>
      </w:r>
    </w:p>
    <w:p>
      <w:pPr>
        <w:pStyle w:val="ListBullet"/>
        <w:spacing w:after="80"/>
        <w:ind w:left="720" w:hanging="360"/>
      </w:pPr>
      <w:r>
        <w:rPr>
          <w:rFonts w:ascii="Calibri" w:hAnsi="Calibri"/>
          <w:b w:val="0"/>
          <w:i w:val="0"/>
          <w:color w:val="1F2937"/>
          <w:sz w:val="20"/>
        </w:rPr>
        <w:t>Debt policy must never create unsafe or unlawful denial of essential access/services; legal review is mandatory.</w:t>
      </w:r>
    </w:p>
    <w:p>
      <w:pPr>
        <w:pStyle w:val="ListBullet"/>
        <w:spacing w:after="80"/>
        <w:ind w:left="720" w:hanging="360"/>
      </w:pPr>
      <w:r>
        <w:rPr>
          <w:rFonts w:ascii="Calibri" w:hAnsi="Calibri"/>
          <w:b w:val="0"/>
          <w:i w:val="0"/>
          <w:color w:val="1F2937"/>
          <w:sz w:val="20"/>
        </w:rPr>
        <w:t>AI may flag risk but cannot directly enable/disable access, identify persons biometrically or impose restrictions.</w:t>
      </w:r>
    </w:p>
    <w:p>
      <w:pPr>
        <w:pStyle w:val="ListBullet"/>
        <w:spacing w:after="80"/>
        <w:ind w:left="720" w:hanging="360"/>
      </w:pPr>
      <w:r>
        <w:rPr>
          <w:rFonts w:ascii="Calibri" w:hAnsi="Calibri"/>
          <w:b w:val="0"/>
          <w:i w:val="0"/>
          <w:color w:val="1F2937"/>
          <w:sz w:val="20"/>
        </w:rPr>
        <w:t>Keep physical-system outages visible and use human-safe fallback; an integration failure must not silently grant or block access.</w:t>
      </w:r>
    </w:p>
    <w:p>
      <w:pPr>
        <w:pStyle w:val="Heading2"/>
      </w:pPr>
      <w:r>
        <w:t>8.5 Compliance ownership matrix</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650"/>
        <w:gridCol w:w="1800"/>
        <w:gridCol w:w="1800"/>
        <w:gridCol w:w="2050"/>
        <w:gridCol w:w="2060"/>
      </w:tblGrid>
      <w:tr>
        <w:trPr>
          <w:cantSplit/>
          <w:tblHeader w:val="true"/>
          <w:cantSplit/>
        </w:trPr>
        <w:tc>
          <w:tcPr>
            <w:tcW w:type="dxa" w:w="1650"/>
            <w:shd w:fill="102A43"/>
            <w:tcMar>
              <w:top w:w="80" w:type="dxa"/>
              <w:start w:w="120" w:type="dxa"/>
              <w:bottom w:w="80" w:type="dxa"/>
              <w:end w:w="120" w:type="dxa"/>
            </w:tcMar>
            <w:vAlign w:val="center"/>
          </w:tcPr>
          <w:p>
            <w:r>
              <w:rPr>
                <w:rFonts w:ascii="Calibri" w:hAnsi="Calibri"/>
                <w:b/>
                <w:i w:val="0"/>
                <w:color w:val="FFFFFF"/>
                <w:sz w:val="15"/>
              </w:rPr>
              <w:t>Control family</w:t>
            </w:r>
          </w:p>
        </w:tc>
        <w:tc>
          <w:tcPr>
            <w:tcW w:type="dxa" w:w="1800"/>
            <w:shd w:fill="102A43"/>
            <w:tcMar>
              <w:top w:w="80" w:type="dxa"/>
              <w:start w:w="120" w:type="dxa"/>
              <w:bottom w:w="80" w:type="dxa"/>
              <w:end w:w="120" w:type="dxa"/>
            </w:tcMar>
            <w:vAlign w:val="center"/>
          </w:tcPr>
          <w:p>
            <w:r>
              <w:rPr>
                <w:rFonts w:ascii="Calibri" w:hAnsi="Calibri"/>
                <w:b/>
                <w:i w:val="0"/>
                <w:color w:val="FFFFFF"/>
                <w:sz w:val="15"/>
              </w:rPr>
              <w:t>Accountable</w:t>
            </w:r>
          </w:p>
        </w:tc>
        <w:tc>
          <w:tcPr>
            <w:tcW w:type="dxa" w:w="1800"/>
            <w:shd w:fill="102A43"/>
            <w:tcMar>
              <w:top w:w="80" w:type="dxa"/>
              <w:start w:w="120" w:type="dxa"/>
              <w:bottom w:w="80" w:type="dxa"/>
              <w:end w:w="120" w:type="dxa"/>
            </w:tcMar>
            <w:vAlign w:val="center"/>
          </w:tcPr>
          <w:p>
            <w:r>
              <w:rPr>
                <w:rFonts w:ascii="Calibri" w:hAnsi="Calibri"/>
                <w:b/>
                <w:i w:val="0"/>
                <w:color w:val="FFFFFF"/>
                <w:sz w:val="15"/>
              </w:rPr>
              <w:t>Responsible</w:t>
            </w:r>
          </w:p>
        </w:tc>
        <w:tc>
          <w:tcPr>
            <w:tcW w:type="dxa" w:w="2050"/>
            <w:shd w:fill="102A43"/>
            <w:tcMar>
              <w:top w:w="80" w:type="dxa"/>
              <w:start w:w="120" w:type="dxa"/>
              <w:bottom w:w="80" w:type="dxa"/>
              <w:end w:w="120" w:type="dxa"/>
            </w:tcMar>
            <w:vAlign w:val="center"/>
          </w:tcPr>
          <w:p>
            <w:r>
              <w:rPr>
                <w:rFonts w:ascii="Calibri" w:hAnsi="Calibri"/>
                <w:b/>
                <w:i w:val="0"/>
                <w:color w:val="FFFFFF"/>
                <w:sz w:val="15"/>
              </w:rPr>
              <w:t>Consulted</w:t>
            </w:r>
          </w:p>
        </w:tc>
        <w:tc>
          <w:tcPr>
            <w:tcW w:type="dxa" w:w="2060"/>
            <w:shd w:fill="102A43"/>
            <w:tcMar>
              <w:top w:w="80" w:type="dxa"/>
              <w:start w:w="120" w:type="dxa"/>
              <w:bottom w:w="80" w:type="dxa"/>
              <w:end w:w="120" w:type="dxa"/>
            </w:tcMar>
            <w:vAlign w:val="center"/>
          </w:tcPr>
          <w:p>
            <w:r>
              <w:rPr>
                <w:rFonts w:ascii="Calibri" w:hAnsi="Calibri"/>
                <w:b/>
                <w:i w:val="0"/>
                <w:color w:val="FFFFFF"/>
                <w:sz w:val="15"/>
              </w:rPr>
              <w:t>Evidence</w:t>
            </w:r>
          </w:p>
        </w:tc>
      </w:tr>
      <w:tr>
        <w:trPr>
          <w:cantSplit/>
        </w:trPr>
        <w:tc>
          <w:tcPr>
            <w:tcW w:type="dxa" w:w="1650"/>
            <w:tcMar>
              <w:top w:w="80" w:type="dxa"/>
              <w:start w:w="120" w:type="dxa"/>
              <w:bottom w:w="80" w:type="dxa"/>
              <w:end w:w="120" w:type="dxa"/>
            </w:tcMar>
            <w:vAlign w:val="center"/>
          </w:tcPr>
          <w:p>
            <w:r>
              <w:rPr>
                <w:rFonts w:ascii="Calibri" w:hAnsi="Calibri"/>
                <w:b w:val="0"/>
                <w:i w:val="0"/>
                <w:color w:val="1F2937"/>
                <w:sz w:val="15"/>
              </w:rPr>
              <w:t>KVKK/SCC/VERBİS</w:t>
            </w:r>
          </w:p>
        </w:tc>
        <w:tc>
          <w:tcPr>
            <w:tcW w:type="dxa" w:w="1800"/>
            <w:tcMar>
              <w:top w:w="80" w:type="dxa"/>
              <w:start w:w="120" w:type="dxa"/>
              <w:bottom w:w="80" w:type="dxa"/>
              <w:end w:w="120" w:type="dxa"/>
            </w:tcMar>
            <w:vAlign w:val="center"/>
          </w:tcPr>
          <w:p>
            <w:r>
              <w:rPr>
                <w:rFonts w:ascii="Calibri" w:hAnsi="Calibri"/>
                <w:b w:val="0"/>
                <w:i w:val="0"/>
                <w:color w:val="1F2937"/>
                <w:sz w:val="15"/>
              </w:rPr>
              <w:t>Ataberk executive/DPO</w:t>
            </w:r>
          </w:p>
        </w:tc>
        <w:tc>
          <w:tcPr>
            <w:tcW w:type="dxa" w:w="1800"/>
            <w:tcMar>
              <w:top w:w="80" w:type="dxa"/>
              <w:start w:w="120" w:type="dxa"/>
              <w:bottom w:w="80" w:type="dxa"/>
              <w:end w:w="120" w:type="dxa"/>
            </w:tcMar>
            <w:vAlign w:val="center"/>
          </w:tcPr>
          <w:p>
            <w:r>
              <w:rPr>
                <w:rFonts w:ascii="Calibri" w:hAnsi="Calibri"/>
                <w:b w:val="0"/>
                <w:i w:val="0"/>
                <w:color w:val="1F2937"/>
                <w:sz w:val="15"/>
              </w:rPr>
              <w:t>Privacy/legal</w:t>
            </w:r>
          </w:p>
        </w:tc>
        <w:tc>
          <w:tcPr>
            <w:tcW w:type="dxa" w:w="2050"/>
            <w:tcMar>
              <w:top w:w="80" w:type="dxa"/>
              <w:start w:w="120" w:type="dxa"/>
              <w:bottom w:w="80" w:type="dxa"/>
              <w:end w:w="120" w:type="dxa"/>
            </w:tcMar>
            <w:vAlign w:val="center"/>
          </w:tcPr>
          <w:p>
            <w:r>
              <w:rPr>
                <w:rFonts w:ascii="Calibri" w:hAnsi="Calibri"/>
                <w:b w:val="0"/>
                <w:i w:val="0"/>
                <w:color w:val="1F2937"/>
                <w:sz w:val="15"/>
              </w:rPr>
              <w:t>WAMOCON + providers</w:t>
            </w:r>
          </w:p>
        </w:tc>
        <w:tc>
          <w:tcPr>
            <w:tcW w:type="dxa" w:w="2060"/>
            <w:tcMar>
              <w:top w:w="80" w:type="dxa"/>
              <w:start w:w="120" w:type="dxa"/>
              <w:bottom w:w="80" w:type="dxa"/>
              <w:end w:w="120" w:type="dxa"/>
            </w:tcMar>
            <w:vAlign w:val="center"/>
          </w:tcPr>
          <w:p>
            <w:r>
              <w:rPr>
                <w:rFonts w:ascii="Calibri" w:hAnsi="Calibri"/>
                <w:b w:val="0"/>
                <w:i w:val="0"/>
                <w:color w:val="1F2937"/>
                <w:sz w:val="15"/>
              </w:rPr>
              <w:t>Inventory, contracts, filings, notices</w:t>
            </w:r>
          </w:p>
        </w:tc>
      </w:tr>
      <w:tr>
        <w:trPr>
          <w:cantSplit/>
        </w:trPr>
        <w:tc>
          <w:tcPr>
            <w:tcW w:type="dxa" w:w="1650"/>
            <w:shd w:fill="F8FAFC"/>
            <w:tcMar>
              <w:top w:w="80" w:type="dxa"/>
              <w:start w:w="120" w:type="dxa"/>
              <w:bottom w:w="80" w:type="dxa"/>
              <w:end w:w="120" w:type="dxa"/>
            </w:tcMar>
            <w:vAlign w:val="center"/>
          </w:tcPr>
          <w:p>
            <w:r>
              <w:rPr>
                <w:rFonts w:ascii="Calibri" w:hAnsi="Calibri"/>
                <w:b w:val="0"/>
                <w:i w:val="0"/>
                <w:color w:val="1F2937"/>
                <w:sz w:val="15"/>
              </w:rPr>
              <w:t>EİDS/TTYS</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Brokerage executive</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Listing operations</w:t>
            </w:r>
          </w:p>
        </w:tc>
        <w:tc>
          <w:tcPr>
            <w:tcW w:type="dxa" w:w="2050"/>
            <w:shd w:fill="F8FAFC"/>
            <w:tcMar>
              <w:top w:w="80" w:type="dxa"/>
              <w:start w:w="120" w:type="dxa"/>
              <w:bottom w:w="80" w:type="dxa"/>
              <w:end w:w="120" w:type="dxa"/>
            </w:tcMar>
            <w:vAlign w:val="center"/>
          </w:tcPr>
          <w:p>
            <w:r>
              <w:rPr>
                <w:rFonts w:ascii="Calibri" w:hAnsi="Calibri"/>
                <w:b w:val="0"/>
                <w:i w:val="0"/>
                <w:color w:val="1F2937"/>
                <w:sz w:val="15"/>
              </w:rPr>
              <w:t>Counsel + accountant</w:t>
            </w:r>
          </w:p>
        </w:tc>
        <w:tc>
          <w:tcPr>
            <w:tcW w:type="dxa" w:w="2060"/>
            <w:shd w:fill="F8FAFC"/>
            <w:tcMar>
              <w:top w:w="80" w:type="dxa"/>
              <w:start w:w="120" w:type="dxa"/>
              <w:bottom w:w="80" w:type="dxa"/>
              <w:end w:w="120" w:type="dxa"/>
            </w:tcMar>
            <w:vAlign w:val="center"/>
          </w:tcPr>
          <w:p>
            <w:r>
              <w:rPr>
                <w:rFonts w:ascii="Calibri" w:hAnsi="Calibri"/>
                <w:b w:val="0"/>
                <w:i w:val="0"/>
                <w:color w:val="1F2937"/>
                <w:sz w:val="15"/>
              </w:rPr>
              <w:t>Authority records, certificate register</w:t>
            </w:r>
          </w:p>
        </w:tc>
      </w:tr>
      <w:tr>
        <w:trPr>
          <w:cantSplit/>
        </w:trPr>
        <w:tc>
          <w:tcPr>
            <w:tcW w:type="dxa" w:w="1650"/>
            <w:tcMar>
              <w:top w:w="80" w:type="dxa"/>
              <w:start w:w="120" w:type="dxa"/>
              <w:bottom w:w="80" w:type="dxa"/>
              <w:end w:w="120" w:type="dxa"/>
            </w:tcMar>
            <w:vAlign w:val="center"/>
          </w:tcPr>
          <w:p>
            <w:r>
              <w:rPr>
                <w:rFonts w:ascii="Calibri" w:hAnsi="Calibri"/>
                <w:b w:val="0"/>
                <w:i w:val="0"/>
                <w:color w:val="1F2937"/>
                <w:sz w:val="15"/>
              </w:rPr>
              <w:t>Payments/MASAK</w:t>
            </w:r>
          </w:p>
        </w:tc>
        <w:tc>
          <w:tcPr>
            <w:tcW w:type="dxa" w:w="1800"/>
            <w:tcMar>
              <w:top w:w="80" w:type="dxa"/>
              <w:start w:w="120" w:type="dxa"/>
              <w:bottom w:w="80" w:type="dxa"/>
              <w:end w:w="120" w:type="dxa"/>
            </w:tcMar>
            <w:vAlign w:val="center"/>
          </w:tcPr>
          <w:p>
            <w:r>
              <w:rPr>
                <w:rFonts w:ascii="Calibri" w:hAnsi="Calibri"/>
                <w:b w:val="0"/>
                <w:i w:val="0"/>
                <w:color w:val="1F2937"/>
                <w:sz w:val="15"/>
              </w:rPr>
              <w:t>Finance executive</w:t>
            </w:r>
          </w:p>
        </w:tc>
        <w:tc>
          <w:tcPr>
            <w:tcW w:type="dxa" w:w="1800"/>
            <w:tcMar>
              <w:top w:w="80" w:type="dxa"/>
              <w:start w:w="120" w:type="dxa"/>
              <w:bottom w:w="80" w:type="dxa"/>
              <w:end w:w="120" w:type="dxa"/>
            </w:tcMar>
            <w:vAlign w:val="center"/>
          </w:tcPr>
          <w:p>
            <w:r>
              <w:rPr>
                <w:rFonts w:ascii="Calibri" w:hAnsi="Calibri"/>
                <w:b w:val="0"/>
                <w:i w:val="0"/>
                <w:color w:val="1F2937"/>
                <w:sz w:val="15"/>
              </w:rPr>
              <w:t>Finance operations</w:t>
            </w:r>
          </w:p>
        </w:tc>
        <w:tc>
          <w:tcPr>
            <w:tcW w:type="dxa" w:w="2050"/>
            <w:tcMar>
              <w:top w:w="80" w:type="dxa"/>
              <w:start w:w="120" w:type="dxa"/>
              <w:bottom w:w="80" w:type="dxa"/>
              <w:end w:w="120" w:type="dxa"/>
            </w:tcMar>
            <w:vAlign w:val="center"/>
          </w:tcPr>
          <w:p>
            <w:r>
              <w:rPr>
                <w:rFonts w:ascii="Calibri" w:hAnsi="Calibri"/>
                <w:b w:val="0"/>
                <w:i w:val="0"/>
                <w:color w:val="1F2937"/>
                <w:sz w:val="15"/>
              </w:rPr>
              <w:t>Counsel + payment provider</w:t>
            </w:r>
          </w:p>
        </w:tc>
        <w:tc>
          <w:tcPr>
            <w:tcW w:type="dxa" w:w="2060"/>
            <w:tcMar>
              <w:top w:w="80" w:type="dxa"/>
              <w:start w:w="120" w:type="dxa"/>
              <w:bottom w:w="80" w:type="dxa"/>
              <w:end w:w="120" w:type="dxa"/>
            </w:tcMar>
            <w:vAlign w:val="center"/>
          </w:tcPr>
          <w:p>
            <w:r>
              <w:rPr>
                <w:rFonts w:ascii="Calibri" w:hAnsi="Calibri"/>
                <w:b w:val="0"/>
                <w:i w:val="0"/>
                <w:color w:val="1F2937"/>
                <w:sz w:val="15"/>
              </w:rPr>
              <w:t>KYC/process, settlement, reports</w:t>
            </w:r>
          </w:p>
        </w:tc>
      </w:tr>
      <w:tr>
        <w:trPr>
          <w:cantSplit/>
        </w:trPr>
        <w:tc>
          <w:tcPr>
            <w:tcW w:type="dxa" w:w="1650"/>
            <w:shd w:fill="F8FAFC"/>
            <w:tcMar>
              <w:top w:w="80" w:type="dxa"/>
              <w:start w:w="120" w:type="dxa"/>
              <w:bottom w:w="80" w:type="dxa"/>
              <w:end w:w="120" w:type="dxa"/>
            </w:tcMar>
            <w:vAlign w:val="center"/>
          </w:tcPr>
          <w:p>
            <w:r>
              <w:rPr>
                <w:rFonts w:ascii="Calibri" w:hAnsi="Calibri"/>
                <w:b w:val="0"/>
                <w:i w:val="0"/>
                <w:color w:val="1F2937"/>
                <w:sz w:val="15"/>
              </w:rPr>
              <w:t>IYS/messaging</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Operations executive</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Communications owner</w:t>
            </w:r>
          </w:p>
        </w:tc>
        <w:tc>
          <w:tcPr>
            <w:tcW w:type="dxa" w:w="2050"/>
            <w:shd w:fill="F8FAFC"/>
            <w:tcMar>
              <w:top w:w="80" w:type="dxa"/>
              <w:start w:w="120" w:type="dxa"/>
              <w:bottom w:w="80" w:type="dxa"/>
              <w:end w:w="120" w:type="dxa"/>
            </w:tcMar>
            <w:vAlign w:val="center"/>
          </w:tcPr>
          <w:p>
            <w:r>
              <w:rPr>
                <w:rFonts w:ascii="Calibri" w:hAnsi="Calibri"/>
                <w:b w:val="0"/>
                <w:i w:val="0"/>
                <w:color w:val="1F2937"/>
                <w:sz w:val="15"/>
              </w:rPr>
              <w:t>Counsel + providers</w:t>
            </w:r>
          </w:p>
        </w:tc>
        <w:tc>
          <w:tcPr>
            <w:tcW w:type="dxa" w:w="2060"/>
            <w:shd w:fill="F8FAFC"/>
            <w:tcMar>
              <w:top w:w="80" w:type="dxa"/>
              <w:start w:w="120" w:type="dxa"/>
              <w:bottom w:w="80" w:type="dxa"/>
              <w:end w:w="120" w:type="dxa"/>
            </w:tcMar>
            <w:vAlign w:val="center"/>
          </w:tcPr>
          <w:p>
            <w:r>
              <w:rPr>
                <w:rFonts w:ascii="Calibri" w:hAnsi="Calibri"/>
                <w:b w:val="0"/>
                <w:i w:val="0"/>
                <w:color w:val="1F2937"/>
                <w:sz w:val="15"/>
              </w:rPr>
              <w:t>Class matrix, consent/rejection log</w:t>
            </w:r>
          </w:p>
        </w:tc>
      </w:tr>
      <w:tr>
        <w:trPr>
          <w:cantSplit/>
        </w:trPr>
        <w:tc>
          <w:tcPr>
            <w:tcW w:type="dxa" w:w="1650"/>
            <w:tcMar>
              <w:top w:w="80" w:type="dxa"/>
              <w:start w:w="120" w:type="dxa"/>
              <w:bottom w:w="80" w:type="dxa"/>
              <w:end w:w="120" w:type="dxa"/>
            </w:tcMar>
            <w:vAlign w:val="center"/>
          </w:tcPr>
          <w:p>
            <w:r>
              <w:rPr>
                <w:rFonts w:ascii="Calibri" w:hAnsi="Calibri"/>
                <w:b w:val="0"/>
                <w:i w:val="0"/>
                <w:color w:val="1F2937"/>
                <w:sz w:val="15"/>
              </w:rPr>
              <w:t>e-Documents</w:t>
            </w:r>
          </w:p>
        </w:tc>
        <w:tc>
          <w:tcPr>
            <w:tcW w:type="dxa" w:w="1800"/>
            <w:tcMar>
              <w:top w:w="80" w:type="dxa"/>
              <w:start w:w="120" w:type="dxa"/>
              <w:bottom w:w="80" w:type="dxa"/>
              <w:end w:w="120" w:type="dxa"/>
            </w:tcMar>
            <w:vAlign w:val="center"/>
          </w:tcPr>
          <w:p>
            <w:r>
              <w:rPr>
                <w:rFonts w:ascii="Calibri" w:hAnsi="Calibri"/>
                <w:b w:val="0"/>
                <w:i w:val="0"/>
                <w:color w:val="1F2937"/>
                <w:sz w:val="15"/>
              </w:rPr>
              <w:t>Finance executive</w:t>
            </w:r>
          </w:p>
        </w:tc>
        <w:tc>
          <w:tcPr>
            <w:tcW w:type="dxa" w:w="1800"/>
            <w:tcMar>
              <w:top w:w="80" w:type="dxa"/>
              <w:start w:w="120" w:type="dxa"/>
              <w:bottom w:w="80" w:type="dxa"/>
              <w:end w:w="120" w:type="dxa"/>
            </w:tcMar>
            <w:vAlign w:val="center"/>
          </w:tcPr>
          <w:p>
            <w:r>
              <w:rPr>
                <w:rFonts w:ascii="Calibri" w:hAnsi="Calibri"/>
                <w:b w:val="0"/>
                <w:i w:val="0"/>
                <w:color w:val="1F2937"/>
                <w:sz w:val="15"/>
              </w:rPr>
              <w:t>Accountant</w:t>
            </w:r>
          </w:p>
        </w:tc>
        <w:tc>
          <w:tcPr>
            <w:tcW w:type="dxa" w:w="2050"/>
            <w:tcMar>
              <w:top w:w="80" w:type="dxa"/>
              <w:start w:w="120" w:type="dxa"/>
              <w:bottom w:w="80" w:type="dxa"/>
              <w:end w:w="120" w:type="dxa"/>
            </w:tcMar>
            <w:vAlign w:val="center"/>
          </w:tcPr>
          <w:p>
            <w:r>
              <w:rPr>
                <w:rFonts w:ascii="Calibri" w:hAnsi="Calibri"/>
                <w:b w:val="0"/>
                <w:i w:val="0"/>
                <w:color w:val="1F2937"/>
                <w:sz w:val="15"/>
              </w:rPr>
              <w:t>GİB/integrator + WAMOCON</w:t>
            </w:r>
          </w:p>
        </w:tc>
        <w:tc>
          <w:tcPr>
            <w:tcW w:type="dxa" w:w="2060"/>
            <w:tcMar>
              <w:top w:w="80" w:type="dxa"/>
              <w:start w:w="120" w:type="dxa"/>
              <w:bottom w:w="80" w:type="dxa"/>
              <w:end w:w="120" w:type="dxa"/>
            </w:tcMar>
            <w:vAlign w:val="center"/>
          </w:tcPr>
          <w:p>
            <w:r>
              <w:rPr>
                <w:rFonts w:ascii="Calibri" w:hAnsi="Calibri"/>
                <w:b w:val="0"/>
                <w:i w:val="0"/>
                <w:color w:val="1F2937"/>
                <w:sz w:val="15"/>
              </w:rPr>
              <w:t>Activation, test invoice, archive/reconciliation</w:t>
            </w:r>
          </w:p>
        </w:tc>
      </w:tr>
      <w:tr>
        <w:trPr>
          <w:cantSplit/>
        </w:trPr>
        <w:tc>
          <w:tcPr>
            <w:tcW w:type="dxa" w:w="1650"/>
            <w:shd w:fill="F8FAFC"/>
            <w:tcMar>
              <w:top w:w="80" w:type="dxa"/>
              <w:start w:w="120" w:type="dxa"/>
              <w:bottom w:w="80" w:type="dxa"/>
              <w:end w:w="120" w:type="dxa"/>
            </w:tcMar>
            <w:vAlign w:val="center"/>
          </w:tcPr>
          <w:p>
            <w:r>
              <w:rPr>
                <w:rFonts w:ascii="Calibri" w:hAnsi="Calibri"/>
                <w:b w:val="0"/>
                <w:i w:val="0"/>
                <w:color w:val="1F2937"/>
                <w:sz w:val="15"/>
              </w:rPr>
              <w:t>Camera/access</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Operations/security executive</w:t>
            </w:r>
          </w:p>
        </w:tc>
        <w:tc>
          <w:tcPr>
            <w:tcW w:type="dxa" w:w="1800"/>
            <w:shd w:fill="F8FAFC"/>
            <w:tcMar>
              <w:top w:w="80" w:type="dxa"/>
              <w:start w:w="120" w:type="dxa"/>
              <w:bottom w:w="80" w:type="dxa"/>
              <w:end w:w="120" w:type="dxa"/>
            </w:tcMar>
            <w:vAlign w:val="center"/>
          </w:tcPr>
          <w:p>
            <w:r>
              <w:rPr>
                <w:rFonts w:ascii="Calibri" w:hAnsi="Calibri"/>
                <w:b w:val="0"/>
                <w:i w:val="0"/>
                <w:color w:val="1F2937"/>
                <w:sz w:val="15"/>
              </w:rPr>
              <w:t>Site security</w:t>
            </w:r>
          </w:p>
        </w:tc>
        <w:tc>
          <w:tcPr>
            <w:tcW w:type="dxa" w:w="2050"/>
            <w:shd w:fill="F8FAFC"/>
            <w:tcMar>
              <w:top w:w="80" w:type="dxa"/>
              <w:start w:w="120" w:type="dxa"/>
              <w:bottom w:w="80" w:type="dxa"/>
              <w:end w:w="120" w:type="dxa"/>
            </w:tcMar>
            <w:vAlign w:val="center"/>
          </w:tcPr>
          <w:p>
            <w:r>
              <w:rPr>
                <w:rFonts w:ascii="Calibri" w:hAnsi="Calibri"/>
                <w:b w:val="0"/>
                <w:i w:val="0"/>
                <w:color w:val="1F2937"/>
                <w:sz w:val="15"/>
              </w:rPr>
              <w:t>Counsel + installer</w:t>
            </w:r>
          </w:p>
        </w:tc>
        <w:tc>
          <w:tcPr>
            <w:tcW w:type="dxa" w:w="2060"/>
            <w:shd w:fill="F8FAFC"/>
            <w:tcMar>
              <w:top w:w="80" w:type="dxa"/>
              <w:start w:w="120" w:type="dxa"/>
              <w:bottom w:w="80" w:type="dxa"/>
              <w:end w:w="120" w:type="dxa"/>
            </w:tcMar>
            <w:vAlign w:val="center"/>
          </w:tcPr>
          <w:p>
            <w:r>
              <w:rPr>
                <w:rFonts w:ascii="Calibri" w:hAnsi="Calibri"/>
                <w:b w:val="0"/>
                <w:i w:val="0"/>
                <w:color w:val="1F2937"/>
                <w:sz w:val="15"/>
              </w:rPr>
              <w:t>Assessment, inventory, retention, access log</w:t>
            </w:r>
          </w:p>
        </w:tc>
      </w:tr>
    </w:tbl>
    <w:p>
      <w:pPr>
        <w:pStyle w:val="CaptionSmall"/>
      </w:pPr>
      <w:r>
        <w:rPr>
          <w:rFonts w:ascii="Calibri" w:hAnsi="Calibri"/>
          <w:b/>
          <w:i w:val="0"/>
          <w:color w:val="5B6673"/>
          <w:sz w:val="17"/>
        </w:rPr>
        <w:t xml:space="preserve">Sources checked 15 July 2026: </w:t>
      </w:r>
      <w:hyperlink r:id="rId34">
        <w:r>
          <w:rPr>
            <w:color w:val="2E74B5"/>
            <w:u w:val="single"/>
          </w:rPr>
          <w:t>S24 GİB</w:t>
        </w:r>
      </w:hyperlink>
      <w:r>
        <w:rPr>
          <w:rFonts w:ascii="Calibri" w:hAnsi="Calibri"/>
          <w:b w:val="0"/>
          <w:i w:val="0"/>
          <w:color w:val="5B6673"/>
          <w:sz w:val="17"/>
        </w:rPr>
        <w:t xml:space="preserve">; </w:t>
      </w:r>
      <w:hyperlink r:id="rId38">
        <w:r>
          <w:rPr>
            <w:color w:val="2E74B5"/>
            <w:u w:val="single"/>
          </w:rPr>
          <w:t>S25 GİB</w:t>
        </w:r>
      </w:hyperlink>
      <w:r>
        <w:rPr>
          <w:rFonts w:ascii="Calibri" w:hAnsi="Calibri"/>
          <w:b w:val="0"/>
          <w:i w:val="0"/>
          <w:color w:val="5B6673"/>
          <w:sz w:val="17"/>
        </w:rPr>
        <w:t xml:space="preserve">; </w:t>
      </w:r>
      <w:hyperlink r:id="rId39">
        <w:r>
          <w:rPr>
            <w:color w:val="2E74B5"/>
            <w:u w:val="single"/>
          </w:rPr>
          <w:t>S26 KVKK</w:t>
        </w:r>
      </w:hyperlink>
      <w:r>
        <w:rPr>
          <w:rFonts w:ascii="Calibri" w:hAnsi="Calibri"/>
          <w:b w:val="0"/>
          <w:i w:val="0"/>
          <w:color w:val="5B6673"/>
          <w:sz w:val="17"/>
        </w:rPr>
        <w:t xml:space="preserve">; </w:t>
      </w:r>
      <w:hyperlink r:id="rId40">
        <w:r>
          <w:rPr>
            <w:color w:val="2E74B5"/>
            <w:u w:val="single"/>
          </w:rPr>
          <w:t>S27 KVKK</w:t>
        </w:r>
      </w:hyperlink>
      <w:r>
        <w:rPr>
          <w:rFonts w:ascii="Calibri" w:hAnsi="Calibri"/>
          <w:b w:val="0"/>
          <w:i w:val="0"/>
          <w:color w:val="5B6673"/>
          <w:sz w:val="17"/>
        </w:rPr>
        <w:t xml:space="preserve">; </w:t>
      </w:r>
      <w:hyperlink r:id="rId41">
        <w:r>
          <w:rPr>
            <w:color w:val="2E74B5"/>
            <w:u w:val="single"/>
          </w:rPr>
          <w:t>S28 KVKK</w:t>
        </w:r>
      </w:hyperlink>
      <w:r>
        <w:rPr>
          <w:rFonts w:ascii="Calibri" w:hAnsi="Calibri"/>
          <w:b w:val="0"/>
          <w:i w:val="0"/>
          <w:color w:val="5B6673"/>
          <w:sz w:val="17"/>
        </w:rPr>
        <w:t xml:space="preserve">; </w:t>
      </w:r>
      <w:hyperlink r:id="rId42">
        <w:r>
          <w:rPr>
            <w:color w:val="2E74B5"/>
            <w:u w:val="single"/>
          </w:rPr>
          <w:t>S29 KVKK</w:t>
        </w:r>
      </w:hyperlink>
      <w:r>
        <w:rPr>
          <w:rFonts w:ascii="Calibri" w:hAnsi="Calibri"/>
          <w:b w:val="0"/>
          <w:i w:val="0"/>
          <w:color w:val="5B6673"/>
          <w:sz w:val="17"/>
        </w:rPr>
        <w:t xml:space="preserve">; </w:t>
      </w:r>
      <w:hyperlink r:id="rId43">
        <w:r>
          <w:rPr>
            <w:color w:val="2E74B5"/>
            <w:u w:val="single"/>
          </w:rPr>
          <w:t>S30 KVKK</w:t>
        </w:r>
      </w:hyperlink>
      <w:r>
        <w:rPr>
          <w:rFonts w:ascii="Calibri" w:hAnsi="Calibri"/>
          <w:b w:val="0"/>
          <w:i w:val="0"/>
          <w:color w:val="5B6673"/>
          <w:sz w:val="17"/>
        </w:rPr>
        <w:t xml:space="preserve">; </w:t>
      </w:r>
      <w:hyperlink r:id="rId44">
        <w:r>
          <w:rPr>
            <w:color w:val="2E74B5"/>
            <w:u w:val="single"/>
          </w:rPr>
          <w:t>S31 KVKK</w:t>
        </w:r>
      </w:hyperlink>
      <w:r>
        <w:rPr>
          <w:rFonts w:ascii="Calibri" w:hAnsi="Calibri"/>
          <w:b w:val="0"/>
          <w:i w:val="0"/>
          <w:color w:val="5B6673"/>
          <w:sz w:val="17"/>
        </w:rPr>
        <w:t xml:space="preserve">; </w:t>
      </w:r>
      <w:hyperlink r:id="rId45">
        <w:r>
          <w:rPr>
            <w:color w:val="2E74B5"/>
            <w:u w:val="single"/>
          </w:rPr>
          <w:t>S32 KVKK</w:t>
        </w:r>
      </w:hyperlink>
      <w:r>
        <w:rPr>
          <w:rFonts w:ascii="Calibri" w:hAnsi="Calibri"/>
          <w:b w:val="0"/>
          <w:i w:val="0"/>
          <w:color w:val="5B6673"/>
          <w:sz w:val="17"/>
        </w:rPr>
        <w:t xml:space="preserve">; </w:t>
      </w:r>
      <w:hyperlink r:id="rId35">
        <w:r>
          <w:rPr>
            <w:color w:val="2E74B5"/>
            <w:u w:val="single"/>
          </w:rPr>
          <w:t>S33 İYS</w:t>
        </w:r>
      </w:hyperlink>
      <w:r>
        <w:rPr>
          <w:rFonts w:ascii="Calibri" w:hAnsi="Calibri"/>
          <w:b w:val="0"/>
          <w:i w:val="0"/>
          <w:color w:val="5B6673"/>
          <w:sz w:val="17"/>
        </w:rPr>
        <w:t xml:space="preserve">; </w:t>
      </w:r>
      <w:hyperlink r:id="rId36">
        <w:r>
          <w:rPr>
            <w:color w:val="2E74B5"/>
            <w:u w:val="single"/>
          </w:rPr>
          <w:t>S34 Ministry of Trade</w:t>
        </w:r>
      </w:hyperlink>
      <w:r>
        <w:rPr>
          <w:rFonts w:ascii="Calibri" w:hAnsi="Calibri"/>
          <w:b w:val="0"/>
          <w:i w:val="0"/>
          <w:color w:val="5B6673"/>
          <w:sz w:val="17"/>
        </w:rPr>
        <w:t xml:space="preserve">; </w:t>
      </w:r>
      <w:hyperlink r:id="rId46">
        <w:r>
          <w:rPr>
            <w:color w:val="2E74B5"/>
            <w:u w:val="single"/>
          </w:rPr>
          <w:t>S35 Ministry of Trade</w:t>
        </w:r>
      </w:hyperlink>
      <w:r>
        <w:rPr>
          <w:rFonts w:ascii="Calibri" w:hAnsi="Calibri"/>
          <w:b w:val="0"/>
          <w:i w:val="0"/>
          <w:color w:val="5B6673"/>
          <w:sz w:val="17"/>
        </w:rPr>
        <w:t xml:space="preserve">; </w:t>
      </w:r>
      <w:hyperlink r:id="rId19">
        <w:r>
          <w:rPr>
            <w:color w:val="2E74B5"/>
            <w:u w:val="single"/>
          </w:rPr>
          <w:t>S36 Ministry of Trade</w:t>
        </w:r>
      </w:hyperlink>
      <w:r>
        <w:rPr>
          <w:rFonts w:ascii="Calibri" w:hAnsi="Calibri"/>
          <w:b w:val="0"/>
          <w:i w:val="0"/>
          <w:color w:val="5B6673"/>
          <w:sz w:val="17"/>
        </w:rPr>
        <w:t xml:space="preserve">; </w:t>
      </w:r>
      <w:hyperlink r:id="rId37">
        <w:r>
          <w:rPr>
            <w:color w:val="2E74B5"/>
            <w:u w:val="single"/>
          </w:rPr>
          <w:t>S37 Ministry of Trade</w:t>
        </w:r>
      </w:hyperlink>
      <w:r>
        <w:rPr>
          <w:rFonts w:ascii="Calibri" w:hAnsi="Calibri"/>
          <w:b w:val="0"/>
          <w:i w:val="0"/>
          <w:color w:val="5B6673"/>
          <w:sz w:val="17"/>
        </w:rPr>
        <w:t xml:space="preserve">; </w:t>
      </w:r>
      <w:hyperlink r:id="rId47">
        <w:r>
          <w:rPr>
            <w:color w:val="2E74B5"/>
            <w:u w:val="single"/>
          </w:rPr>
          <w:t>S38 MASAK</w:t>
        </w:r>
      </w:hyperlink>
    </w:p>
    <w:p>
      <w:bookmarkStart w:id="111" w:name="ai"/>
      <w:pPr>
        <w:pStyle w:val="Heading1"/>
      </w:pPr>
      <w:r>
        <w:t>9. AI strategy, cost and governance</w:t>
      </w:r>
      <w:bookmarkEnd w:id="111"/>
    </w:p>
    <w:p>
      <w:pPr>
        <w:pStyle w:val="ExecutiveLead"/>
      </w:pPr>
      <w:r>
        <w:rPr>
          <w:rFonts w:ascii="Calibri" w:hAnsi="Calibri"/>
          <w:b w:val="0"/>
          <w:i w:val="0"/>
          <w:color w:val="1F2937"/>
          <w:sz w:val="20"/>
        </w:rPr>
        <w:t>AI should lower workload while remaining permission-aware, source-linked and reversible. The commercial strategy is to route routine tasks to the lowest adequate model and reserve stronger models or human review for high-impact work.</w:t>
      </w:r>
    </w:p>
    <w:p>
      <w:pPr>
        <w:pStyle w:val="Heading2"/>
      </w:pPr>
      <w:r>
        <w:t>9.1 Recommended model routing</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50"/>
        <w:gridCol w:w="2200"/>
        <w:gridCol w:w="2800"/>
        <w:gridCol w:w="2210"/>
      </w:tblGrid>
      <w:tr>
        <w:trPr>
          <w:cantSplit/>
          <w:tblHeader w:val="true"/>
          <w:cantSplit/>
        </w:trPr>
        <w:tc>
          <w:tcPr>
            <w:tcW w:type="dxa" w:w="2150"/>
            <w:shd w:fill="102A43"/>
            <w:tcMar>
              <w:top w:w="80" w:type="dxa"/>
              <w:start w:w="120" w:type="dxa"/>
              <w:bottom w:w="80" w:type="dxa"/>
              <w:end w:w="120" w:type="dxa"/>
            </w:tcMar>
            <w:vAlign w:val="center"/>
          </w:tcPr>
          <w:p>
            <w:r>
              <w:rPr>
                <w:rFonts w:ascii="Calibri" w:hAnsi="Calibri"/>
                <w:b/>
                <w:i w:val="0"/>
                <w:color w:val="FFFFFF"/>
                <w:sz w:val="16"/>
              </w:rPr>
              <w:t>Work type</w:t>
            </w:r>
          </w:p>
        </w:tc>
        <w:tc>
          <w:tcPr>
            <w:tcW w:type="dxa" w:w="2200"/>
            <w:shd w:fill="102A43"/>
            <w:tcMar>
              <w:top w:w="80" w:type="dxa"/>
              <w:start w:w="120" w:type="dxa"/>
              <w:bottom w:w="80" w:type="dxa"/>
              <w:end w:w="120" w:type="dxa"/>
            </w:tcMar>
            <w:vAlign w:val="center"/>
          </w:tcPr>
          <w:p>
            <w:r>
              <w:rPr>
                <w:rFonts w:ascii="Calibri" w:hAnsi="Calibri"/>
                <w:b/>
                <w:i w:val="0"/>
                <w:color w:val="FFFFFF"/>
                <w:sz w:val="16"/>
              </w:rPr>
              <w:t>Default route</w:t>
            </w:r>
          </w:p>
        </w:tc>
        <w:tc>
          <w:tcPr>
            <w:tcW w:type="dxa" w:w="2800"/>
            <w:shd w:fill="102A43"/>
            <w:tcMar>
              <w:top w:w="80" w:type="dxa"/>
              <w:start w:w="120" w:type="dxa"/>
              <w:bottom w:w="80" w:type="dxa"/>
              <w:end w:w="120" w:type="dxa"/>
            </w:tcMar>
            <w:vAlign w:val="center"/>
          </w:tcPr>
          <w:p>
            <w:r>
              <w:rPr>
                <w:rFonts w:ascii="Calibri" w:hAnsi="Calibri"/>
                <w:b/>
                <w:i w:val="0"/>
                <w:color w:val="FFFFFF"/>
                <w:sz w:val="16"/>
              </w:rPr>
              <w:t>Reason</w:t>
            </w:r>
          </w:p>
        </w:tc>
        <w:tc>
          <w:tcPr>
            <w:tcW w:type="dxa" w:w="2210"/>
            <w:shd w:fill="102A43"/>
            <w:tcMar>
              <w:top w:w="80" w:type="dxa"/>
              <w:start w:w="120" w:type="dxa"/>
              <w:bottom w:w="80" w:type="dxa"/>
              <w:end w:w="120" w:type="dxa"/>
            </w:tcMar>
            <w:vAlign w:val="center"/>
          </w:tcPr>
          <w:p>
            <w:r>
              <w:rPr>
                <w:rFonts w:ascii="Calibri" w:hAnsi="Calibri"/>
                <w:b/>
                <w:i w:val="0"/>
                <w:color w:val="FFFFFF"/>
                <w:sz w:val="16"/>
              </w:rPr>
              <w:t>Human gate</w:t>
            </w:r>
          </w:p>
        </w:tc>
      </w:tr>
      <w:tr>
        <w:trPr>
          <w:cantSplit/>
        </w:trPr>
        <w:tc>
          <w:tcPr>
            <w:tcW w:type="dxa" w:w="2150"/>
            <w:tcMar>
              <w:top w:w="80" w:type="dxa"/>
              <w:start w:w="120" w:type="dxa"/>
              <w:bottom w:w="80" w:type="dxa"/>
              <w:end w:w="120" w:type="dxa"/>
            </w:tcMar>
            <w:vAlign w:val="center"/>
          </w:tcPr>
          <w:p>
            <w:r>
              <w:rPr>
                <w:rFonts w:ascii="Calibri" w:hAnsi="Calibri"/>
                <w:b w:val="0"/>
                <w:i w:val="0"/>
                <w:color w:val="1F2937"/>
                <w:sz w:val="16"/>
              </w:rPr>
              <w:t>Classification, short drafts, FAQs</w:t>
            </w:r>
          </w:p>
        </w:tc>
        <w:tc>
          <w:tcPr>
            <w:tcW w:type="dxa" w:w="2200"/>
            <w:tcMar>
              <w:top w:w="80" w:type="dxa"/>
              <w:start w:w="120" w:type="dxa"/>
              <w:bottom w:w="80" w:type="dxa"/>
              <w:end w:w="120" w:type="dxa"/>
            </w:tcMar>
            <w:vAlign w:val="center"/>
          </w:tcPr>
          <w:p>
            <w:r>
              <w:rPr>
                <w:rFonts w:ascii="Calibri" w:hAnsi="Calibri"/>
                <w:b w:val="0"/>
                <w:i w:val="0"/>
                <w:color w:val="1F2937"/>
                <w:sz w:val="16"/>
              </w:rPr>
              <w:t>Luna / equivalent low-cost model</w:t>
            </w:r>
          </w:p>
        </w:tc>
        <w:tc>
          <w:tcPr>
            <w:tcW w:type="dxa" w:w="2800"/>
            <w:tcMar>
              <w:top w:w="80" w:type="dxa"/>
              <w:start w:w="120" w:type="dxa"/>
              <w:bottom w:w="80" w:type="dxa"/>
              <w:end w:w="120" w:type="dxa"/>
            </w:tcMar>
            <w:vAlign w:val="center"/>
          </w:tcPr>
          <w:p>
            <w:r>
              <w:rPr>
                <w:rFonts w:ascii="Calibri" w:hAnsi="Calibri"/>
                <w:b w:val="0"/>
                <w:i w:val="0"/>
                <w:color w:val="1F2937"/>
                <w:sz w:val="16"/>
              </w:rPr>
              <w:t>Low unit cost and adequate routine capability</w:t>
            </w:r>
          </w:p>
        </w:tc>
        <w:tc>
          <w:tcPr>
            <w:tcW w:type="dxa" w:w="2210"/>
            <w:tcMar>
              <w:top w:w="80" w:type="dxa"/>
              <w:start w:w="120" w:type="dxa"/>
              <w:bottom w:w="80" w:type="dxa"/>
              <w:end w:w="120" w:type="dxa"/>
            </w:tcMar>
            <w:vAlign w:val="center"/>
          </w:tcPr>
          <w:p>
            <w:r>
              <w:rPr>
                <w:rFonts w:ascii="Calibri" w:hAnsi="Calibri"/>
                <w:b w:val="0"/>
                <w:i w:val="0"/>
                <w:color w:val="1F2937"/>
                <w:sz w:val="16"/>
              </w:rPr>
              <w:t>Review for external communications where configured</w:t>
            </w:r>
          </w:p>
        </w:tc>
      </w:tr>
      <w:tr>
        <w:trPr>
          <w:cantSplit/>
        </w:trPr>
        <w:tc>
          <w:tcPr>
            <w:tcW w:type="dxa" w:w="2150"/>
            <w:shd w:fill="F8FAFC"/>
            <w:tcMar>
              <w:top w:w="80" w:type="dxa"/>
              <w:start w:w="120" w:type="dxa"/>
              <w:bottom w:w="80" w:type="dxa"/>
              <w:end w:w="120" w:type="dxa"/>
            </w:tcMar>
            <w:vAlign w:val="center"/>
          </w:tcPr>
          <w:p>
            <w:r>
              <w:rPr>
                <w:rFonts w:ascii="Calibri" w:hAnsi="Calibri"/>
                <w:b w:val="0"/>
                <w:i w:val="0"/>
                <w:color w:val="1F2937"/>
                <w:sz w:val="16"/>
              </w:rPr>
              <w:t>Complex financial explanation, long report</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Terra / stronger model</w:t>
            </w:r>
          </w:p>
        </w:tc>
        <w:tc>
          <w:tcPr>
            <w:tcW w:type="dxa" w:w="2800"/>
            <w:shd w:fill="F8FAFC"/>
            <w:tcMar>
              <w:top w:w="80" w:type="dxa"/>
              <w:start w:w="120" w:type="dxa"/>
              <w:bottom w:w="80" w:type="dxa"/>
              <w:end w:w="120" w:type="dxa"/>
            </w:tcMar>
            <w:vAlign w:val="center"/>
          </w:tcPr>
          <w:p>
            <w:r>
              <w:rPr>
                <w:rFonts w:ascii="Calibri" w:hAnsi="Calibri"/>
                <w:b w:val="0"/>
                <w:i w:val="0"/>
                <w:color w:val="1F2937"/>
                <w:sz w:val="16"/>
              </w:rPr>
              <w:t>Higher reasoning/reliability budget</w:t>
            </w:r>
          </w:p>
        </w:tc>
        <w:tc>
          <w:tcPr>
            <w:tcW w:type="dxa" w:w="2210"/>
            <w:shd w:fill="F8FAFC"/>
            <w:tcMar>
              <w:top w:w="80" w:type="dxa"/>
              <w:start w:w="120" w:type="dxa"/>
              <w:bottom w:w="80" w:type="dxa"/>
              <w:end w:w="120" w:type="dxa"/>
            </w:tcMar>
            <w:vAlign w:val="center"/>
          </w:tcPr>
          <w:p>
            <w:r>
              <w:rPr>
                <w:rFonts w:ascii="Calibri" w:hAnsi="Calibri"/>
                <w:b w:val="0"/>
                <w:i w:val="0"/>
                <w:color w:val="1F2937"/>
                <w:sz w:val="16"/>
              </w:rPr>
              <w:t>Accountant/manager approval</w:t>
            </w:r>
          </w:p>
        </w:tc>
      </w:tr>
      <w:tr>
        <w:trPr>
          <w:cantSplit/>
        </w:trPr>
        <w:tc>
          <w:tcPr>
            <w:tcW w:type="dxa" w:w="2150"/>
            <w:tcMar>
              <w:top w:w="80" w:type="dxa"/>
              <w:start w:w="120" w:type="dxa"/>
              <w:bottom w:w="80" w:type="dxa"/>
              <w:end w:w="120" w:type="dxa"/>
            </w:tcMar>
            <w:vAlign w:val="center"/>
          </w:tcPr>
          <w:p>
            <w:r>
              <w:rPr>
                <w:rFonts w:ascii="Calibri" w:hAnsi="Calibri"/>
                <w:b w:val="0"/>
                <w:i w:val="0"/>
                <w:color w:val="1F2937"/>
                <w:sz w:val="16"/>
              </w:rPr>
              <w:t>Legal, regulatory or policy question</w:t>
            </w:r>
          </w:p>
        </w:tc>
        <w:tc>
          <w:tcPr>
            <w:tcW w:type="dxa" w:w="2200"/>
            <w:tcMar>
              <w:top w:w="80" w:type="dxa"/>
              <w:start w:w="120" w:type="dxa"/>
              <w:bottom w:w="80" w:type="dxa"/>
              <w:end w:w="120" w:type="dxa"/>
            </w:tcMar>
            <w:vAlign w:val="center"/>
          </w:tcPr>
          <w:p>
            <w:r>
              <w:rPr>
                <w:rFonts w:ascii="Calibri" w:hAnsi="Calibri"/>
                <w:b w:val="0"/>
                <w:i w:val="0"/>
                <w:color w:val="1F2937"/>
                <w:sz w:val="16"/>
              </w:rPr>
              <w:t>Retrieval + disclaimer + human owner</w:t>
            </w:r>
          </w:p>
        </w:tc>
        <w:tc>
          <w:tcPr>
            <w:tcW w:type="dxa" w:w="2800"/>
            <w:tcMar>
              <w:top w:w="80" w:type="dxa"/>
              <w:start w:w="120" w:type="dxa"/>
              <w:bottom w:w="80" w:type="dxa"/>
              <w:end w:w="120" w:type="dxa"/>
            </w:tcMar>
            <w:vAlign w:val="center"/>
          </w:tcPr>
          <w:p>
            <w:r>
              <w:rPr>
                <w:rFonts w:ascii="Calibri" w:hAnsi="Calibri"/>
                <w:b w:val="0"/>
                <w:i w:val="0"/>
                <w:color w:val="1F2937"/>
                <w:sz w:val="16"/>
              </w:rPr>
              <w:t>Model output is not legal advice</w:t>
            </w:r>
          </w:p>
        </w:tc>
        <w:tc>
          <w:tcPr>
            <w:tcW w:type="dxa" w:w="2210"/>
            <w:tcMar>
              <w:top w:w="80" w:type="dxa"/>
              <w:start w:w="120" w:type="dxa"/>
              <w:bottom w:w="80" w:type="dxa"/>
              <w:end w:w="120" w:type="dxa"/>
            </w:tcMar>
            <w:vAlign w:val="center"/>
          </w:tcPr>
          <w:p>
            <w:r>
              <w:rPr>
                <w:rFonts w:ascii="Calibri" w:hAnsi="Calibri"/>
                <w:b w:val="0"/>
                <w:i w:val="0"/>
                <w:color w:val="1F2937"/>
                <w:sz w:val="16"/>
              </w:rPr>
              <w:t>Mandatory legal/management approval</w:t>
            </w:r>
          </w:p>
        </w:tc>
      </w:tr>
      <w:tr>
        <w:trPr>
          <w:cantSplit/>
        </w:trPr>
        <w:tc>
          <w:tcPr>
            <w:tcW w:type="dxa" w:w="2150"/>
            <w:shd w:fill="F8FAFC"/>
            <w:tcMar>
              <w:top w:w="80" w:type="dxa"/>
              <w:start w:w="120" w:type="dxa"/>
              <w:bottom w:w="80" w:type="dxa"/>
              <w:end w:w="120" w:type="dxa"/>
            </w:tcMar>
            <w:vAlign w:val="center"/>
          </w:tcPr>
          <w:p>
            <w:r>
              <w:rPr>
                <w:rFonts w:ascii="Calibri" w:hAnsi="Calibri"/>
                <w:b w:val="0"/>
                <w:i w:val="0"/>
                <w:color w:val="1F2937"/>
                <w:sz w:val="16"/>
              </w:rPr>
              <w:t>Image/evidence workflow</w:t>
            </w:r>
          </w:p>
        </w:tc>
        <w:tc>
          <w:tcPr>
            <w:tcW w:type="dxa" w:w="2200"/>
            <w:shd w:fill="F8FAFC"/>
            <w:tcMar>
              <w:top w:w="80" w:type="dxa"/>
              <w:start w:w="120" w:type="dxa"/>
              <w:bottom w:w="80" w:type="dxa"/>
              <w:end w:w="120" w:type="dxa"/>
            </w:tcMar>
            <w:vAlign w:val="center"/>
          </w:tcPr>
          <w:p>
            <w:r>
              <w:rPr>
                <w:rFonts w:ascii="Calibri" w:hAnsi="Calibri"/>
                <w:b w:val="0"/>
                <w:i w:val="0"/>
                <w:color w:val="1F2937"/>
                <w:sz w:val="16"/>
              </w:rPr>
              <w:t>Dedicated vision model, isolated budget</w:t>
            </w:r>
          </w:p>
        </w:tc>
        <w:tc>
          <w:tcPr>
            <w:tcW w:type="dxa" w:w="2800"/>
            <w:shd w:fill="F8FAFC"/>
            <w:tcMar>
              <w:top w:w="80" w:type="dxa"/>
              <w:start w:w="120" w:type="dxa"/>
              <w:bottom w:w="80" w:type="dxa"/>
              <w:end w:w="120" w:type="dxa"/>
            </w:tcMar>
            <w:vAlign w:val="center"/>
          </w:tcPr>
          <w:p>
            <w:r>
              <w:rPr>
                <w:rFonts w:ascii="Calibri" w:hAnsi="Calibri"/>
                <w:b w:val="0"/>
                <w:i w:val="0"/>
                <w:color w:val="1F2937"/>
                <w:sz w:val="16"/>
              </w:rPr>
              <w:t>Image pricing and privacy differ from text</w:t>
            </w:r>
          </w:p>
        </w:tc>
        <w:tc>
          <w:tcPr>
            <w:tcW w:type="dxa" w:w="2210"/>
            <w:shd w:fill="F8FAFC"/>
            <w:tcMar>
              <w:top w:w="80" w:type="dxa"/>
              <w:start w:w="120" w:type="dxa"/>
              <w:bottom w:w="80" w:type="dxa"/>
              <w:end w:w="120" w:type="dxa"/>
            </w:tcMar>
            <w:vAlign w:val="center"/>
          </w:tcPr>
          <w:p>
            <w:r>
              <w:rPr>
                <w:rFonts w:ascii="Calibri" w:hAnsi="Calibri"/>
                <w:b w:val="0"/>
                <w:i w:val="0"/>
                <w:color w:val="1F2937"/>
                <w:sz w:val="16"/>
              </w:rPr>
              <w:t>Staff confirms evidence and access</w:t>
            </w:r>
          </w:p>
        </w:tc>
      </w:tr>
      <w:tr>
        <w:trPr>
          <w:cantSplit/>
        </w:trPr>
        <w:tc>
          <w:tcPr>
            <w:tcW w:type="dxa" w:w="2150"/>
            <w:tcMar>
              <w:top w:w="80" w:type="dxa"/>
              <w:start w:w="120" w:type="dxa"/>
              <w:bottom w:w="80" w:type="dxa"/>
              <w:end w:w="120" w:type="dxa"/>
            </w:tcMar>
            <w:vAlign w:val="center"/>
          </w:tcPr>
          <w:p>
            <w:r>
              <w:rPr>
                <w:rFonts w:ascii="Calibri" w:hAnsi="Calibri"/>
                <w:b w:val="0"/>
                <w:i w:val="0"/>
                <w:color w:val="1F2937"/>
                <w:sz w:val="16"/>
              </w:rPr>
              <w:t>Payment/refund/access/role change</w:t>
            </w:r>
          </w:p>
        </w:tc>
        <w:tc>
          <w:tcPr>
            <w:tcW w:type="dxa" w:w="2200"/>
            <w:tcMar>
              <w:top w:w="80" w:type="dxa"/>
              <w:start w:w="120" w:type="dxa"/>
              <w:bottom w:w="80" w:type="dxa"/>
              <w:end w:w="120" w:type="dxa"/>
            </w:tcMar>
            <w:vAlign w:val="center"/>
          </w:tcPr>
          <w:p>
            <w:r>
              <w:rPr>
                <w:rFonts w:ascii="Calibri" w:hAnsi="Calibri"/>
                <w:b w:val="0"/>
                <w:i w:val="0"/>
                <w:color w:val="1F2937"/>
                <w:sz w:val="16"/>
              </w:rPr>
              <w:t>No autonomous execution</w:t>
            </w:r>
          </w:p>
        </w:tc>
        <w:tc>
          <w:tcPr>
            <w:tcW w:type="dxa" w:w="2800"/>
            <w:tcMar>
              <w:top w:w="80" w:type="dxa"/>
              <w:start w:w="120" w:type="dxa"/>
              <w:bottom w:w="80" w:type="dxa"/>
              <w:end w:w="120" w:type="dxa"/>
            </w:tcMar>
            <w:vAlign w:val="center"/>
          </w:tcPr>
          <w:p>
            <w:r>
              <w:rPr>
                <w:rFonts w:ascii="Calibri" w:hAnsi="Calibri"/>
                <w:b w:val="0"/>
                <w:i w:val="0"/>
                <w:color w:val="1F2937"/>
                <w:sz w:val="16"/>
              </w:rPr>
              <w:t>High-impact irreversible or regulated action</w:t>
            </w:r>
          </w:p>
        </w:tc>
        <w:tc>
          <w:tcPr>
            <w:tcW w:type="dxa" w:w="2210"/>
            <w:tcMar>
              <w:top w:w="80" w:type="dxa"/>
              <w:start w:w="120" w:type="dxa"/>
              <w:bottom w:w="80" w:type="dxa"/>
              <w:end w:w="120" w:type="dxa"/>
            </w:tcMar>
            <w:vAlign w:val="center"/>
          </w:tcPr>
          <w:p>
            <w:r>
              <w:rPr>
                <w:rFonts w:ascii="Calibri" w:hAnsi="Calibri"/>
                <w:b w:val="0"/>
                <w:i w:val="0"/>
                <w:color w:val="1F2937"/>
                <w:sz w:val="16"/>
              </w:rPr>
              <w:t>Authorised human executes through normal workflow</w:t>
            </w:r>
          </w:p>
        </w:tc>
      </w:tr>
    </w:tbl>
    <w:p>
      <w:pPr>
        <w:pStyle w:val="Heading2"/>
      </w:pPr>
      <w:r>
        <w:t>9.2 Text AI cost formula</w:t>
      </w:r>
    </w:p>
    <w:p>
      <w:r>
        <w:rPr>
          <w:rFonts w:ascii="Calibri" w:hAnsi="Calibri"/>
          <w:b w:val="0"/>
          <w:i w:val="0"/>
          <w:color w:val="1F2937"/>
          <w:sz w:val="20"/>
        </w:rPr>
        <w:t>For an action with 2,000 input and 500 output tokens: Luna = $0.005/action; Terra = $0.0125/action; an 80% Luna / 20% Terra blend = $0.0065/action. With 50% adoption and ten actions per AI user, the effective volume is five actions per active user.</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50"/>
        <w:gridCol w:w="1300"/>
        <w:gridCol w:w="1100"/>
        <w:gridCol w:w="1100"/>
        <w:gridCol w:w="1300"/>
        <w:gridCol w:w="1630"/>
        <w:gridCol w:w="1980"/>
      </w:tblGrid>
      <w:tr>
        <w:trPr>
          <w:cantSplit/>
          <w:tblHeader w:val="true"/>
          <w:cantSplit/>
        </w:trPr>
        <w:tc>
          <w:tcPr>
            <w:tcW w:type="dxa" w:w="950"/>
            <w:shd w:fill="102A43"/>
            <w:tcMar>
              <w:top w:w="80" w:type="dxa"/>
              <w:start w:w="120" w:type="dxa"/>
              <w:bottom w:w="80" w:type="dxa"/>
              <w:end w:w="120" w:type="dxa"/>
            </w:tcMar>
            <w:vAlign w:val="center"/>
          </w:tcPr>
          <w:p>
            <w:r>
              <w:rPr>
                <w:rFonts w:ascii="Calibri" w:hAnsi="Calibri"/>
                <w:b/>
                <w:i w:val="0"/>
                <w:color w:val="FFFFFF"/>
                <w:sz w:val="15"/>
              </w:rPr>
              <w:t>Users</w:t>
            </w:r>
          </w:p>
        </w:tc>
        <w:tc>
          <w:tcPr>
            <w:tcW w:type="dxa" w:w="1300"/>
            <w:shd w:fill="102A43"/>
            <w:tcMar>
              <w:top w:w="80" w:type="dxa"/>
              <w:start w:w="120" w:type="dxa"/>
              <w:bottom w:w="80" w:type="dxa"/>
              <w:end w:w="120" w:type="dxa"/>
            </w:tcMar>
            <w:vAlign w:val="center"/>
          </w:tcPr>
          <w:p>
            <w:r>
              <w:rPr>
                <w:rFonts w:ascii="Calibri" w:hAnsi="Calibri"/>
                <w:b/>
                <w:i w:val="0"/>
                <w:color w:val="FFFFFF"/>
                <w:sz w:val="15"/>
              </w:rPr>
              <w:t>AI actions/month</w:t>
            </w:r>
          </w:p>
        </w:tc>
        <w:tc>
          <w:tcPr>
            <w:tcW w:type="dxa" w:w="1100"/>
            <w:shd w:fill="102A43"/>
            <w:tcMar>
              <w:top w:w="80" w:type="dxa"/>
              <w:start w:w="120" w:type="dxa"/>
              <w:bottom w:w="80" w:type="dxa"/>
              <w:end w:w="120" w:type="dxa"/>
            </w:tcMar>
            <w:vAlign w:val="center"/>
          </w:tcPr>
          <w:p>
            <w:r>
              <w:rPr>
                <w:rFonts w:ascii="Calibri" w:hAnsi="Calibri"/>
                <w:b/>
                <w:i w:val="0"/>
                <w:color w:val="FFFFFF"/>
                <w:sz w:val="15"/>
              </w:rPr>
              <w:t>Luna</w:t>
            </w:r>
          </w:p>
        </w:tc>
        <w:tc>
          <w:tcPr>
            <w:tcW w:type="dxa" w:w="1100"/>
            <w:shd w:fill="102A43"/>
            <w:tcMar>
              <w:top w:w="80" w:type="dxa"/>
              <w:start w:w="120" w:type="dxa"/>
              <w:bottom w:w="80" w:type="dxa"/>
              <w:end w:w="120" w:type="dxa"/>
            </w:tcMar>
            <w:vAlign w:val="center"/>
          </w:tcPr>
          <w:p>
            <w:r>
              <w:rPr>
                <w:rFonts w:ascii="Calibri" w:hAnsi="Calibri"/>
                <w:b/>
                <w:i w:val="0"/>
                <w:color w:val="FFFFFF"/>
                <w:sz w:val="15"/>
              </w:rPr>
              <w:t>Terra</w:t>
            </w:r>
          </w:p>
        </w:tc>
        <w:tc>
          <w:tcPr>
            <w:tcW w:type="dxa" w:w="1300"/>
            <w:shd w:fill="102A43"/>
            <w:tcMar>
              <w:top w:w="80" w:type="dxa"/>
              <w:start w:w="120" w:type="dxa"/>
              <w:bottom w:w="80" w:type="dxa"/>
              <w:end w:w="120" w:type="dxa"/>
            </w:tcMar>
            <w:vAlign w:val="center"/>
          </w:tcPr>
          <w:p>
            <w:r>
              <w:rPr>
                <w:rFonts w:ascii="Calibri" w:hAnsi="Calibri"/>
                <w:b/>
                <w:i w:val="0"/>
                <w:color w:val="FFFFFF"/>
                <w:sz w:val="15"/>
              </w:rPr>
              <w:t>80/20 blend</w:t>
            </w:r>
          </w:p>
        </w:tc>
        <w:tc>
          <w:tcPr>
            <w:tcW w:type="dxa" w:w="1630"/>
            <w:shd w:fill="102A43"/>
            <w:tcMar>
              <w:top w:w="80" w:type="dxa"/>
              <w:start w:w="120" w:type="dxa"/>
              <w:bottom w:w="80" w:type="dxa"/>
              <w:end w:w="120" w:type="dxa"/>
            </w:tcMar>
            <w:vAlign w:val="center"/>
          </w:tcPr>
          <w:p>
            <w:r>
              <w:rPr>
                <w:rFonts w:ascii="Calibri" w:hAnsi="Calibri"/>
                <w:b/>
                <w:i w:val="0"/>
                <w:color w:val="FFFFFF"/>
                <w:sz w:val="15"/>
              </w:rPr>
              <w:t>Gemini Flash reference</w:t>
            </w:r>
          </w:p>
        </w:tc>
        <w:tc>
          <w:tcPr>
            <w:tcW w:type="dxa" w:w="1980"/>
            <w:shd w:fill="102A43"/>
            <w:tcMar>
              <w:top w:w="80" w:type="dxa"/>
              <w:start w:w="120" w:type="dxa"/>
              <w:bottom w:w="80" w:type="dxa"/>
              <w:end w:w="120" w:type="dxa"/>
            </w:tcMar>
            <w:vAlign w:val="center"/>
          </w:tcPr>
          <w:p>
            <w:r>
              <w:rPr>
                <w:rFonts w:ascii="Calibri" w:hAnsi="Calibri"/>
                <w:b/>
                <w:i w:val="0"/>
                <w:color w:val="FFFFFF"/>
                <w:sz w:val="15"/>
              </w:rPr>
              <w:t>Claude standard reference*</w:t>
            </w:r>
          </w:p>
        </w:tc>
      </w:tr>
      <w:tr>
        <w:trPr>
          <w:cantSplit/>
        </w:trPr>
        <w:tc>
          <w:tcPr>
            <w:tcW w:type="dxa" w:w="950"/>
            <w:tcMar>
              <w:top w:w="80" w:type="dxa"/>
              <w:start w:w="120" w:type="dxa"/>
              <w:bottom w:w="80" w:type="dxa"/>
              <w:end w:w="120" w:type="dxa"/>
            </w:tcMar>
            <w:vAlign w:val="center"/>
          </w:tcPr>
          <w:p>
            <w:r>
              <w:rPr>
                <w:rFonts w:ascii="Calibri" w:hAnsi="Calibri"/>
                <w:b w:val="0"/>
                <w:i w:val="0"/>
                <w:color w:val="1F2937"/>
                <w:sz w:val="15"/>
              </w:rPr>
              <w:t>1,000</w:t>
            </w:r>
          </w:p>
        </w:tc>
        <w:tc>
          <w:tcPr>
            <w:tcW w:type="dxa" w:w="1300"/>
            <w:tcMar>
              <w:top w:w="80" w:type="dxa"/>
              <w:start w:w="120" w:type="dxa"/>
              <w:bottom w:w="80" w:type="dxa"/>
              <w:end w:w="120" w:type="dxa"/>
            </w:tcMar>
            <w:vAlign w:val="center"/>
          </w:tcPr>
          <w:p>
            <w:r>
              <w:rPr>
                <w:rFonts w:ascii="Calibri" w:hAnsi="Calibri"/>
                <w:b w:val="0"/>
                <w:i w:val="0"/>
                <w:color w:val="1F2937"/>
                <w:sz w:val="15"/>
              </w:rPr>
              <w:t>5,000</w:t>
            </w:r>
          </w:p>
        </w:tc>
        <w:tc>
          <w:tcPr>
            <w:tcW w:type="dxa" w:w="1100"/>
            <w:tcMar>
              <w:top w:w="80" w:type="dxa"/>
              <w:start w:w="120" w:type="dxa"/>
              <w:bottom w:w="80" w:type="dxa"/>
              <w:end w:w="120" w:type="dxa"/>
            </w:tcMar>
            <w:vAlign w:val="center"/>
          </w:tcPr>
          <w:p>
            <w:r>
              <w:rPr>
                <w:rFonts w:ascii="Calibri" w:hAnsi="Calibri"/>
                <w:b w:val="0"/>
                <w:i w:val="0"/>
                <w:color w:val="1F2937"/>
                <w:sz w:val="15"/>
              </w:rPr>
              <w:t>$25.00</w:t>
            </w:r>
          </w:p>
        </w:tc>
        <w:tc>
          <w:tcPr>
            <w:tcW w:type="dxa" w:w="1100"/>
            <w:tcMar>
              <w:top w:w="80" w:type="dxa"/>
              <w:start w:w="120" w:type="dxa"/>
              <w:bottom w:w="80" w:type="dxa"/>
              <w:end w:w="120" w:type="dxa"/>
            </w:tcMar>
            <w:vAlign w:val="center"/>
          </w:tcPr>
          <w:p>
            <w:r>
              <w:rPr>
                <w:rFonts w:ascii="Calibri" w:hAnsi="Calibri"/>
                <w:b w:val="0"/>
                <w:i w:val="0"/>
                <w:color w:val="1F2937"/>
                <w:sz w:val="15"/>
              </w:rPr>
              <w:t>$62.50</w:t>
            </w:r>
          </w:p>
        </w:tc>
        <w:tc>
          <w:tcPr>
            <w:tcW w:type="dxa" w:w="1300"/>
            <w:tcMar>
              <w:top w:w="80" w:type="dxa"/>
              <w:start w:w="120" w:type="dxa"/>
              <w:bottom w:w="80" w:type="dxa"/>
              <w:end w:w="120" w:type="dxa"/>
            </w:tcMar>
            <w:vAlign w:val="center"/>
          </w:tcPr>
          <w:p>
            <w:r>
              <w:rPr>
                <w:rFonts w:ascii="Calibri" w:hAnsi="Calibri"/>
                <w:b w:val="0"/>
                <w:i w:val="0"/>
                <w:color w:val="1F2937"/>
                <w:sz w:val="15"/>
              </w:rPr>
              <w:t>$32.50</w:t>
            </w:r>
          </w:p>
        </w:tc>
        <w:tc>
          <w:tcPr>
            <w:tcW w:type="dxa" w:w="1630"/>
            <w:tcMar>
              <w:top w:w="80" w:type="dxa"/>
              <w:start w:w="120" w:type="dxa"/>
              <w:bottom w:w="80" w:type="dxa"/>
              <w:end w:w="120" w:type="dxa"/>
            </w:tcMar>
            <w:vAlign w:val="center"/>
          </w:tcPr>
          <w:p>
            <w:r>
              <w:rPr>
                <w:rFonts w:ascii="Calibri" w:hAnsi="Calibri"/>
                <w:b w:val="0"/>
                <w:i w:val="0"/>
                <w:color w:val="1F2937"/>
                <w:sz w:val="15"/>
              </w:rPr>
              <w:t>$37.50</w:t>
            </w:r>
          </w:p>
        </w:tc>
        <w:tc>
          <w:tcPr>
            <w:tcW w:type="dxa" w:w="1980"/>
            <w:tcMar>
              <w:top w:w="80" w:type="dxa"/>
              <w:start w:w="120" w:type="dxa"/>
              <w:bottom w:w="80" w:type="dxa"/>
              <w:end w:w="120" w:type="dxa"/>
            </w:tcMar>
            <w:vAlign w:val="center"/>
          </w:tcPr>
          <w:p>
            <w:r>
              <w:rPr>
                <w:rFonts w:ascii="Calibri" w:hAnsi="Calibri"/>
                <w:b w:val="0"/>
                <w:i w:val="0"/>
                <w:color w:val="1F2937"/>
                <w:sz w:val="15"/>
              </w:rPr>
              <w:t>$67.50</w:t>
            </w:r>
          </w:p>
        </w:tc>
      </w:tr>
      <w:tr>
        <w:trPr>
          <w:cantSplit/>
        </w:trPr>
        <w:tc>
          <w:tcPr>
            <w:tcW w:type="dxa" w:w="950"/>
            <w:shd w:fill="F8FAFC"/>
            <w:tcMar>
              <w:top w:w="80" w:type="dxa"/>
              <w:start w:w="120" w:type="dxa"/>
              <w:bottom w:w="80" w:type="dxa"/>
              <w:end w:w="120" w:type="dxa"/>
            </w:tcMar>
            <w:vAlign w:val="center"/>
          </w:tcPr>
          <w:p>
            <w:r>
              <w:rPr>
                <w:rFonts w:ascii="Calibri" w:hAnsi="Calibri"/>
                <w:b w:val="0"/>
                <w:i w:val="0"/>
                <w:color w:val="1F2937"/>
                <w:sz w:val="15"/>
              </w:rPr>
              <w:t>5,000</w:t>
            </w:r>
          </w:p>
        </w:tc>
        <w:tc>
          <w:tcPr>
            <w:tcW w:type="dxa" w:w="1300"/>
            <w:shd w:fill="F8FAFC"/>
            <w:tcMar>
              <w:top w:w="80" w:type="dxa"/>
              <w:start w:w="120" w:type="dxa"/>
              <w:bottom w:w="80" w:type="dxa"/>
              <w:end w:w="120" w:type="dxa"/>
            </w:tcMar>
            <w:vAlign w:val="center"/>
          </w:tcPr>
          <w:p>
            <w:r>
              <w:rPr>
                <w:rFonts w:ascii="Calibri" w:hAnsi="Calibri"/>
                <w:b w:val="0"/>
                <w:i w:val="0"/>
                <w:color w:val="1F2937"/>
                <w:sz w:val="15"/>
              </w:rPr>
              <w:t>25,000</w:t>
            </w:r>
          </w:p>
        </w:tc>
        <w:tc>
          <w:tcPr>
            <w:tcW w:type="dxa" w:w="1100"/>
            <w:shd w:fill="F8FAFC"/>
            <w:tcMar>
              <w:top w:w="80" w:type="dxa"/>
              <w:start w:w="120" w:type="dxa"/>
              <w:bottom w:w="80" w:type="dxa"/>
              <w:end w:w="120" w:type="dxa"/>
            </w:tcMar>
            <w:vAlign w:val="center"/>
          </w:tcPr>
          <w:p>
            <w:r>
              <w:rPr>
                <w:rFonts w:ascii="Calibri" w:hAnsi="Calibri"/>
                <w:b w:val="0"/>
                <w:i w:val="0"/>
                <w:color w:val="1F2937"/>
                <w:sz w:val="15"/>
              </w:rPr>
              <w:t>$125.00</w:t>
            </w:r>
          </w:p>
        </w:tc>
        <w:tc>
          <w:tcPr>
            <w:tcW w:type="dxa" w:w="1100"/>
            <w:shd w:fill="F8FAFC"/>
            <w:tcMar>
              <w:top w:w="80" w:type="dxa"/>
              <w:start w:w="120" w:type="dxa"/>
              <w:bottom w:w="80" w:type="dxa"/>
              <w:end w:w="120" w:type="dxa"/>
            </w:tcMar>
            <w:vAlign w:val="center"/>
          </w:tcPr>
          <w:p>
            <w:r>
              <w:rPr>
                <w:rFonts w:ascii="Calibri" w:hAnsi="Calibri"/>
                <w:b w:val="0"/>
                <w:i w:val="0"/>
                <w:color w:val="1F2937"/>
                <w:sz w:val="15"/>
              </w:rPr>
              <w:t>$312.50</w:t>
            </w:r>
          </w:p>
        </w:tc>
        <w:tc>
          <w:tcPr>
            <w:tcW w:type="dxa" w:w="1300"/>
            <w:shd w:fill="F8FAFC"/>
            <w:tcMar>
              <w:top w:w="80" w:type="dxa"/>
              <w:start w:w="120" w:type="dxa"/>
              <w:bottom w:w="80" w:type="dxa"/>
              <w:end w:w="120" w:type="dxa"/>
            </w:tcMar>
            <w:vAlign w:val="center"/>
          </w:tcPr>
          <w:p>
            <w:r>
              <w:rPr>
                <w:rFonts w:ascii="Calibri" w:hAnsi="Calibri"/>
                <w:b w:val="0"/>
                <w:i w:val="0"/>
                <w:color w:val="1F2937"/>
                <w:sz w:val="15"/>
              </w:rPr>
              <w:t>$162.50</w:t>
            </w:r>
          </w:p>
        </w:tc>
        <w:tc>
          <w:tcPr>
            <w:tcW w:type="dxa" w:w="1630"/>
            <w:shd w:fill="F8FAFC"/>
            <w:tcMar>
              <w:top w:w="80" w:type="dxa"/>
              <w:start w:w="120" w:type="dxa"/>
              <w:bottom w:w="80" w:type="dxa"/>
              <w:end w:w="120" w:type="dxa"/>
            </w:tcMar>
            <w:vAlign w:val="center"/>
          </w:tcPr>
          <w:p>
            <w:r>
              <w:rPr>
                <w:rFonts w:ascii="Calibri" w:hAnsi="Calibri"/>
                <w:b w:val="0"/>
                <w:i w:val="0"/>
                <w:color w:val="1F2937"/>
                <w:sz w:val="15"/>
              </w:rPr>
              <w:t>$187.50</w:t>
            </w:r>
          </w:p>
        </w:tc>
        <w:tc>
          <w:tcPr>
            <w:tcW w:type="dxa" w:w="1980"/>
            <w:shd w:fill="F8FAFC"/>
            <w:tcMar>
              <w:top w:w="80" w:type="dxa"/>
              <w:start w:w="120" w:type="dxa"/>
              <w:bottom w:w="80" w:type="dxa"/>
              <w:end w:w="120" w:type="dxa"/>
            </w:tcMar>
            <w:vAlign w:val="center"/>
          </w:tcPr>
          <w:p>
            <w:r>
              <w:rPr>
                <w:rFonts w:ascii="Calibri" w:hAnsi="Calibri"/>
                <w:b w:val="0"/>
                <w:i w:val="0"/>
                <w:color w:val="1F2937"/>
                <w:sz w:val="15"/>
              </w:rPr>
              <w:t>$337.50</w:t>
            </w:r>
          </w:p>
        </w:tc>
      </w:tr>
      <w:tr>
        <w:trPr>
          <w:cantSplit/>
        </w:trPr>
        <w:tc>
          <w:tcPr>
            <w:tcW w:type="dxa" w:w="950"/>
            <w:tcMar>
              <w:top w:w="80" w:type="dxa"/>
              <w:start w:w="120" w:type="dxa"/>
              <w:bottom w:w="80" w:type="dxa"/>
              <w:end w:w="120" w:type="dxa"/>
            </w:tcMar>
            <w:vAlign w:val="center"/>
          </w:tcPr>
          <w:p>
            <w:r>
              <w:rPr>
                <w:rFonts w:ascii="Calibri" w:hAnsi="Calibri"/>
                <w:b w:val="0"/>
                <w:i w:val="0"/>
                <w:color w:val="1F2937"/>
                <w:sz w:val="15"/>
              </w:rPr>
              <w:t>10,000</w:t>
            </w:r>
          </w:p>
        </w:tc>
        <w:tc>
          <w:tcPr>
            <w:tcW w:type="dxa" w:w="1300"/>
            <w:tcMar>
              <w:top w:w="80" w:type="dxa"/>
              <w:start w:w="120" w:type="dxa"/>
              <w:bottom w:w="80" w:type="dxa"/>
              <w:end w:w="120" w:type="dxa"/>
            </w:tcMar>
            <w:vAlign w:val="center"/>
          </w:tcPr>
          <w:p>
            <w:r>
              <w:rPr>
                <w:rFonts w:ascii="Calibri" w:hAnsi="Calibri"/>
                <w:b w:val="0"/>
                <w:i w:val="0"/>
                <w:color w:val="1F2937"/>
                <w:sz w:val="15"/>
              </w:rPr>
              <w:t>50,000</w:t>
            </w:r>
          </w:p>
        </w:tc>
        <w:tc>
          <w:tcPr>
            <w:tcW w:type="dxa" w:w="1100"/>
            <w:tcMar>
              <w:top w:w="80" w:type="dxa"/>
              <w:start w:w="120" w:type="dxa"/>
              <w:bottom w:w="80" w:type="dxa"/>
              <w:end w:w="120" w:type="dxa"/>
            </w:tcMar>
            <w:vAlign w:val="center"/>
          </w:tcPr>
          <w:p>
            <w:r>
              <w:rPr>
                <w:rFonts w:ascii="Calibri" w:hAnsi="Calibri"/>
                <w:b w:val="0"/>
                <w:i w:val="0"/>
                <w:color w:val="1F2937"/>
                <w:sz w:val="15"/>
              </w:rPr>
              <w:t>$250.00</w:t>
            </w:r>
          </w:p>
        </w:tc>
        <w:tc>
          <w:tcPr>
            <w:tcW w:type="dxa" w:w="1100"/>
            <w:tcMar>
              <w:top w:w="80" w:type="dxa"/>
              <w:start w:w="120" w:type="dxa"/>
              <w:bottom w:w="80" w:type="dxa"/>
              <w:end w:w="120" w:type="dxa"/>
            </w:tcMar>
            <w:vAlign w:val="center"/>
          </w:tcPr>
          <w:p>
            <w:r>
              <w:rPr>
                <w:rFonts w:ascii="Calibri" w:hAnsi="Calibri"/>
                <w:b w:val="0"/>
                <w:i w:val="0"/>
                <w:color w:val="1F2937"/>
                <w:sz w:val="15"/>
              </w:rPr>
              <w:t>$625.00</w:t>
            </w:r>
          </w:p>
        </w:tc>
        <w:tc>
          <w:tcPr>
            <w:tcW w:type="dxa" w:w="1300"/>
            <w:tcMar>
              <w:top w:w="80" w:type="dxa"/>
              <w:start w:w="120" w:type="dxa"/>
              <w:bottom w:w="80" w:type="dxa"/>
              <w:end w:w="120" w:type="dxa"/>
            </w:tcMar>
            <w:vAlign w:val="center"/>
          </w:tcPr>
          <w:p>
            <w:r>
              <w:rPr>
                <w:rFonts w:ascii="Calibri" w:hAnsi="Calibri"/>
                <w:b w:val="0"/>
                <w:i w:val="0"/>
                <w:color w:val="1F2937"/>
                <w:sz w:val="15"/>
              </w:rPr>
              <w:t>$325.00</w:t>
            </w:r>
          </w:p>
        </w:tc>
        <w:tc>
          <w:tcPr>
            <w:tcW w:type="dxa" w:w="1630"/>
            <w:tcMar>
              <w:top w:w="80" w:type="dxa"/>
              <w:start w:w="120" w:type="dxa"/>
              <w:bottom w:w="80" w:type="dxa"/>
              <w:end w:w="120" w:type="dxa"/>
            </w:tcMar>
            <w:vAlign w:val="center"/>
          </w:tcPr>
          <w:p>
            <w:r>
              <w:rPr>
                <w:rFonts w:ascii="Calibri" w:hAnsi="Calibri"/>
                <w:b w:val="0"/>
                <w:i w:val="0"/>
                <w:color w:val="1F2937"/>
                <w:sz w:val="15"/>
              </w:rPr>
              <w:t>$375.00</w:t>
            </w:r>
          </w:p>
        </w:tc>
        <w:tc>
          <w:tcPr>
            <w:tcW w:type="dxa" w:w="1980"/>
            <w:tcMar>
              <w:top w:w="80" w:type="dxa"/>
              <w:start w:w="120" w:type="dxa"/>
              <w:bottom w:w="80" w:type="dxa"/>
              <w:end w:w="120" w:type="dxa"/>
            </w:tcMar>
            <w:vAlign w:val="center"/>
          </w:tcPr>
          <w:p>
            <w:r>
              <w:rPr>
                <w:rFonts w:ascii="Calibri" w:hAnsi="Calibri"/>
                <w:b w:val="0"/>
                <w:i w:val="0"/>
                <w:color w:val="1F2937"/>
                <w:sz w:val="15"/>
              </w:rPr>
              <w:t>$675.00</w:t>
            </w:r>
          </w:p>
        </w:tc>
      </w:tr>
    </w:tbl>
    <w:p>
      <w:pPr>
        <w:pStyle w:val="CaptionSmall"/>
      </w:pPr>
      <w:r>
        <w:rPr>
          <w:rFonts w:ascii="Calibri" w:hAnsi="Calibri"/>
          <w:b w:val="0"/>
          <w:i w:val="0"/>
          <w:color w:val="1F2937"/>
          <w:sz w:val="20"/>
        </w:rPr>
        <w:t>* Comparative planning reference. Re-check provider pages and account eligibility before procurement. Search grounding, image generation, audio, embeddings, cached-input discounts, tools and long-context multipliers are separate meters and must not be hidden inside the text-token estimate.</w:t>
      </w:r>
    </w:p>
    <w:p>
      <w:pPr>
        <w:pStyle w:val="Heading2"/>
      </w:pPr>
      <w:r>
        <w:t>9.3 AI budget and safety controls</w:t>
      </w:r>
    </w:p>
    <w:p>
      <w:pPr>
        <w:pStyle w:val="ListBullet"/>
        <w:spacing w:after="80"/>
        <w:ind w:left="720" w:hanging="360"/>
      </w:pPr>
      <w:r>
        <w:rPr>
          <w:rFonts w:ascii="Calibri" w:hAnsi="Calibri"/>
          <w:b w:val="0"/>
          <w:i w:val="0"/>
          <w:color w:val="1F2937"/>
          <w:sz w:val="20"/>
        </w:rPr>
        <w:t>Enforce per-environment, per-feature, per-user and monthly account caps.</w:t>
      </w:r>
    </w:p>
    <w:p>
      <w:pPr>
        <w:pStyle w:val="ListBullet"/>
        <w:spacing w:after="80"/>
        <w:ind w:left="720" w:hanging="360"/>
      </w:pPr>
      <w:r>
        <w:rPr>
          <w:rFonts w:ascii="Calibri" w:hAnsi="Calibri"/>
          <w:b w:val="0"/>
          <w:i w:val="0"/>
          <w:color w:val="1F2937"/>
          <w:sz w:val="20"/>
        </w:rPr>
        <w:t>Route by task risk and complexity; log model, token count, latency, cost and user role.</w:t>
      </w:r>
    </w:p>
    <w:p>
      <w:pPr>
        <w:pStyle w:val="ListBullet"/>
        <w:spacing w:after="80"/>
        <w:ind w:left="720" w:hanging="360"/>
      </w:pPr>
      <w:r>
        <w:rPr>
          <w:rFonts w:ascii="Calibri" w:hAnsi="Calibri"/>
          <w:b w:val="0"/>
          <w:i w:val="0"/>
          <w:color w:val="1F2937"/>
          <w:sz w:val="20"/>
        </w:rPr>
        <w:t>Redact or block identity, financial, access, document and sensitive-category data unless explicitly approved.</w:t>
      </w:r>
    </w:p>
    <w:p>
      <w:pPr>
        <w:pStyle w:val="ListBullet"/>
        <w:spacing w:after="80"/>
        <w:ind w:left="720" w:hanging="360"/>
      </w:pPr>
      <w:r>
        <w:rPr>
          <w:rFonts w:ascii="Calibri" w:hAnsi="Calibri"/>
          <w:b w:val="0"/>
          <w:i w:val="0"/>
          <w:color w:val="1F2937"/>
          <w:sz w:val="20"/>
        </w:rPr>
        <w:t>Use retrieval from permission-filtered sources and show the source/context behind recommendations.</w:t>
      </w:r>
    </w:p>
    <w:p>
      <w:pPr>
        <w:pStyle w:val="ListBullet"/>
        <w:spacing w:after="80"/>
        <w:ind w:left="720" w:hanging="360"/>
      </w:pPr>
      <w:r>
        <w:rPr>
          <w:rFonts w:ascii="Calibri" w:hAnsi="Calibri"/>
          <w:b w:val="0"/>
          <w:i w:val="0"/>
          <w:color w:val="1F2937"/>
          <w:sz w:val="20"/>
        </w:rPr>
        <w:t>Maintain a Turkish evaluation set for correctness, tone, privacy, cross-role leakage and prohibited actions.</w:t>
      </w:r>
    </w:p>
    <w:p>
      <w:pPr>
        <w:pStyle w:val="ListBullet"/>
        <w:spacing w:after="80"/>
        <w:ind w:left="720" w:hanging="360"/>
      </w:pPr>
      <w:r>
        <w:rPr>
          <w:rFonts w:ascii="Calibri" w:hAnsi="Calibri"/>
          <w:b w:val="0"/>
          <w:i w:val="0"/>
          <w:color w:val="1F2937"/>
          <w:sz w:val="20"/>
        </w:rPr>
        <w:t>Track accept/decline/correction outcomes; do not treat AI confidence wording as evidence.</w:t>
      </w:r>
    </w:p>
    <w:p>
      <w:pPr>
        <w:pStyle w:val="ListBullet"/>
        <w:spacing w:after="80"/>
        <w:ind w:left="720" w:hanging="360"/>
      </w:pPr>
      <w:r>
        <w:rPr>
          <w:rFonts w:ascii="Calibri" w:hAnsi="Calibri"/>
          <w:b w:val="0"/>
          <w:i w:val="0"/>
          <w:color w:val="1F2937"/>
          <w:sz w:val="20"/>
        </w:rPr>
        <w:t>Keep prompts/outputs only for an approved retention period and separate operational audit from unnecessary content retention.</w:t>
      </w:r>
    </w:p>
    <w:p>
      <w:pPr>
        <w:pStyle w:val="ListBullet"/>
        <w:spacing w:after="80"/>
        <w:ind w:left="720" w:hanging="360"/>
      </w:pPr>
      <w:r>
        <w:rPr>
          <w:rFonts w:ascii="Calibri" w:hAnsi="Calibri"/>
          <w:b w:val="0"/>
          <w:i w:val="0"/>
          <w:color w:val="1F2937"/>
          <w:sz w:val="20"/>
        </w:rPr>
        <w:t>Provide a manual path when the AI service is unavailable or budget-capped.</w:t>
      </w:r>
    </w:p>
    <w:p>
      <w:pPr>
        <w:pStyle w:val="Heading2"/>
      </w:pPr>
      <w:r>
        <w:t>9.4 AI cost triggers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3800"/>
        <w:gridCol w:w="3760"/>
      </w:tblGrid>
      <w:tr>
        <w:trPr>
          <w:cantSplit/>
          <w:tblHeader w:val="true"/>
          <w:cantSplit/>
        </w:trPr>
        <w:tc>
          <w:tcPr>
            <w:tcW w:type="dxa" w:w="1800"/>
            <w:shd w:fill="102A43"/>
            <w:tcMar>
              <w:top w:w="80" w:type="dxa"/>
              <w:start w:w="120" w:type="dxa"/>
              <w:bottom w:w="80" w:type="dxa"/>
              <w:end w:w="120" w:type="dxa"/>
            </w:tcMar>
            <w:vAlign w:val="center"/>
          </w:tcPr>
          <w:p>
            <w:r>
              <w:rPr>
                <w:rFonts w:ascii="Calibri" w:hAnsi="Calibri"/>
                <w:b/>
                <w:i w:val="0"/>
                <w:color w:val="FFFFFF"/>
                <w:sz w:val="16"/>
              </w:rPr>
              <w:t>Trigger</w:t>
            </w:r>
          </w:p>
        </w:tc>
        <w:tc>
          <w:tcPr>
            <w:tcW w:type="dxa" w:w="3800"/>
            <w:shd w:fill="102A43"/>
            <w:tcMar>
              <w:top w:w="80" w:type="dxa"/>
              <w:start w:w="120" w:type="dxa"/>
              <w:bottom w:w="80" w:type="dxa"/>
              <w:end w:w="120" w:type="dxa"/>
            </w:tcMar>
            <w:vAlign w:val="center"/>
          </w:tcPr>
          <w:p>
            <w:r>
              <w:rPr>
                <w:rFonts w:ascii="Calibri" w:hAnsi="Calibri"/>
                <w:b/>
                <w:i w:val="0"/>
                <w:color w:val="FFFFFF"/>
                <w:sz w:val="16"/>
              </w:rPr>
              <w:t>Why it matters</w:t>
            </w:r>
          </w:p>
        </w:tc>
        <w:tc>
          <w:tcPr>
            <w:tcW w:type="dxa" w:w="3760"/>
            <w:shd w:fill="102A43"/>
            <w:tcMar>
              <w:top w:w="80" w:type="dxa"/>
              <w:start w:w="120" w:type="dxa"/>
              <w:bottom w:w="80" w:type="dxa"/>
              <w:end w:w="120" w:type="dxa"/>
            </w:tcMar>
            <w:vAlign w:val="center"/>
          </w:tcPr>
          <w:p>
            <w:r>
              <w:rPr>
                <w:rFonts w:ascii="Calibri" w:hAnsi="Calibri"/>
                <w:b/>
                <w:i w:val="0"/>
                <w:color w:val="FFFFFF"/>
                <w:sz w:val="16"/>
              </w:rPr>
              <w:t>Response</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Actions/user doubles</w:t>
            </w:r>
          </w:p>
        </w:tc>
        <w:tc>
          <w:tcPr>
            <w:tcW w:type="dxa" w:w="3800"/>
            <w:tcMar>
              <w:top w:w="80" w:type="dxa"/>
              <w:start w:w="120" w:type="dxa"/>
              <w:bottom w:w="80" w:type="dxa"/>
              <w:end w:w="120" w:type="dxa"/>
            </w:tcMar>
            <w:vAlign w:val="center"/>
          </w:tcPr>
          <w:p>
            <w:r>
              <w:rPr>
                <w:rFonts w:ascii="Calibri" w:hAnsi="Calibri"/>
                <w:b w:val="0"/>
                <w:i w:val="0"/>
                <w:color w:val="1F2937"/>
                <w:sz w:val="16"/>
              </w:rPr>
              <w:t>Text cost approximately doubles at the same token mix.</w:t>
            </w:r>
          </w:p>
        </w:tc>
        <w:tc>
          <w:tcPr>
            <w:tcW w:type="dxa" w:w="3760"/>
            <w:tcMar>
              <w:top w:w="80" w:type="dxa"/>
              <w:start w:w="120" w:type="dxa"/>
              <w:bottom w:w="80" w:type="dxa"/>
              <w:end w:w="120" w:type="dxa"/>
            </w:tcMar>
            <w:vAlign w:val="center"/>
          </w:tcPr>
          <w:p>
            <w:r>
              <w:rPr>
                <w:rFonts w:ascii="Calibri" w:hAnsi="Calibri"/>
                <w:b w:val="0"/>
                <w:i w:val="0"/>
                <w:color w:val="1F2937"/>
                <w:sz w:val="16"/>
              </w:rPr>
              <w:t>Tighten feature caps and move routine work to templates/search.</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Long documents</w:t>
            </w:r>
          </w:p>
        </w:tc>
        <w:tc>
          <w:tcPr>
            <w:tcW w:type="dxa" w:w="3800"/>
            <w:shd w:fill="F8FAFC"/>
            <w:tcMar>
              <w:top w:w="80" w:type="dxa"/>
              <w:start w:w="120" w:type="dxa"/>
              <w:bottom w:w="80" w:type="dxa"/>
              <w:end w:w="120" w:type="dxa"/>
            </w:tcMar>
            <w:vAlign w:val="center"/>
          </w:tcPr>
          <w:p>
            <w:r>
              <w:rPr>
                <w:rFonts w:ascii="Calibri" w:hAnsi="Calibri"/>
                <w:b w:val="0"/>
                <w:i w:val="0"/>
                <w:color w:val="1F2937"/>
                <w:sz w:val="16"/>
              </w:rPr>
              <w:t>Input tokens can dominate; long-context rules can alter pricing.</w:t>
            </w:r>
          </w:p>
        </w:tc>
        <w:tc>
          <w:tcPr>
            <w:tcW w:type="dxa" w:w="3760"/>
            <w:shd w:fill="F8FAFC"/>
            <w:tcMar>
              <w:top w:w="80" w:type="dxa"/>
              <w:start w:w="120" w:type="dxa"/>
              <w:bottom w:w="80" w:type="dxa"/>
              <w:end w:w="120" w:type="dxa"/>
            </w:tcMar>
            <w:vAlign w:val="center"/>
          </w:tcPr>
          <w:p>
            <w:r>
              <w:rPr>
                <w:rFonts w:ascii="Calibri" w:hAnsi="Calibri"/>
                <w:b w:val="0"/>
                <w:i w:val="0"/>
                <w:color w:val="1F2937"/>
                <w:sz w:val="16"/>
              </w:rPr>
              <w:t>Chunk, retrieve only relevant passages and cache approved summaries.</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Image generation/analysis</w:t>
            </w:r>
          </w:p>
        </w:tc>
        <w:tc>
          <w:tcPr>
            <w:tcW w:type="dxa" w:w="3800"/>
            <w:tcMar>
              <w:top w:w="80" w:type="dxa"/>
              <w:start w:w="120" w:type="dxa"/>
              <w:bottom w:w="80" w:type="dxa"/>
              <w:end w:w="120" w:type="dxa"/>
            </w:tcMar>
            <w:vAlign w:val="center"/>
          </w:tcPr>
          <w:p>
            <w:r>
              <w:rPr>
                <w:rFonts w:ascii="Calibri" w:hAnsi="Calibri"/>
                <w:b w:val="0"/>
                <w:i w:val="0"/>
                <w:color w:val="1F2937"/>
                <w:sz w:val="16"/>
              </w:rPr>
              <w:t>Per-image or vision token cost is separate.</w:t>
            </w:r>
          </w:p>
        </w:tc>
        <w:tc>
          <w:tcPr>
            <w:tcW w:type="dxa" w:w="3760"/>
            <w:tcMar>
              <w:top w:w="80" w:type="dxa"/>
              <w:start w:w="120" w:type="dxa"/>
              <w:bottom w:w="80" w:type="dxa"/>
              <w:end w:w="120" w:type="dxa"/>
            </w:tcMar>
            <w:vAlign w:val="center"/>
          </w:tcPr>
          <w:p>
            <w:r>
              <w:rPr>
                <w:rFonts w:ascii="Calibri" w:hAnsi="Calibri"/>
                <w:b w:val="0"/>
                <w:i w:val="0"/>
                <w:color w:val="1F2937"/>
                <w:sz w:val="16"/>
              </w:rPr>
              <w:t>Dedicated budget and permission gate.</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Search grounding</w:t>
            </w:r>
          </w:p>
        </w:tc>
        <w:tc>
          <w:tcPr>
            <w:tcW w:type="dxa" w:w="3800"/>
            <w:shd w:fill="F8FAFC"/>
            <w:tcMar>
              <w:top w:w="80" w:type="dxa"/>
              <w:start w:w="120" w:type="dxa"/>
              <w:bottom w:w="80" w:type="dxa"/>
              <w:end w:w="120" w:type="dxa"/>
            </w:tcMar>
            <w:vAlign w:val="center"/>
          </w:tcPr>
          <w:p>
            <w:r>
              <w:rPr>
                <w:rFonts w:ascii="Calibri" w:hAnsi="Calibri"/>
                <w:b w:val="0"/>
                <w:i w:val="0"/>
                <w:color w:val="1F2937"/>
                <w:sz w:val="16"/>
              </w:rPr>
              <w:t>Search-call charges can exceed text cost.</w:t>
            </w:r>
          </w:p>
        </w:tc>
        <w:tc>
          <w:tcPr>
            <w:tcW w:type="dxa" w:w="3760"/>
            <w:shd w:fill="F8FAFC"/>
            <w:tcMar>
              <w:top w:w="80" w:type="dxa"/>
              <w:start w:w="120" w:type="dxa"/>
              <w:bottom w:w="80" w:type="dxa"/>
              <w:end w:w="120" w:type="dxa"/>
            </w:tcMar>
            <w:vAlign w:val="center"/>
          </w:tcPr>
          <w:p>
            <w:r>
              <w:rPr>
                <w:rFonts w:ascii="Calibri" w:hAnsi="Calibri"/>
                <w:b w:val="0"/>
                <w:i w:val="0"/>
                <w:color w:val="1F2937"/>
                <w:sz w:val="16"/>
              </w:rPr>
              <w:t>Use only for current facts; cache results with source dates.</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6"/>
              </w:rPr>
              <w:t>Premium model share rises</w:t>
            </w:r>
          </w:p>
        </w:tc>
        <w:tc>
          <w:tcPr>
            <w:tcW w:type="dxa" w:w="3800"/>
            <w:tcMar>
              <w:top w:w="80" w:type="dxa"/>
              <w:start w:w="120" w:type="dxa"/>
              <w:bottom w:w="80" w:type="dxa"/>
              <w:end w:w="120" w:type="dxa"/>
            </w:tcMar>
            <w:vAlign w:val="center"/>
          </w:tcPr>
          <w:p>
            <w:r>
              <w:rPr>
                <w:rFonts w:ascii="Calibri" w:hAnsi="Calibri"/>
                <w:b w:val="0"/>
                <w:i w:val="0"/>
                <w:color w:val="1F2937"/>
                <w:sz w:val="16"/>
              </w:rPr>
              <w:t>Higher input/output rates increase unit cost.</w:t>
            </w:r>
          </w:p>
        </w:tc>
        <w:tc>
          <w:tcPr>
            <w:tcW w:type="dxa" w:w="3760"/>
            <w:tcMar>
              <w:top w:w="80" w:type="dxa"/>
              <w:start w:w="120" w:type="dxa"/>
              <w:bottom w:w="80" w:type="dxa"/>
              <w:end w:w="120" w:type="dxa"/>
            </w:tcMar>
            <w:vAlign w:val="center"/>
          </w:tcPr>
          <w:p>
            <w:r>
              <w:rPr>
                <w:rFonts w:ascii="Calibri" w:hAnsi="Calibri"/>
                <w:b w:val="0"/>
                <w:i w:val="0"/>
                <w:color w:val="1F2937"/>
                <w:sz w:val="16"/>
              </w:rPr>
              <w:t>Measure outcome benefit; require feature owner approval.</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6"/>
              </w:rPr>
              <w:t>Retry loops/tool calls</w:t>
            </w:r>
          </w:p>
        </w:tc>
        <w:tc>
          <w:tcPr>
            <w:tcW w:type="dxa" w:w="3800"/>
            <w:shd w:fill="F8FAFC"/>
            <w:tcMar>
              <w:top w:w="80" w:type="dxa"/>
              <w:start w:w="120" w:type="dxa"/>
              <w:bottom w:w="80" w:type="dxa"/>
              <w:end w:w="120" w:type="dxa"/>
            </w:tcMar>
            <w:vAlign w:val="center"/>
          </w:tcPr>
          <w:p>
            <w:r>
              <w:rPr>
                <w:rFonts w:ascii="Calibri" w:hAnsi="Calibri"/>
                <w:b w:val="0"/>
                <w:i w:val="0"/>
                <w:color w:val="1F2937"/>
                <w:sz w:val="16"/>
              </w:rPr>
              <w:t>Hidden repeated calls multiply cost and latency.</w:t>
            </w:r>
          </w:p>
        </w:tc>
        <w:tc>
          <w:tcPr>
            <w:tcW w:type="dxa" w:w="3760"/>
            <w:shd w:fill="F8FAFC"/>
            <w:tcMar>
              <w:top w:w="80" w:type="dxa"/>
              <w:start w:w="120" w:type="dxa"/>
              <w:bottom w:w="80" w:type="dxa"/>
              <w:end w:w="120" w:type="dxa"/>
            </w:tcMar>
            <w:vAlign w:val="center"/>
          </w:tcPr>
          <w:p>
            <w:r>
              <w:rPr>
                <w:rFonts w:ascii="Calibri" w:hAnsi="Calibri"/>
                <w:b w:val="0"/>
                <w:i w:val="0"/>
                <w:color w:val="1F2937"/>
                <w:sz w:val="16"/>
              </w:rPr>
              <w:t>Set maximum tool steps, timeouts and observability.</w:t>
            </w:r>
          </w:p>
        </w:tc>
      </w:tr>
    </w:tbl>
    <w:p>
      <w:pPr>
        <w:pStyle w:val="CaptionSmall"/>
      </w:pPr>
      <w:r>
        <w:rPr>
          <w:rFonts w:ascii="Calibri" w:hAnsi="Calibri"/>
          <w:b/>
          <w:i w:val="0"/>
          <w:color w:val="5B6673"/>
          <w:sz w:val="17"/>
        </w:rPr>
        <w:t xml:space="preserve">Sources checked 15 July 2026: </w:t>
      </w:r>
      <w:hyperlink r:id="rId15">
        <w:r>
          <w:rPr>
            <w:color w:val="2E74B5"/>
            <w:u w:val="single"/>
          </w:rPr>
          <w:t>S05 OpenAI</w:t>
        </w:r>
      </w:hyperlink>
      <w:r>
        <w:rPr>
          <w:rFonts w:ascii="Calibri" w:hAnsi="Calibri"/>
          <w:b w:val="0"/>
          <w:i w:val="0"/>
          <w:color w:val="5B6673"/>
          <w:sz w:val="17"/>
        </w:rPr>
        <w:t xml:space="preserve">; </w:t>
      </w:r>
      <w:hyperlink r:id="rId48">
        <w:r>
          <w:rPr>
            <w:color w:val="2E74B5"/>
            <w:u w:val="single"/>
          </w:rPr>
          <w:t>S06 OpenAI</w:t>
        </w:r>
      </w:hyperlink>
      <w:r>
        <w:rPr>
          <w:rFonts w:ascii="Calibri" w:hAnsi="Calibri"/>
          <w:b w:val="0"/>
          <w:i w:val="0"/>
          <w:color w:val="5B6673"/>
          <w:sz w:val="17"/>
        </w:rPr>
        <w:t xml:space="preserve">; </w:t>
      </w:r>
      <w:hyperlink r:id="rId44">
        <w:r>
          <w:rPr>
            <w:color w:val="2E74B5"/>
            <w:u w:val="single"/>
          </w:rPr>
          <w:t>S31 KVKK</w:t>
        </w:r>
      </w:hyperlink>
    </w:p>
    <w:p>
      <w:bookmarkStart w:id="112" w:name="security"/>
      <w:pPr>
        <w:pStyle w:val="Heading1"/>
      </w:pPr>
      <w:r>
        <w:t>10. Security, data, resilience and storage</w:t>
      </w:r>
      <w:bookmarkEnd w:id="112"/>
    </w:p>
    <w:p>
      <w:pPr>
        <w:pStyle w:val="Heading2"/>
      </w:pPr>
      <w:r>
        <w:t>10.1 Data classification and access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650"/>
        <w:gridCol w:w="3000"/>
        <w:gridCol w:w="4710"/>
      </w:tblGrid>
      <w:tr>
        <w:trPr>
          <w:cantSplit/>
          <w:tblHeader w:val="true"/>
          <w:cantSplit/>
        </w:trPr>
        <w:tc>
          <w:tcPr>
            <w:tcW w:type="dxa" w:w="1650"/>
            <w:shd w:fill="102A43"/>
            <w:tcMar>
              <w:top w:w="80" w:type="dxa"/>
              <w:start w:w="120" w:type="dxa"/>
              <w:bottom w:w="80" w:type="dxa"/>
              <w:end w:w="120" w:type="dxa"/>
            </w:tcMar>
            <w:vAlign w:val="center"/>
          </w:tcPr>
          <w:p>
            <w:r>
              <w:rPr>
                <w:rFonts w:ascii="Calibri" w:hAnsi="Calibri"/>
                <w:b/>
                <w:i w:val="0"/>
                <w:color w:val="FFFFFF"/>
                <w:sz w:val="16"/>
              </w:rPr>
              <w:t>Data class</w:t>
            </w:r>
          </w:p>
        </w:tc>
        <w:tc>
          <w:tcPr>
            <w:tcW w:type="dxa" w:w="3000"/>
            <w:shd w:fill="102A43"/>
            <w:tcMar>
              <w:top w:w="80" w:type="dxa"/>
              <w:start w:w="120" w:type="dxa"/>
              <w:bottom w:w="80" w:type="dxa"/>
              <w:end w:w="120" w:type="dxa"/>
            </w:tcMar>
            <w:vAlign w:val="center"/>
          </w:tcPr>
          <w:p>
            <w:r>
              <w:rPr>
                <w:rFonts w:ascii="Calibri" w:hAnsi="Calibri"/>
                <w:b/>
                <w:i w:val="0"/>
                <w:color w:val="FFFFFF"/>
                <w:sz w:val="16"/>
              </w:rPr>
              <w:t>Examples</w:t>
            </w:r>
          </w:p>
        </w:tc>
        <w:tc>
          <w:tcPr>
            <w:tcW w:type="dxa" w:w="4710"/>
            <w:shd w:fill="102A43"/>
            <w:tcMar>
              <w:top w:w="80" w:type="dxa"/>
              <w:start w:w="120" w:type="dxa"/>
              <w:bottom w:w="80" w:type="dxa"/>
              <w:end w:w="120" w:type="dxa"/>
            </w:tcMar>
            <w:vAlign w:val="center"/>
          </w:tcPr>
          <w:p>
            <w:r>
              <w:rPr>
                <w:rFonts w:ascii="Calibri" w:hAnsi="Calibri"/>
                <w:b/>
                <w:i w:val="0"/>
                <w:color w:val="FFFFFF"/>
                <w:sz w:val="16"/>
              </w:rPr>
              <w:t>Required controls</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6"/>
              </w:rPr>
              <w:t>Public</w:t>
            </w:r>
          </w:p>
        </w:tc>
        <w:tc>
          <w:tcPr>
            <w:tcW w:type="dxa" w:w="3000"/>
            <w:tcMar>
              <w:top w:w="80" w:type="dxa"/>
              <w:start w:w="120" w:type="dxa"/>
              <w:bottom w:w="80" w:type="dxa"/>
              <w:end w:w="120" w:type="dxa"/>
            </w:tcMar>
            <w:vAlign w:val="center"/>
          </w:tcPr>
          <w:p>
            <w:r>
              <w:rPr>
                <w:rFonts w:ascii="Calibri" w:hAnsi="Calibri"/>
                <w:b w:val="0"/>
                <w:i w:val="0"/>
                <w:color w:val="1F2937"/>
                <w:sz w:val="16"/>
              </w:rPr>
              <w:t>Approved property marketing content</w:t>
            </w:r>
          </w:p>
        </w:tc>
        <w:tc>
          <w:tcPr>
            <w:tcW w:type="dxa" w:w="4710"/>
            <w:tcMar>
              <w:top w:w="80" w:type="dxa"/>
              <w:start w:w="120" w:type="dxa"/>
              <w:bottom w:w="80" w:type="dxa"/>
              <w:end w:w="120" w:type="dxa"/>
            </w:tcMar>
            <w:vAlign w:val="center"/>
          </w:tcPr>
          <w:p>
            <w:r>
              <w:rPr>
                <w:rFonts w:ascii="Calibri" w:hAnsi="Calibri"/>
                <w:b w:val="0"/>
                <w:i w:val="0"/>
                <w:color w:val="1F2937"/>
                <w:sz w:val="16"/>
              </w:rPr>
              <w:t>Publication authority, EİDS/listing evidence, integrity and removal workflow</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6"/>
              </w:rPr>
              <w:t>Internal</w:t>
            </w:r>
          </w:p>
        </w:tc>
        <w:tc>
          <w:tcPr>
            <w:tcW w:type="dxa" w:w="3000"/>
            <w:shd w:fill="F8FAFC"/>
            <w:tcMar>
              <w:top w:w="80" w:type="dxa"/>
              <w:start w:w="120" w:type="dxa"/>
              <w:bottom w:w="80" w:type="dxa"/>
              <w:end w:w="120" w:type="dxa"/>
            </w:tcMar>
            <w:vAlign w:val="center"/>
          </w:tcPr>
          <w:p>
            <w:r>
              <w:rPr>
                <w:rFonts w:ascii="Calibri" w:hAnsi="Calibri"/>
                <w:b w:val="0"/>
                <w:i w:val="0"/>
                <w:color w:val="1F2937"/>
                <w:sz w:val="16"/>
              </w:rPr>
              <w:t>Operational dashboards, tasks, non-sensitive configuration</w:t>
            </w:r>
          </w:p>
        </w:tc>
        <w:tc>
          <w:tcPr>
            <w:tcW w:type="dxa" w:w="4710"/>
            <w:shd w:fill="F8FAFC"/>
            <w:tcMar>
              <w:top w:w="80" w:type="dxa"/>
              <w:start w:w="120" w:type="dxa"/>
              <w:bottom w:w="80" w:type="dxa"/>
              <w:end w:w="120" w:type="dxa"/>
            </w:tcMar>
            <w:vAlign w:val="center"/>
          </w:tcPr>
          <w:p>
            <w:r>
              <w:rPr>
                <w:rFonts w:ascii="Calibri" w:hAnsi="Calibri"/>
                <w:b w:val="0"/>
                <w:i w:val="0"/>
                <w:color w:val="1F2937"/>
                <w:sz w:val="16"/>
              </w:rPr>
              <w:t>Authenticated role access and audit for changes</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6"/>
              </w:rPr>
              <w:t>Confidential</w:t>
            </w:r>
          </w:p>
        </w:tc>
        <w:tc>
          <w:tcPr>
            <w:tcW w:type="dxa" w:w="3000"/>
            <w:tcMar>
              <w:top w:w="80" w:type="dxa"/>
              <w:start w:w="120" w:type="dxa"/>
              <w:bottom w:w="80" w:type="dxa"/>
              <w:end w:w="120" w:type="dxa"/>
            </w:tcMar>
            <w:vAlign w:val="center"/>
          </w:tcPr>
          <w:p>
            <w:r>
              <w:rPr>
                <w:rFonts w:ascii="Calibri" w:hAnsi="Calibri"/>
                <w:b w:val="0"/>
                <w:i w:val="0"/>
                <w:color w:val="1F2937"/>
                <w:sz w:val="16"/>
              </w:rPr>
              <w:t>Contracts, financial records, documents, communications</w:t>
            </w:r>
          </w:p>
        </w:tc>
        <w:tc>
          <w:tcPr>
            <w:tcW w:type="dxa" w:w="4710"/>
            <w:tcMar>
              <w:top w:w="80" w:type="dxa"/>
              <w:start w:w="120" w:type="dxa"/>
              <w:bottom w:w="80" w:type="dxa"/>
              <w:end w:w="120" w:type="dxa"/>
            </w:tcMar>
            <w:vAlign w:val="center"/>
          </w:tcPr>
          <w:p>
            <w:r>
              <w:rPr>
                <w:rFonts w:ascii="Calibri" w:hAnsi="Calibri"/>
                <w:b w:val="0"/>
                <w:i w:val="0"/>
                <w:color w:val="1F2937"/>
                <w:sz w:val="16"/>
              </w:rPr>
              <w:t>RLS/RBAC, encryption, signed URLs, least privilege, retention</w:t>
            </w:r>
          </w:p>
        </w:tc>
      </w:tr>
      <w:tr>
        <w:trPr>
          <w:cantSplit/>
        </w:trPr>
        <w:tc>
          <w:tcPr>
            <w:tcW w:type="dxa" w:w="1650"/>
            <w:shd w:fill="F8FAFC"/>
            <w:tcMar>
              <w:top w:w="80" w:type="dxa"/>
              <w:start w:w="120" w:type="dxa"/>
              <w:bottom w:w="80" w:type="dxa"/>
              <w:end w:w="120" w:type="dxa"/>
            </w:tcMar>
            <w:vAlign w:val="center"/>
          </w:tcPr>
          <w:p>
            <w:r>
              <w:rPr>
                <w:rFonts w:ascii="Calibri" w:hAnsi="Calibri"/>
                <w:b/>
                <w:i w:val="0"/>
                <w:color w:val="102A43"/>
                <w:sz w:val="16"/>
              </w:rPr>
              <w:t>Restricted/high impact</w:t>
            </w:r>
          </w:p>
        </w:tc>
        <w:tc>
          <w:tcPr>
            <w:tcW w:type="dxa" w:w="3000"/>
            <w:shd w:fill="F8FAFC"/>
            <w:tcMar>
              <w:top w:w="80" w:type="dxa"/>
              <w:start w:w="120" w:type="dxa"/>
              <w:bottom w:w="80" w:type="dxa"/>
              <w:end w:w="120" w:type="dxa"/>
            </w:tcMar>
            <w:vAlign w:val="center"/>
          </w:tcPr>
          <w:p>
            <w:r>
              <w:rPr>
                <w:rFonts w:ascii="Calibri" w:hAnsi="Calibri"/>
                <w:b w:val="0"/>
                <w:i w:val="0"/>
                <w:color w:val="1F2937"/>
                <w:sz w:val="16"/>
              </w:rPr>
              <w:t>Identity documents, payment references, access/camera data, special-category data</w:t>
            </w:r>
          </w:p>
        </w:tc>
        <w:tc>
          <w:tcPr>
            <w:tcW w:type="dxa" w:w="4710"/>
            <w:shd w:fill="F8FAFC"/>
            <w:tcMar>
              <w:top w:w="80" w:type="dxa"/>
              <w:start w:w="120" w:type="dxa"/>
              <w:bottom w:w="80" w:type="dxa"/>
              <w:end w:w="120" w:type="dxa"/>
            </w:tcMar>
            <w:vAlign w:val="center"/>
          </w:tcPr>
          <w:p>
            <w:r>
              <w:rPr>
                <w:rFonts w:ascii="Calibri" w:hAnsi="Calibri"/>
                <w:b w:val="0"/>
                <w:i w:val="0"/>
                <w:color w:val="1F2937"/>
                <w:sz w:val="16"/>
              </w:rPr>
              <w:t>Explicit need, strong access, MFA decision, detailed audit, minimisation, incident controls</w:t>
            </w:r>
          </w:p>
        </w:tc>
      </w:tr>
      <w:tr>
        <w:trPr>
          <w:cantSplit/>
        </w:trPr>
        <w:tc>
          <w:tcPr>
            <w:tcW w:type="dxa" w:w="1650"/>
            <w:tcMar>
              <w:top w:w="80" w:type="dxa"/>
              <w:start w:w="120" w:type="dxa"/>
              <w:bottom w:w="80" w:type="dxa"/>
              <w:end w:w="120" w:type="dxa"/>
            </w:tcMar>
            <w:vAlign w:val="center"/>
          </w:tcPr>
          <w:p>
            <w:r>
              <w:rPr>
                <w:rFonts w:ascii="Calibri" w:hAnsi="Calibri"/>
                <w:b/>
                <w:i w:val="0"/>
                <w:color w:val="102A43"/>
                <w:sz w:val="16"/>
              </w:rPr>
              <w:t>AI-permitted subset</w:t>
            </w:r>
          </w:p>
        </w:tc>
        <w:tc>
          <w:tcPr>
            <w:tcW w:type="dxa" w:w="3000"/>
            <w:tcMar>
              <w:top w:w="80" w:type="dxa"/>
              <w:start w:w="120" w:type="dxa"/>
              <w:bottom w:w="80" w:type="dxa"/>
              <w:end w:w="120" w:type="dxa"/>
            </w:tcMar>
            <w:vAlign w:val="center"/>
          </w:tcPr>
          <w:p>
            <w:r>
              <w:rPr>
                <w:rFonts w:ascii="Calibri" w:hAnsi="Calibri"/>
                <w:b w:val="0"/>
                <w:i w:val="0"/>
                <w:color w:val="1F2937"/>
                <w:sz w:val="16"/>
              </w:rPr>
              <w:t>Approved source excerpts after role filtering/redaction</w:t>
            </w:r>
          </w:p>
        </w:tc>
        <w:tc>
          <w:tcPr>
            <w:tcW w:type="dxa" w:w="4710"/>
            <w:tcMar>
              <w:top w:w="80" w:type="dxa"/>
              <w:start w:w="120" w:type="dxa"/>
              <w:bottom w:w="80" w:type="dxa"/>
              <w:end w:w="120" w:type="dxa"/>
            </w:tcMar>
            <w:vAlign w:val="center"/>
          </w:tcPr>
          <w:p>
            <w:r>
              <w:rPr>
                <w:rFonts w:ascii="Calibri" w:hAnsi="Calibri"/>
                <w:b w:val="0"/>
                <w:i w:val="0"/>
                <w:color w:val="1F2937"/>
                <w:sz w:val="16"/>
              </w:rPr>
              <w:t>Provider/data-class allowlist, cost cap, logging, no autonomous restricted actions</w:t>
            </w:r>
          </w:p>
        </w:tc>
      </w:tr>
    </w:tbl>
    <w:p>
      <w:pPr>
        <w:pStyle w:val="Heading2"/>
      </w:pPr>
      <w:r>
        <w:t>10.2 Portfolio storage economics</w:t>
      </w:r>
    </w:p>
    <w:p>
      <w:r>
        <w:rPr>
          <w:rFonts w:ascii="Calibri" w:hAnsi="Calibri"/>
          <w:b w:val="0"/>
          <w:i w:val="0"/>
          <w:color w:val="1F2937"/>
          <w:sz w:val="20"/>
        </w:rPr>
        <w:t>Property storage is driven by portfolio size and media policy, not by monthly active users. Decimal provider billing units are used: properties × images × MB ÷ 1,000.</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650"/>
        <w:gridCol w:w="1700"/>
        <w:gridCol w:w="2150"/>
        <w:gridCol w:w="1900"/>
        <w:gridCol w:w="1960"/>
      </w:tblGrid>
      <w:tr>
        <w:trPr>
          <w:cantSplit/>
          <w:tblHeader w:val="true"/>
          <w:cantSplit/>
        </w:trPr>
        <w:tc>
          <w:tcPr>
            <w:tcW w:type="dxa" w:w="1650"/>
            <w:shd w:fill="102A43"/>
            <w:tcMar>
              <w:top w:w="80" w:type="dxa"/>
              <w:start w:w="120" w:type="dxa"/>
              <w:bottom w:w="80" w:type="dxa"/>
              <w:end w:w="120" w:type="dxa"/>
            </w:tcMar>
            <w:vAlign w:val="center"/>
          </w:tcPr>
          <w:p>
            <w:r>
              <w:rPr>
                <w:rFonts w:ascii="Calibri" w:hAnsi="Calibri"/>
                <w:b/>
                <w:i w:val="0"/>
                <w:color w:val="FFFFFF"/>
                <w:sz w:val="15"/>
              </w:rPr>
              <w:t>Image assumption</w:t>
            </w:r>
          </w:p>
        </w:tc>
        <w:tc>
          <w:tcPr>
            <w:tcW w:type="dxa" w:w="1700"/>
            <w:shd w:fill="102A43"/>
            <w:tcMar>
              <w:top w:w="80" w:type="dxa"/>
              <w:start w:w="120" w:type="dxa"/>
              <w:bottom w:w="80" w:type="dxa"/>
              <w:end w:w="120" w:type="dxa"/>
            </w:tcMar>
            <w:vAlign w:val="center"/>
          </w:tcPr>
          <w:p>
            <w:r>
              <w:rPr>
                <w:rFonts w:ascii="Calibri" w:hAnsi="Calibri"/>
                <w:b/>
                <w:i w:val="0"/>
                <w:color w:val="FFFFFF"/>
                <w:sz w:val="15"/>
              </w:rPr>
              <w:t>Total image volume</w:t>
            </w:r>
          </w:p>
        </w:tc>
        <w:tc>
          <w:tcPr>
            <w:tcW w:type="dxa" w:w="2150"/>
            <w:shd w:fill="102A43"/>
            <w:tcMar>
              <w:top w:w="80" w:type="dxa"/>
              <w:start w:w="120" w:type="dxa"/>
              <w:bottom w:w="80" w:type="dxa"/>
              <w:end w:w="120" w:type="dxa"/>
            </w:tcMar>
            <w:vAlign w:val="center"/>
          </w:tcPr>
          <w:p>
            <w:r>
              <w:rPr>
                <w:rFonts w:ascii="Calibri" w:hAnsi="Calibri"/>
                <w:b/>
                <w:i w:val="0"/>
                <w:color w:val="FFFFFF"/>
                <w:sz w:val="15"/>
              </w:rPr>
              <w:t>Supabase overage after 100 GB</w:t>
            </w:r>
          </w:p>
        </w:tc>
        <w:tc>
          <w:tcPr>
            <w:tcW w:type="dxa" w:w="1900"/>
            <w:shd w:fill="102A43"/>
            <w:tcMar>
              <w:top w:w="80" w:type="dxa"/>
              <w:start w:w="120" w:type="dxa"/>
              <w:bottom w:w="80" w:type="dxa"/>
              <w:end w:w="120" w:type="dxa"/>
            </w:tcMar>
            <w:vAlign w:val="center"/>
          </w:tcPr>
          <w:p>
            <w:r>
              <w:rPr>
                <w:rFonts w:ascii="Calibri" w:hAnsi="Calibri"/>
                <w:b/>
                <w:i w:val="0"/>
                <w:color w:val="FFFFFF"/>
                <w:sz w:val="15"/>
              </w:rPr>
              <w:t>R2 storage reference</w:t>
            </w:r>
          </w:p>
        </w:tc>
        <w:tc>
          <w:tcPr>
            <w:tcW w:type="dxa" w:w="1960"/>
            <w:shd w:fill="102A43"/>
            <w:tcMar>
              <w:top w:w="80" w:type="dxa"/>
              <w:start w:w="120" w:type="dxa"/>
              <w:bottom w:w="80" w:type="dxa"/>
              <w:end w:w="120" w:type="dxa"/>
            </w:tcMar>
            <w:vAlign w:val="center"/>
          </w:tcPr>
          <w:p>
            <w:r>
              <w:rPr>
                <w:rFonts w:ascii="Calibri" w:hAnsi="Calibri"/>
                <w:b/>
                <w:i w:val="0"/>
                <w:color w:val="FFFFFF"/>
                <w:sz w:val="15"/>
              </w:rPr>
              <w:t>Management action</w:t>
            </w:r>
          </w:p>
        </w:tc>
      </w:tr>
      <w:tr>
        <w:trPr>
          <w:cantSplit/>
        </w:trPr>
        <w:tc>
          <w:tcPr>
            <w:tcW w:type="dxa" w:w="1650"/>
            <w:tcMar>
              <w:top w:w="80" w:type="dxa"/>
              <w:start w:w="120" w:type="dxa"/>
              <w:bottom w:w="80" w:type="dxa"/>
              <w:end w:w="120" w:type="dxa"/>
            </w:tcMar>
            <w:vAlign w:val="center"/>
          </w:tcPr>
          <w:p>
            <w:r>
              <w:rPr>
                <w:rFonts w:ascii="Calibri" w:hAnsi="Calibri"/>
                <w:b w:val="0"/>
                <w:i w:val="0"/>
                <w:color w:val="1F2937"/>
                <w:sz w:val="15"/>
              </w:rPr>
              <w:t>0.5 MB × 8</w:t>
            </w:r>
          </w:p>
        </w:tc>
        <w:tc>
          <w:tcPr>
            <w:tcW w:type="dxa" w:w="1700"/>
            <w:tcMar>
              <w:top w:w="80" w:type="dxa"/>
              <w:start w:w="120" w:type="dxa"/>
              <w:bottom w:w="80" w:type="dxa"/>
              <w:end w:w="120" w:type="dxa"/>
            </w:tcMar>
            <w:vAlign w:val="center"/>
          </w:tcPr>
          <w:p>
            <w:r>
              <w:rPr>
                <w:rFonts w:ascii="Calibri" w:hAnsi="Calibri"/>
                <w:b w:val="0"/>
                <w:i w:val="0"/>
                <w:color w:val="1F2937"/>
                <w:sz w:val="15"/>
              </w:rPr>
              <w:t>849.192 GB</w:t>
            </w:r>
          </w:p>
        </w:tc>
        <w:tc>
          <w:tcPr>
            <w:tcW w:type="dxa" w:w="2150"/>
            <w:tcMar>
              <w:top w:w="80" w:type="dxa"/>
              <w:start w:w="120" w:type="dxa"/>
              <w:bottom w:w="80" w:type="dxa"/>
              <w:end w:w="120" w:type="dxa"/>
            </w:tcMar>
            <w:vAlign w:val="center"/>
          </w:tcPr>
          <w:p>
            <w:r>
              <w:rPr>
                <w:rFonts w:ascii="Calibri" w:hAnsi="Calibri"/>
                <w:b w:val="0"/>
                <w:i w:val="0"/>
                <w:color w:val="1F2937"/>
                <w:sz w:val="15"/>
              </w:rPr>
              <w:t>$15.96/month</w:t>
            </w:r>
          </w:p>
        </w:tc>
        <w:tc>
          <w:tcPr>
            <w:tcW w:type="dxa" w:w="1900"/>
            <w:tcMar>
              <w:top w:w="80" w:type="dxa"/>
              <w:start w:w="120" w:type="dxa"/>
              <w:bottom w:w="80" w:type="dxa"/>
              <w:end w:w="120" w:type="dxa"/>
            </w:tcMar>
            <w:vAlign w:val="center"/>
          </w:tcPr>
          <w:p>
            <w:r>
              <w:rPr>
                <w:rFonts w:ascii="Calibri" w:hAnsi="Calibri"/>
                <w:b w:val="0"/>
                <w:i w:val="0"/>
                <w:color w:val="1F2937"/>
                <w:sz w:val="15"/>
              </w:rPr>
              <w:t>~$12.74/month after 10 GB free</w:t>
            </w:r>
          </w:p>
        </w:tc>
        <w:tc>
          <w:tcPr>
            <w:tcW w:type="dxa" w:w="1960"/>
            <w:tcMar>
              <w:top w:w="80" w:type="dxa"/>
              <w:start w:w="120" w:type="dxa"/>
              <w:bottom w:w="80" w:type="dxa"/>
              <w:end w:w="120" w:type="dxa"/>
            </w:tcMar>
            <w:vAlign w:val="center"/>
          </w:tcPr>
          <w:p>
            <w:r>
              <w:rPr>
                <w:rFonts w:ascii="Calibri" w:hAnsi="Calibri"/>
                <w:b w:val="0"/>
                <w:i w:val="0"/>
                <w:color w:val="1F2937"/>
                <w:sz w:val="15"/>
              </w:rPr>
              <w:t>Recommended optimised baseline; validate request/operation charges.</w:t>
            </w:r>
          </w:p>
        </w:tc>
      </w:tr>
      <w:tr>
        <w:trPr>
          <w:cantSplit/>
        </w:trPr>
        <w:tc>
          <w:tcPr>
            <w:tcW w:type="dxa" w:w="1650"/>
            <w:shd w:fill="F8FAFC"/>
            <w:tcMar>
              <w:top w:w="80" w:type="dxa"/>
              <w:start w:w="120" w:type="dxa"/>
              <w:bottom w:w="80" w:type="dxa"/>
              <w:end w:w="120" w:type="dxa"/>
            </w:tcMar>
            <w:vAlign w:val="center"/>
          </w:tcPr>
          <w:p>
            <w:r>
              <w:rPr>
                <w:rFonts w:ascii="Calibri" w:hAnsi="Calibri"/>
                <w:b w:val="0"/>
                <w:i w:val="0"/>
                <w:color w:val="1F2937"/>
                <w:sz w:val="15"/>
              </w:rPr>
              <w:t>2.0 MB × 8</w:t>
            </w:r>
          </w:p>
        </w:tc>
        <w:tc>
          <w:tcPr>
            <w:tcW w:type="dxa" w:w="1700"/>
            <w:shd w:fill="F8FAFC"/>
            <w:tcMar>
              <w:top w:w="80" w:type="dxa"/>
              <w:start w:w="120" w:type="dxa"/>
              <w:bottom w:w="80" w:type="dxa"/>
              <w:end w:w="120" w:type="dxa"/>
            </w:tcMar>
            <w:vAlign w:val="center"/>
          </w:tcPr>
          <w:p>
            <w:r>
              <w:rPr>
                <w:rFonts w:ascii="Calibri" w:hAnsi="Calibri"/>
                <w:b w:val="0"/>
                <w:i w:val="0"/>
                <w:color w:val="1F2937"/>
                <w:sz w:val="15"/>
              </w:rPr>
              <w:t>3,396.768 GB</w:t>
            </w:r>
          </w:p>
        </w:tc>
        <w:tc>
          <w:tcPr>
            <w:tcW w:type="dxa" w:w="2150"/>
            <w:shd w:fill="F8FAFC"/>
            <w:tcMar>
              <w:top w:w="80" w:type="dxa"/>
              <w:start w:w="120" w:type="dxa"/>
              <w:bottom w:w="80" w:type="dxa"/>
              <w:end w:w="120" w:type="dxa"/>
            </w:tcMar>
            <w:vAlign w:val="center"/>
          </w:tcPr>
          <w:p>
            <w:r>
              <w:rPr>
                <w:rFonts w:ascii="Calibri" w:hAnsi="Calibri"/>
                <w:b w:val="0"/>
                <w:i w:val="0"/>
                <w:color w:val="1F2937"/>
                <w:sz w:val="15"/>
              </w:rPr>
              <w:t>$70.22/month</w:t>
            </w:r>
          </w:p>
        </w:tc>
        <w:tc>
          <w:tcPr>
            <w:tcW w:type="dxa" w:w="1900"/>
            <w:shd w:fill="F8FAFC"/>
            <w:tcMar>
              <w:top w:w="80" w:type="dxa"/>
              <w:start w:w="120" w:type="dxa"/>
              <w:bottom w:w="80" w:type="dxa"/>
              <w:end w:w="120" w:type="dxa"/>
            </w:tcMar>
            <w:vAlign w:val="center"/>
          </w:tcPr>
          <w:p>
            <w:r>
              <w:rPr>
                <w:rFonts w:ascii="Calibri" w:hAnsi="Calibri"/>
                <w:b w:val="0"/>
                <w:i w:val="0"/>
                <w:color w:val="1F2937"/>
                <w:sz w:val="15"/>
              </w:rPr>
              <w:t>~$50.80/month after 10 GB free</w:t>
            </w:r>
          </w:p>
        </w:tc>
        <w:tc>
          <w:tcPr>
            <w:tcW w:type="dxa" w:w="1960"/>
            <w:shd w:fill="F8FAFC"/>
            <w:tcMar>
              <w:top w:w="80" w:type="dxa"/>
              <w:start w:w="120" w:type="dxa"/>
              <w:bottom w:w="80" w:type="dxa"/>
              <w:end w:w="120" w:type="dxa"/>
            </w:tcMar>
            <w:vAlign w:val="center"/>
          </w:tcPr>
          <w:p>
            <w:r>
              <w:rPr>
                <w:rFonts w:ascii="Calibri" w:hAnsi="Calibri"/>
                <w:b w:val="0"/>
                <w:i w:val="0"/>
                <w:color w:val="1F2937"/>
                <w:sz w:val="15"/>
              </w:rPr>
              <w:t>Avoid as a web default; retain originals only with a clear archive policy.</w:t>
            </w:r>
          </w:p>
        </w:tc>
      </w:tr>
      <w:tr>
        <w:trPr>
          <w:cantSplit/>
        </w:trPr>
        <w:tc>
          <w:tcPr>
            <w:tcW w:type="dxa" w:w="1650"/>
            <w:tcMar>
              <w:top w:w="80" w:type="dxa"/>
              <w:start w:w="120" w:type="dxa"/>
              <w:bottom w:w="80" w:type="dxa"/>
              <w:end w:w="120" w:type="dxa"/>
            </w:tcMar>
            <w:vAlign w:val="center"/>
          </w:tcPr>
          <w:p>
            <w:r>
              <w:rPr>
                <w:rFonts w:ascii="Calibri" w:hAnsi="Calibri"/>
                <w:b w:val="0"/>
                <w:i w:val="0"/>
                <w:color w:val="1F2937"/>
                <w:sz w:val="15"/>
              </w:rPr>
              <w:t>Dynamic transform all 1,698,384 origins</w:t>
            </w:r>
          </w:p>
        </w:tc>
        <w:tc>
          <w:tcPr>
            <w:tcW w:type="dxa" w:w="1700"/>
            <w:tcMar>
              <w:top w:w="80" w:type="dxa"/>
              <w:start w:w="120" w:type="dxa"/>
              <w:bottom w:w="80" w:type="dxa"/>
              <w:end w:w="120" w:type="dxa"/>
            </w:tcMar>
            <w:vAlign w:val="center"/>
          </w:tcPr>
          <w:p>
            <w:r>
              <w:rPr>
                <w:rFonts w:ascii="Calibri" w:hAnsi="Calibri"/>
                <w:b w:val="0"/>
                <w:i w:val="0"/>
                <w:color w:val="1F2937"/>
                <w:sz w:val="15"/>
              </w:rPr>
              <w:t>Not storage; transformation event</w:t>
            </w:r>
          </w:p>
        </w:tc>
        <w:tc>
          <w:tcPr>
            <w:tcW w:type="dxa" w:w="2150"/>
            <w:tcMar>
              <w:top w:w="80" w:type="dxa"/>
              <w:start w:w="120" w:type="dxa"/>
              <w:bottom w:w="80" w:type="dxa"/>
              <w:end w:w="120" w:type="dxa"/>
            </w:tcMar>
            <w:vAlign w:val="center"/>
          </w:tcPr>
          <w:p>
            <w:r>
              <w:rPr>
                <w:rFonts w:ascii="Calibri" w:hAnsi="Calibri"/>
                <w:b w:val="0"/>
                <w:i w:val="0"/>
                <w:color w:val="1F2937"/>
                <w:sz w:val="15"/>
              </w:rPr>
              <w:t>~$8,491.42 at stated pro-rata formula</w:t>
            </w:r>
          </w:p>
        </w:tc>
        <w:tc>
          <w:tcPr>
            <w:tcW w:type="dxa" w:w="1900"/>
            <w:tcMar>
              <w:top w:w="80" w:type="dxa"/>
              <w:start w:w="120" w:type="dxa"/>
              <w:bottom w:w="80" w:type="dxa"/>
              <w:end w:w="120" w:type="dxa"/>
            </w:tcMar>
            <w:vAlign w:val="center"/>
          </w:tcPr>
          <w:p>
            <w:r>
              <w:rPr>
                <w:rFonts w:ascii="Calibri" w:hAnsi="Calibri"/>
                <w:b w:val="0"/>
                <w:i w:val="0"/>
                <w:color w:val="1F2937"/>
                <w:sz w:val="15"/>
              </w:rPr>
              <w:t>Do not bulk-transform at request time; pre-generate thumbnails.</w:t>
            </w:r>
          </w:p>
        </w:tc>
        <w:tc>
          <w:tcPr>
            <w:tcW w:type="dxa" w:w="1960"/>
            <w:tcMar>
              <w:top w:w="80" w:type="dxa"/>
              <w:start w:w="120" w:type="dxa"/>
              <w:bottom w:w="80" w:type="dxa"/>
              <w:end w:w="120" w:type="dxa"/>
            </w:tcMar>
            <w:vAlign w:val="center"/>
          </w:tcPr>
          <w:p/>
        </w:tc>
      </w:tr>
    </w:tbl>
    <w:p>
      <w:pPr>
        <w:pStyle w:val="Heading2"/>
      </w:pPr>
      <w:r>
        <w:t>10.3 Production security gates</w:t>
      </w:r>
    </w:p>
    <w:p>
      <w:pPr>
        <w:pStyle w:val="ListBullet"/>
        <w:spacing w:after="80"/>
        <w:ind w:left="720" w:hanging="360"/>
      </w:pPr>
      <w:r>
        <w:rPr>
          <w:rFonts w:ascii="Calibri" w:hAnsi="Calibri"/>
          <w:b w:val="0"/>
          <w:i w:val="0"/>
          <w:color w:val="1F2937"/>
          <w:sz w:val="20"/>
        </w:rPr>
        <w:t>RLS enabled and independently tested for every user-data table; deny-by-default for missing tenant/site context.</w:t>
      </w:r>
    </w:p>
    <w:p>
      <w:pPr>
        <w:pStyle w:val="ListBullet"/>
        <w:spacing w:after="80"/>
        <w:ind w:left="720" w:hanging="360"/>
      </w:pPr>
      <w:r>
        <w:rPr>
          <w:rFonts w:ascii="Calibri" w:hAnsi="Calibri"/>
          <w:b w:val="0"/>
          <w:i w:val="0"/>
          <w:color w:val="1F2937"/>
          <w:sz w:val="20"/>
        </w:rPr>
        <w:t>Production local access profiles disabled; real authentication and session controls verified.</w:t>
      </w:r>
    </w:p>
    <w:p>
      <w:pPr>
        <w:pStyle w:val="ListBullet"/>
        <w:spacing w:after="80"/>
        <w:ind w:left="720" w:hanging="360"/>
      </w:pPr>
      <w:r>
        <w:rPr>
          <w:rFonts w:ascii="Calibri" w:hAnsi="Calibri"/>
          <w:b w:val="0"/>
          <w:i w:val="0"/>
          <w:color w:val="1F2937"/>
          <w:sz w:val="20"/>
        </w:rPr>
        <w:t>MFA policy approved for privileged users; recovery and account-offboarding tested.</w:t>
      </w:r>
    </w:p>
    <w:p>
      <w:pPr>
        <w:pStyle w:val="ListBullet"/>
        <w:spacing w:after="80"/>
        <w:ind w:left="720" w:hanging="360"/>
      </w:pPr>
      <w:r>
        <w:rPr>
          <w:rFonts w:ascii="Calibri" w:hAnsi="Calibri"/>
          <w:b w:val="0"/>
          <w:i w:val="0"/>
          <w:color w:val="1F2937"/>
          <w:sz w:val="20"/>
        </w:rPr>
        <w:t>Secrets in managed environment variables, rotated and never exposed in browser bundles, tickets or documents.</w:t>
      </w:r>
    </w:p>
    <w:p>
      <w:pPr>
        <w:pStyle w:val="ListBullet"/>
        <w:spacing w:after="80"/>
        <w:ind w:left="720" w:hanging="360"/>
      </w:pPr>
      <w:r>
        <w:rPr>
          <w:rFonts w:ascii="Calibri" w:hAnsi="Calibri"/>
          <w:b w:val="0"/>
          <w:i w:val="0"/>
          <w:color w:val="1F2937"/>
          <w:sz w:val="20"/>
        </w:rPr>
        <w:t>Financial events immutable through normal UI; corrections use auditable reversal/adjustment records.</w:t>
      </w:r>
    </w:p>
    <w:p>
      <w:pPr>
        <w:pStyle w:val="ListBullet"/>
        <w:spacing w:after="80"/>
        <w:ind w:left="720" w:hanging="360"/>
      </w:pPr>
      <w:r>
        <w:rPr>
          <w:rFonts w:ascii="Calibri" w:hAnsi="Calibri"/>
          <w:b w:val="0"/>
          <w:i w:val="0"/>
          <w:color w:val="1F2937"/>
          <w:sz w:val="20"/>
        </w:rPr>
        <w:t>File type/size/virus controls, private buckets, signed URLs and retention/deletion lifecycle in place.</w:t>
      </w:r>
    </w:p>
    <w:p>
      <w:pPr>
        <w:pStyle w:val="ListBullet"/>
        <w:spacing w:after="80"/>
        <w:ind w:left="720" w:hanging="360"/>
      </w:pPr>
      <w:r>
        <w:rPr>
          <w:rFonts w:ascii="Calibri" w:hAnsi="Calibri"/>
          <w:b w:val="0"/>
          <w:i w:val="0"/>
          <w:color w:val="1F2937"/>
          <w:sz w:val="20"/>
        </w:rPr>
        <w:t>Dependency, code and penetration testing proportional to production risk; critical findings closed before launch.</w:t>
      </w:r>
    </w:p>
    <w:p>
      <w:pPr>
        <w:pStyle w:val="ListBullet"/>
        <w:spacing w:after="80"/>
        <w:ind w:left="720" w:hanging="360"/>
      </w:pPr>
      <w:r>
        <w:rPr>
          <w:rFonts w:ascii="Calibri" w:hAnsi="Calibri"/>
          <w:b w:val="0"/>
          <w:i w:val="0"/>
          <w:color w:val="1F2937"/>
          <w:sz w:val="20"/>
        </w:rPr>
        <w:t>Incident response covers privacy, provider outage, payment mismatch, access failure and AI/data exposure.</w:t>
      </w:r>
    </w:p>
    <w:p>
      <w:pPr>
        <w:pStyle w:val="Heading2"/>
      </w:pPr>
      <w:r>
        <w:t>10.4 Resilience and service operation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4300"/>
        <w:gridCol w:w="3160"/>
      </w:tblGrid>
      <w:tr>
        <w:trPr>
          <w:cantSplit/>
          <w:tblHeader w:val="true"/>
          <w:cantSplit/>
        </w:trPr>
        <w:tc>
          <w:tcPr>
            <w:tcW w:type="dxa" w:w="1900"/>
            <w:shd w:fill="102A43"/>
            <w:tcMar>
              <w:top w:w="80" w:type="dxa"/>
              <w:start w:w="120" w:type="dxa"/>
              <w:bottom w:w="80" w:type="dxa"/>
              <w:end w:w="120" w:type="dxa"/>
            </w:tcMar>
            <w:vAlign w:val="center"/>
          </w:tcPr>
          <w:p>
            <w:r>
              <w:rPr>
                <w:rFonts w:ascii="Calibri" w:hAnsi="Calibri"/>
                <w:b/>
                <w:i w:val="0"/>
                <w:color w:val="FFFFFF"/>
                <w:sz w:val="16"/>
              </w:rPr>
              <w:t>Control</w:t>
            </w:r>
          </w:p>
        </w:tc>
        <w:tc>
          <w:tcPr>
            <w:tcW w:type="dxa" w:w="4300"/>
            <w:shd w:fill="102A43"/>
            <w:tcMar>
              <w:top w:w="80" w:type="dxa"/>
              <w:start w:w="120" w:type="dxa"/>
              <w:bottom w:w="80" w:type="dxa"/>
              <w:end w:w="120" w:type="dxa"/>
            </w:tcMar>
            <w:vAlign w:val="center"/>
          </w:tcPr>
          <w:p>
            <w:r>
              <w:rPr>
                <w:rFonts w:ascii="Calibri" w:hAnsi="Calibri"/>
                <w:b/>
                <w:i w:val="0"/>
                <w:color w:val="FFFFFF"/>
                <w:sz w:val="16"/>
              </w:rPr>
              <w:t>Minimum launch evidence</w:t>
            </w:r>
          </w:p>
        </w:tc>
        <w:tc>
          <w:tcPr>
            <w:tcW w:type="dxa" w:w="3160"/>
            <w:shd w:fill="102A43"/>
            <w:tcMar>
              <w:top w:w="80" w:type="dxa"/>
              <w:start w:w="120" w:type="dxa"/>
              <w:bottom w:w="80" w:type="dxa"/>
              <w:end w:w="120" w:type="dxa"/>
            </w:tcMar>
            <w:vAlign w:val="center"/>
          </w:tcPr>
          <w:p>
            <w:r>
              <w:rPr>
                <w:rFonts w:ascii="Calibri" w:hAnsi="Calibri"/>
                <w:b/>
                <w:i w:val="0"/>
                <w:color w:val="FFFFFF"/>
                <w:sz w:val="16"/>
              </w:rPr>
              <w:t>Cost factor</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Backups and PITR</w:t>
            </w:r>
          </w:p>
        </w:tc>
        <w:tc>
          <w:tcPr>
            <w:tcW w:type="dxa" w:w="4300"/>
            <w:tcMar>
              <w:top w:w="80" w:type="dxa"/>
              <w:start w:w="120" w:type="dxa"/>
              <w:bottom w:w="80" w:type="dxa"/>
              <w:end w:w="120" w:type="dxa"/>
            </w:tcMar>
            <w:vAlign w:val="center"/>
          </w:tcPr>
          <w:p>
            <w:r>
              <w:rPr>
                <w:rFonts w:ascii="Calibri" w:hAnsi="Calibri"/>
                <w:b w:val="0"/>
                <w:i w:val="0"/>
                <w:color w:val="1F2937"/>
                <w:sz w:val="16"/>
              </w:rPr>
              <w:t>Documented schedule, ownership, encryption and restore test</w:t>
            </w:r>
          </w:p>
        </w:tc>
        <w:tc>
          <w:tcPr>
            <w:tcW w:type="dxa" w:w="3160"/>
            <w:tcMar>
              <w:top w:w="80" w:type="dxa"/>
              <w:start w:w="120" w:type="dxa"/>
              <w:bottom w:w="80" w:type="dxa"/>
              <w:end w:w="120" w:type="dxa"/>
            </w:tcMar>
            <w:vAlign w:val="center"/>
          </w:tcPr>
          <w:p>
            <w:r>
              <w:rPr>
                <w:rFonts w:ascii="Calibri" w:hAnsi="Calibri"/>
                <w:b w:val="0"/>
                <w:i w:val="0"/>
                <w:color w:val="1F2937"/>
                <w:sz w:val="16"/>
              </w:rPr>
              <w:t>Supabase PITR $100/month planning line; external copies/support may add cost</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RTO/RPO</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Management-approved recovery objectives and tested runbook</w:t>
            </w:r>
          </w:p>
        </w:tc>
        <w:tc>
          <w:tcPr>
            <w:tcW w:type="dxa" w:w="3160"/>
            <w:shd w:fill="F8FAFC"/>
            <w:tcMar>
              <w:top w:w="80" w:type="dxa"/>
              <w:start w:w="120" w:type="dxa"/>
              <w:bottom w:w="80" w:type="dxa"/>
              <w:end w:w="120" w:type="dxa"/>
            </w:tcMar>
            <w:vAlign w:val="center"/>
          </w:tcPr>
          <w:p>
            <w:r>
              <w:rPr>
                <w:rFonts w:ascii="Calibri" w:hAnsi="Calibri"/>
                <w:b w:val="0"/>
                <w:i w:val="0"/>
                <w:color w:val="1F2937"/>
                <w:sz w:val="16"/>
              </w:rPr>
              <w:t>Higher availability/recovery objectives increase engineering and provider cost</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Monitoring</w:t>
            </w:r>
          </w:p>
        </w:tc>
        <w:tc>
          <w:tcPr>
            <w:tcW w:type="dxa" w:w="4300"/>
            <w:tcMar>
              <w:top w:w="80" w:type="dxa"/>
              <w:start w:w="120" w:type="dxa"/>
              <w:bottom w:w="80" w:type="dxa"/>
              <w:end w:w="120" w:type="dxa"/>
            </w:tcMar>
            <w:vAlign w:val="center"/>
          </w:tcPr>
          <w:p>
            <w:r>
              <w:rPr>
                <w:rFonts w:ascii="Calibri" w:hAnsi="Calibri"/>
                <w:b w:val="0"/>
                <w:i w:val="0"/>
                <w:color w:val="1F2937"/>
                <w:sz w:val="16"/>
              </w:rPr>
              <w:t>Errors, uptime, integration health, queue length, payment mismatch and storage/AI spend alerts</w:t>
            </w:r>
          </w:p>
        </w:tc>
        <w:tc>
          <w:tcPr>
            <w:tcW w:type="dxa" w:w="3160"/>
            <w:tcMar>
              <w:top w:w="80" w:type="dxa"/>
              <w:start w:w="120" w:type="dxa"/>
              <w:bottom w:w="80" w:type="dxa"/>
              <w:end w:w="120" w:type="dxa"/>
            </w:tcMar>
            <w:vAlign w:val="center"/>
          </w:tcPr>
          <w:p>
            <w:r>
              <w:rPr>
                <w:rFonts w:ascii="Calibri" w:hAnsi="Calibri"/>
                <w:b w:val="0"/>
                <w:i w:val="0"/>
                <w:color w:val="1F2937"/>
                <w:sz w:val="16"/>
              </w:rPr>
              <w:t>Sentry/uptime plans, alert recipients and on-call effort</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Provider outage</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Manual fallback and reconciliation after recovery</w:t>
            </w:r>
          </w:p>
        </w:tc>
        <w:tc>
          <w:tcPr>
            <w:tcW w:type="dxa" w:w="3160"/>
            <w:shd w:fill="F8FAFC"/>
            <w:tcMar>
              <w:top w:w="80" w:type="dxa"/>
              <w:start w:w="120" w:type="dxa"/>
              <w:bottom w:w="80" w:type="dxa"/>
              <w:end w:w="120" w:type="dxa"/>
            </w:tcMar>
            <w:vAlign w:val="center"/>
          </w:tcPr>
          <w:p>
            <w:r>
              <w:rPr>
                <w:rFonts w:ascii="Calibri" w:hAnsi="Calibri"/>
                <w:b w:val="0"/>
                <w:i w:val="0"/>
                <w:color w:val="1F2937"/>
                <w:sz w:val="16"/>
              </w:rPr>
              <w:t>Operational labour, duplicate prevention and support SLA</w:t>
            </w:r>
          </w:p>
        </w:tc>
      </w:tr>
      <w:tr>
        <w:trPr>
          <w:cantSplit/>
        </w:trPr>
        <w:tc>
          <w:tcPr>
            <w:tcW w:type="dxa" w:w="1900"/>
            <w:tcMar>
              <w:top w:w="80" w:type="dxa"/>
              <w:start w:w="120" w:type="dxa"/>
              <w:bottom w:w="80" w:type="dxa"/>
              <w:end w:w="120" w:type="dxa"/>
            </w:tcMar>
            <w:vAlign w:val="center"/>
          </w:tcPr>
          <w:p>
            <w:r>
              <w:rPr>
                <w:rFonts w:ascii="Calibri" w:hAnsi="Calibri"/>
                <w:b/>
                <w:i w:val="0"/>
                <w:color w:val="102A43"/>
                <w:sz w:val="16"/>
              </w:rPr>
              <w:t>Disaster recovery</w:t>
            </w:r>
          </w:p>
        </w:tc>
        <w:tc>
          <w:tcPr>
            <w:tcW w:type="dxa" w:w="4300"/>
            <w:tcMar>
              <w:top w:w="80" w:type="dxa"/>
              <w:start w:w="120" w:type="dxa"/>
              <w:bottom w:w="80" w:type="dxa"/>
              <w:end w:w="120" w:type="dxa"/>
            </w:tcMar>
            <w:vAlign w:val="center"/>
          </w:tcPr>
          <w:p>
            <w:r>
              <w:rPr>
                <w:rFonts w:ascii="Calibri" w:hAnsi="Calibri"/>
                <w:b w:val="0"/>
                <w:i w:val="0"/>
                <w:color w:val="1F2937"/>
                <w:sz w:val="16"/>
              </w:rPr>
              <w:t>Restore to clean environment and validate RLS/credentials</w:t>
            </w:r>
          </w:p>
        </w:tc>
        <w:tc>
          <w:tcPr>
            <w:tcW w:type="dxa" w:w="3160"/>
            <w:tcMar>
              <w:top w:w="80" w:type="dxa"/>
              <w:start w:w="120" w:type="dxa"/>
              <w:bottom w:w="80" w:type="dxa"/>
              <w:end w:w="120" w:type="dxa"/>
            </w:tcMar>
            <w:vAlign w:val="center"/>
          </w:tcPr>
          <w:p>
            <w:r>
              <w:rPr>
                <w:rFonts w:ascii="Calibri" w:hAnsi="Calibri"/>
                <w:b w:val="0"/>
                <w:i w:val="0"/>
                <w:color w:val="1F2937"/>
                <w:sz w:val="16"/>
              </w:rPr>
              <w:t>Secondary storage/project, exercises and documentation</w:t>
            </w:r>
          </w:p>
        </w:tc>
      </w:tr>
      <w:tr>
        <w:trPr>
          <w:cantSplit/>
        </w:trPr>
        <w:tc>
          <w:tcPr>
            <w:tcW w:type="dxa" w:w="1900"/>
            <w:shd w:fill="F8FAFC"/>
            <w:tcMar>
              <w:top w:w="80" w:type="dxa"/>
              <w:start w:w="120" w:type="dxa"/>
              <w:bottom w:w="80" w:type="dxa"/>
              <w:end w:w="120" w:type="dxa"/>
            </w:tcMar>
            <w:vAlign w:val="center"/>
          </w:tcPr>
          <w:p>
            <w:r>
              <w:rPr>
                <w:rFonts w:ascii="Calibri" w:hAnsi="Calibri"/>
                <w:b/>
                <w:i w:val="0"/>
                <w:color w:val="102A43"/>
                <w:sz w:val="16"/>
              </w:rPr>
              <w:t>Support</w:t>
            </w:r>
          </w:p>
        </w:tc>
        <w:tc>
          <w:tcPr>
            <w:tcW w:type="dxa" w:w="4300"/>
            <w:shd w:fill="F8FAFC"/>
            <w:tcMar>
              <w:top w:w="80" w:type="dxa"/>
              <w:start w:w="120" w:type="dxa"/>
              <w:bottom w:w="80" w:type="dxa"/>
              <w:end w:w="120" w:type="dxa"/>
            </w:tcMar>
            <w:vAlign w:val="center"/>
          </w:tcPr>
          <w:p>
            <w:r>
              <w:rPr>
                <w:rFonts w:ascii="Calibri" w:hAnsi="Calibri"/>
                <w:b w:val="0"/>
                <w:i w:val="0"/>
                <w:color w:val="1F2937"/>
                <w:sz w:val="16"/>
              </w:rPr>
              <w:t>Named hours, channels, severity, response target and escalation</w:t>
            </w:r>
          </w:p>
        </w:tc>
        <w:tc>
          <w:tcPr>
            <w:tcW w:type="dxa" w:w="3160"/>
            <w:shd w:fill="F8FAFC"/>
            <w:tcMar>
              <w:top w:w="80" w:type="dxa"/>
              <w:start w:w="120" w:type="dxa"/>
              <w:bottom w:w="80" w:type="dxa"/>
              <w:end w:w="120" w:type="dxa"/>
            </w:tcMar>
            <w:vAlign w:val="center"/>
          </w:tcPr>
          <w:p>
            <w:r>
              <w:rPr>
                <w:rFonts w:ascii="Calibri" w:hAnsi="Calibri"/>
                <w:b w:val="0"/>
                <w:i w:val="0"/>
                <w:color w:val="1F2937"/>
                <w:sz w:val="16"/>
              </w:rPr>
              <w:t>Internal staff or external retainer — quotation required</w:t>
            </w:r>
          </w:p>
        </w:tc>
      </w:tr>
    </w:tbl>
    <w:p>
      <w:pPr>
        <w:pStyle w:val="CaptionSmall"/>
      </w:pPr>
      <w:r>
        <w:rPr>
          <w:rFonts w:ascii="Calibri" w:hAnsi="Calibri"/>
          <w:b/>
          <w:i w:val="0"/>
          <w:color w:val="5B6673"/>
          <w:sz w:val="17"/>
        </w:rPr>
        <w:t xml:space="preserve">Sources checked 15 July 2026: </w:t>
      </w:r>
      <w:hyperlink r:id="rId12">
        <w:r>
          <w:rPr>
            <w:color w:val="2E74B5"/>
            <w:u w:val="single"/>
          </w:rPr>
          <w:t>S01 Supabase</w:t>
        </w:r>
      </w:hyperlink>
      <w:r>
        <w:rPr>
          <w:rFonts w:ascii="Calibri" w:hAnsi="Calibri"/>
          <w:b w:val="0"/>
          <w:i w:val="0"/>
          <w:color w:val="5B6673"/>
          <w:sz w:val="17"/>
        </w:rPr>
        <w:t xml:space="preserve">; </w:t>
      </w:r>
      <w:hyperlink r:id="rId13">
        <w:r>
          <w:rPr>
            <w:color w:val="2E74B5"/>
            <w:u w:val="single"/>
          </w:rPr>
          <w:t>S02 Vercel</w:t>
        </w:r>
      </w:hyperlink>
      <w:r>
        <w:rPr>
          <w:rFonts w:ascii="Calibri" w:hAnsi="Calibri"/>
          <w:b w:val="0"/>
          <w:i w:val="0"/>
          <w:color w:val="5B6673"/>
          <w:sz w:val="17"/>
        </w:rPr>
        <w:t xml:space="preserve">; </w:t>
      </w:r>
      <w:hyperlink r:id="rId49">
        <w:r>
          <w:rPr>
            <w:color w:val="2E74B5"/>
            <w:u w:val="single"/>
          </w:rPr>
          <w:t>S10 Sentry</w:t>
        </w:r>
      </w:hyperlink>
      <w:r>
        <w:rPr>
          <w:rFonts w:ascii="Calibri" w:hAnsi="Calibri"/>
          <w:b w:val="0"/>
          <w:i w:val="0"/>
          <w:color w:val="5B6673"/>
          <w:sz w:val="17"/>
        </w:rPr>
        <w:t xml:space="preserve">; </w:t>
      </w:r>
      <w:hyperlink r:id="rId26">
        <w:r>
          <w:rPr>
            <w:color w:val="2E74B5"/>
            <w:u w:val="single"/>
          </w:rPr>
          <w:t>S11 Cloudflare</w:t>
        </w:r>
      </w:hyperlink>
      <w:r>
        <w:rPr>
          <w:rFonts w:ascii="Calibri" w:hAnsi="Calibri"/>
          <w:b w:val="0"/>
          <w:i w:val="0"/>
          <w:color w:val="5B6673"/>
          <w:sz w:val="17"/>
        </w:rPr>
        <w:t xml:space="preserve">; </w:t>
      </w:r>
      <w:hyperlink r:id="rId39">
        <w:r>
          <w:rPr>
            <w:color w:val="2E74B5"/>
            <w:u w:val="single"/>
          </w:rPr>
          <w:t>S26 KVKK</w:t>
        </w:r>
      </w:hyperlink>
      <w:r>
        <w:rPr>
          <w:rFonts w:ascii="Calibri" w:hAnsi="Calibri"/>
          <w:b w:val="0"/>
          <w:i w:val="0"/>
          <w:color w:val="5B6673"/>
          <w:sz w:val="17"/>
        </w:rPr>
        <w:t xml:space="preserve">; </w:t>
      </w:r>
      <w:hyperlink r:id="rId42">
        <w:r>
          <w:rPr>
            <w:color w:val="2E74B5"/>
            <w:u w:val="single"/>
          </w:rPr>
          <w:t>S29 KVKK</w:t>
        </w:r>
      </w:hyperlink>
    </w:p>
    <w:p>
      <w:bookmarkStart w:id="113" w:name="work-packages"/>
      <w:pPr>
        <w:pStyle w:val="Heading1"/>
      </w:pPr>
      <w:r>
        <w:t>11. Work-package one-pager</w:t>
      </w:r>
      <w:bookmarkEnd w:id="113"/>
    </w:p>
    <w:p>
      <w:pPr>
        <w:pStyle w:val="ExecutiveLead"/>
      </w:pPr>
      <w:r>
        <w:rPr>
          <w:rFonts w:ascii="Calibri" w:hAnsi="Calibri"/>
          <w:b w:val="0"/>
          <w:i w:val="0"/>
          <w:color w:val="1F2937"/>
          <w:sz w:val="20"/>
        </w:rPr>
        <w:t>The programme is divided into fourteen work packages. Each package has a management outcome, deliverables, dependencies, external cash cost, evidence and a go/no-go gate. Professional effort is deliberately marked 'estimate required' until scope, providers and client responsibilities are confirmed. The HTML estimator includes a PERT labour-estimate controller so management can add minimum/likely/maximum days and a chosen day rate without hiding assumptions.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600"/>
        <w:gridCol w:w="1700"/>
        <w:gridCol w:w="3250"/>
        <w:gridCol w:w="1800"/>
        <w:gridCol w:w="2010"/>
      </w:tblGrid>
      <w:tr>
        <w:trPr>
          <w:cantSplit/>
          <w:tblHeader w:val="true"/>
          <w:cantSplit/>
        </w:trPr>
        <w:tc>
          <w:tcPr>
            <w:tcW w:type="dxa" w:w="600"/>
            <w:shd w:fill="102A43"/>
            <w:tcMar>
              <w:top w:w="80" w:type="dxa"/>
              <w:start w:w="120" w:type="dxa"/>
              <w:bottom w:w="80" w:type="dxa"/>
              <w:end w:w="120" w:type="dxa"/>
            </w:tcMar>
            <w:vAlign w:val="center"/>
          </w:tcPr>
          <w:p>
            <w:r>
              <w:rPr>
                <w:rFonts w:ascii="Calibri" w:hAnsi="Calibri"/>
                <w:b/>
                <w:i w:val="0"/>
                <w:color w:val="FFFFFF"/>
                <w:sz w:val="14"/>
              </w:rPr>
              <w:t>WP</w:t>
            </w:r>
          </w:p>
        </w:tc>
        <w:tc>
          <w:tcPr>
            <w:tcW w:type="dxa" w:w="1700"/>
            <w:shd w:fill="102A43"/>
            <w:tcMar>
              <w:top w:w="80" w:type="dxa"/>
              <w:start w:w="120" w:type="dxa"/>
              <w:bottom w:w="80" w:type="dxa"/>
              <w:end w:w="120" w:type="dxa"/>
            </w:tcMar>
            <w:vAlign w:val="center"/>
          </w:tcPr>
          <w:p>
            <w:r>
              <w:rPr>
                <w:rFonts w:ascii="Calibri" w:hAnsi="Calibri"/>
                <w:b/>
                <w:i w:val="0"/>
                <w:color w:val="FFFFFF"/>
                <w:sz w:val="14"/>
              </w:rPr>
              <w:t>Package</w:t>
            </w:r>
          </w:p>
        </w:tc>
        <w:tc>
          <w:tcPr>
            <w:tcW w:type="dxa" w:w="3250"/>
            <w:shd w:fill="102A43"/>
            <w:tcMar>
              <w:top w:w="80" w:type="dxa"/>
              <w:start w:w="120" w:type="dxa"/>
              <w:bottom w:w="80" w:type="dxa"/>
              <w:end w:w="120" w:type="dxa"/>
            </w:tcMar>
            <w:vAlign w:val="center"/>
          </w:tcPr>
          <w:p>
            <w:r>
              <w:rPr>
                <w:rFonts w:ascii="Calibri" w:hAnsi="Calibri"/>
                <w:b/>
                <w:i w:val="0"/>
                <w:color w:val="FFFFFF"/>
                <w:sz w:val="14"/>
              </w:rPr>
              <w:t>Core deliverables</w:t>
            </w:r>
          </w:p>
        </w:tc>
        <w:tc>
          <w:tcPr>
            <w:tcW w:type="dxa" w:w="1800"/>
            <w:shd w:fill="102A43"/>
            <w:tcMar>
              <w:top w:w="80" w:type="dxa"/>
              <w:start w:w="120" w:type="dxa"/>
              <w:bottom w:w="80" w:type="dxa"/>
              <w:end w:w="120" w:type="dxa"/>
            </w:tcMar>
            <w:vAlign w:val="center"/>
          </w:tcPr>
          <w:p>
            <w:r>
              <w:rPr>
                <w:rFonts w:ascii="Calibri" w:hAnsi="Calibri"/>
                <w:b/>
                <w:i w:val="0"/>
                <w:color w:val="FFFFFF"/>
                <w:sz w:val="14"/>
              </w:rPr>
              <w:t>External cash-cost class</w:t>
            </w:r>
          </w:p>
        </w:tc>
        <w:tc>
          <w:tcPr>
            <w:tcW w:type="dxa" w:w="2010"/>
            <w:shd w:fill="102A43"/>
            <w:tcMar>
              <w:top w:w="80" w:type="dxa"/>
              <w:start w:w="120" w:type="dxa"/>
              <w:bottom w:w="80" w:type="dxa"/>
              <w:end w:w="120" w:type="dxa"/>
            </w:tcMar>
            <w:vAlign w:val="center"/>
          </w:tcPr>
          <w:p>
            <w:r>
              <w:rPr>
                <w:rFonts w:ascii="Calibri" w:hAnsi="Calibri"/>
                <w:b/>
                <w:i w:val="0"/>
                <w:color w:val="FFFFFF"/>
                <w:sz w:val="14"/>
              </w:rPr>
              <w:t>Exit evidence</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WP0</w:t>
            </w:r>
          </w:p>
        </w:tc>
        <w:tc>
          <w:tcPr>
            <w:tcW w:type="dxa" w:w="1700"/>
            <w:tcMar>
              <w:top w:w="80" w:type="dxa"/>
              <w:start w:w="120" w:type="dxa"/>
              <w:bottom w:w="80" w:type="dxa"/>
              <w:end w:w="120" w:type="dxa"/>
            </w:tcMar>
            <w:vAlign w:val="center"/>
          </w:tcPr>
          <w:p>
            <w:r>
              <w:rPr>
                <w:rFonts w:ascii="Calibri" w:hAnsi="Calibri"/>
                <w:b w:val="0"/>
                <w:i w:val="0"/>
                <w:color w:val="1F2937"/>
                <w:sz w:val="14"/>
              </w:rPr>
              <w:t>Governance &amp; decision log</w:t>
            </w:r>
          </w:p>
        </w:tc>
        <w:tc>
          <w:tcPr>
            <w:tcW w:type="dxa" w:w="3250"/>
            <w:tcMar>
              <w:top w:w="80" w:type="dxa"/>
              <w:start w:w="120" w:type="dxa"/>
              <w:bottom w:w="80" w:type="dxa"/>
              <w:end w:w="120" w:type="dxa"/>
            </w:tcMar>
            <w:vAlign w:val="center"/>
          </w:tcPr>
          <w:p>
            <w:r>
              <w:rPr>
                <w:rFonts w:ascii="Calibri" w:hAnsi="Calibri"/>
                <w:b w:val="0"/>
                <w:i w:val="0"/>
                <w:color w:val="1F2937"/>
                <w:sz w:val="14"/>
              </w:rPr>
              <w:t>Owners, usage model, quotations, assumptions, RACI, change control</w:t>
            </w:r>
          </w:p>
        </w:tc>
        <w:tc>
          <w:tcPr>
            <w:tcW w:type="dxa" w:w="1800"/>
            <w:tcMar>
              <w:top w:w="80" w:type="dxa"/>
              <w:start w:w="120" w:type="dxa"/>
              <w:bottom w:w="80" w:type="dxa"/>
              <w:end w:w="120" w:type="dxa"/>
            </w:tcMar>
            <w:vAlign w:val="center"/>
          </w:tcPr>
          <w:p>
            <w:r>
              <w:rPr>
                <w:rFonts w:ascii="Calibri" w:hAnsi="Calibri"/>
                <w:b w:val="0"/>
                <w:i w:val="0"/>
                <w:color w:val="1F2937"/>
                <w:sz w:val="14"/>
              </w:rPr>
              <w:t>None</w:t>
            </w:r>
          </w:p>
        </w:tc>
        <w:tc>
          <w:tcPr>
            <w:tcW w:type="dxa" w:w="2010"/>
            <w:tcMar>
              <w:top w:w="80" w:type="dxa"/>
              <w:start w:w="120" w:type="dxa"/>
              <w:bottom w:w="80" w:type="dxa"/>
              <w:end w:w="120" w:type="dxa"/>
            </w:tcMar>
            <w:vAlign w:val="center"/>
          </w:tcPr>
          <w:p>
            <w:r>
              <w:rPr>
                <w:rFonts w:ascii="Calibri" w:hAnsi="Calibri"/>
                <w:b w:val="0"/>
                <w:i w:val="0"/>
                <w:color w:val="1F2937"/>
                <w:sz w:val="14"/>
              </w:rPr>
              <w:t>Approved decision register and cost baseline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WP1</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Turkish legal &amp; compliance</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KVKK/SCC/VERBİS/IYS/MASAK/EİDS/TTYS/e-document assessments</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Counsel/accountant quote; statutory fees</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Written applicability matrix and filings/contracts</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WP2</w:t>
            </w:r>
          </w:p>
        </w:tc>
        <w:tc>
          <w:tcPr>
            <w:tcW w:type="dxa" w:w="1700"/>
            <w:tcMar>
              <w:top w:w="80" w:type="dxa"/>
              <w:start w:w="120" w:type="dxa"/>
              <w:bottom w:w="80" w:type="dxa"/>
              <w:end w:w="120" w:type="dxa"/>
            </w:tcMar>
            <w:vAlign w:val="center"/>
          </w:tcPr>
          <w:p>
            <w:r>
              <w:rPr>
                <w:rFonts w:ascii="Calibri" w:hAnsi="Calibri"/>
                <w:b w:val="0"/>
                <w:i w:val="0"/>
                <w:color w:val="1F2937"/>
                <w:sz w:val="14"/>
              </w:rPr>
              <w:t>Architecture &amp; data location</w:t>
            </w:r>
          </w:p>
        </w:tc>
        <w:tc>
          <w:tcPr>
            <w:tcW w:type="dxa" w:w="3250"/>
            <w:tcMar>
              <w:top w:w="80" w:type="dxa"/>
              <w:start w:w="120" w:type="dxa"/>
              <w:bottom w:w="80" w:type="dxa"/>
              <w:end w:w="120" w:type="dxa"/>
            </w:tcMar>
            <w:vAlign w:val="center"/>
          </w:tcPr>
          <w:p>
            <w:r>
              <w:rPr>
                <w:rFonts w:ascii="Calibri" w:hAnsi="Calibri"/>
                <w:b w:val="0"/>
                <w:i w:val="0"/>
                <w:color w:val="1F2937"/>
                <w:sz w:val="14"/>
              </w:rPr>
              <w:t>Production topology, environments, DPA/subprocessors, RTO/RPO</w:t>
            </w:r>
          </w:p>
        </w:tc>
        <w:tc>
          <w:tcPr>
            <w:tcW w:type="dxa" w:w="1800"/>
            <w:tcMar>
              <w:top w:w="80" w:type="dxa"/>
              <w:start w:w="120" w:type="dxa"/>
              <w:bottom w:w="80" w:type="dxa"/>
              <w:end w:w="120" w:type="dxa"/>
            </w:tcMar>
            <w:vAlign w:val="center"/>
          </w:tcPr>
          <w:p>
            <w:r>
              <w:rPr>
                <w:rFonts w:ascii="Calibri" w:hAnsi="Calibri"/>
                <w:b w:val="0"/>
                <w:i w:val="0"/>
                <w:color w:val="1F2937"/>
                <w:sz w:val="14"/>
              </w:rPr>
              <w:t>Cloud plans; local-host quote if evaluated</w:t>
            </w:r>
          </w:p>
        </w:tc>
        <w:tc>
          <w:tcPr>
            <w:tcW w:type="dxa" w:w="2010"/>
            <w:tcMar>
              <w:top w:w="80" w:type="dxa"/>
              <w:start w:w="120" w:type="dxa"/>
              <w:bottom w:w="80" w:type="dxa"/>
              <w:end w:w="120" w:type="dxa"/>
            </w:tcMar>
            <w:vAlign w:val="center"/>
          </w:tcPr>
          <w:p>
            <w:r>
              <w:rPr>
                <w:rFonts w:ascii="Calibri" w:hAnsi="Calibri"/>
                <w:b w:val="0"/>
                <w:i w:val="0"/>
                <w:color w:val="1F2937"/>
                <w:sz w:val="14"/>
              </w:rPr>
              <w:t>Architecture and cross-border approval</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WP3</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Identity, RBAC &amp; audit</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Supabase Auth, MFA, role mapping, RLS, audit and offboarding</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MFA/add-ons if chosen</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Role/UAT/RLS evidence; demo profiles off</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WP4</w:t>
            </w:r>
          </w:p>
        </w:tc>
        <w:tc>
          <w:tcPr>
            <w:tcW w:type="dxa" w:w="1700"/>
            <w:tcMar>
              <w:top w:w="80" w:type="dxa"/>
              <w:start w:w="120" w:type="dxa"/>
              <w:bottom w:w="80" w:type="dxa"/>
              <w:end w:w="120" w:type="dxa"/>
            </w:tcMar>
            <w:vAlign w:val="center"/>
          </w:tcPr>
          <w:p>
            <w:r>
              <w:rPr>
                <w:rFonts w:ascii="Calibri" w:hAnsi="Calibri"/>
                <w:b w:val="0"/>
                <w:i w:val="0"/>
                <w:color w:val="1F2937"/>
                <w:sz w:val="14"/>
              </w:rPr>
              <w:t>Migration, storage &amp; images</w:t>
            </w:r>
          </w:p>
        </w:tc>
        <w:tc>
          <w:tcPr>
            <w:tcW w:type="dxa" w:w="3250"/>
            <w:tcMar>
              <w:top w:w="80" w:type="dxa"/>
              <w:start w:w="120" w:type="dxa"/>
              <w:bottom w:w="80" w:type="dxa"/>
              <w:end w:w="120" w:type="dxa"/>
            </w:tcMar>
            <w:vAlign w:val="center"/>
          </w:tcPr>
          <w:p>
            <w:r>
              <w:rPr>
                <w:rFonts w:ascii="Calibri" w:hAnsi="Calibri"/>
                <w:b w:val="0"/>
                <w:i w:val="0"/>
                <w:color w:val="1F2937"/>
                <w:sz w:val="14"/>
              </w:rPr>
              <w:t>Source inventory, cleansing, import, reconciliation, compression, retention</w:t>
            </w:r>
          </w:p>
        </w:tc>
        <w:tc>
          <w:tcPr>
            <w:tcW w:type="dxa" w:w="1800"/>
            <w:tcMar>
              <w:top w:w="80" w:type="dxa"/>
              <w:start w:w="120" w:type="dxa"/>
              <w:bottom w:w="80" w:type="dxa"/>
              <w:end w:w="120" w:type="dxa"/>
            </w:tcMar>
            <w:vAlign w:val="center"/>
          </w:tcPr>
          <w:p>
            <w:r>
              <w:rPr>
                <w:rFonts w:ascii="Calibri" w:hAnsi="Calibri"/>
                <w:b w:val="0"/>
                <w:i w:val="0"/>
                <w:color w:val="1F2937"/>
                <w:sz w:val="14"/>
              </w:rPr>
              <w:t>Storage/transfer; migration quote</w:t>
            </w:r>
          </w:p>
        </w:tc>
        <w:tc>
          <w:tcPr>
            <w:tcW w:type="dxa" w:w="2010"/>
            <w:tcMar>
              <w:top w:w="80" w:type="dxa"/>
              <w:start w:w="120" w:type="dxa"/>
              <w:bottom w:w="80" w:type="dxa"/>
              <w:end w:w="120" w:type="dxa"/>
            </w:tcMar>
            <w:vAlign w:val="center"/>
          </w:tcPr>
          <w:p>
            <w:r>
              <w:rPr>
                <w:rFonts w:ascii="Calibri" w:hAnsi="Calibri"/>
                <w:b w:val="0"/>
                <w:i w:val="0"/>
                <w:color w:val="1F2937"/>
                <w:sz w:val="14"/>
              </w:rPr>
              <w:t>Reconciled data and restore/export proof</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WP5</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Payments, refunds &amp; banking</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Provider selection, checkout, signed webhooks, ledger, refunds, settlement, bank fallback</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Commission; provider/bank quotes</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Sandbox + production UAT; no duplicate posting</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WP6</w:t>
            </w:r>
          </w:p>
        </w:tc>
        <w:tc>
          <w:tcPr>
            <w:tcW w:type="dxa" w:w="1700"/>
            <w:tcMar>
              <w:top w:w="80" w:type="dxa"/>
              <w:start w:w="120" w:type="dxa"/>
              <w:bottom w:w="80" w:type="dxa"/>
              <w:end w:w="120" w:type="dxa"/>
            </w:tcMar>
            <w:vAlign w:val="center"/>
          </w:tcPr>
          <w:p>
            <w:r>
              <w:rPr>
                <w:rFonts w:ascii="Calibri" w:hAnsi="Calibri"/>
                <w:b w:val="0"/>
                <w:i w:val="0"/>
                <w:color w:val="1F2937"/>
                <w:sz w:val="14"/>
              </w:rPr>
              <w:t>SMS, email, push, WhatsApp &amp; İYS</w:t>
            </w:r>
          </w:p>
        </w:tc>
        <w:tc>
          <w:tcPr>
            <w:tcW w:type="dxa" w:w="3250"/>
            <w:tcMar>
              <w:top w:w="80" w:type="dxa"/>
              <w:start w:w="120" w:type="dxa"/>
              <w:bottom w:w="80" w:type="dxa"/>
              <w:end w:w="120" w:type="dxa"/>
            </w:tcMar>
            <w:vAlign w:val="center"/>
          </w:tcPr>
          <w:p>
            <w:r>
              <w:rPr>
                <w:rFonts w:ascii="Calibri" w:hAnsi="Calibri"/>
                <w:b w:val="0"/>
                <w:i w:val="0"/>
                <w:color w:val="1F2937"/>
                <w:sz w:val="14"/>
              </w:rPr>
              <w:t>Message classes, providers, sender/domain, templates, retries, consent/rejection</w:t>
            </w:r>
          </w:p>
        </w:tc>
        <w:tc>
          <w:tcPr>
            <w:tcW w:type="dxa" w:w="1800"/>
            <w:tcMar>
              <w:top w:w="80" w:type="dxa"/>
              <w:start w:w="120" w:type="dxa"/>
              <w:bottom w:w="80" w:type="dxa"/>
              <w:end w:w="120" w:type="dxa"/>
            </w:tcMar>
            <w:vAlign w:val="center"/>
          </w:tcPr>
          <w:p>
            <w:r>
              <w:rPr>
                <w:rFonts w:ascii="Calibri" w:hAnsi="Calibri"/>
                <w:b w:val="0"/>
                <w:i w:val="0"/>
                <w:color w:val="1F2937"/>
                <w:sz w:val="14"/>
              </w:rPr>
              <w:t>Packages/subscriptions/BSP quote</w:t>
            </w:r>
          </w:p>
        </w:tc>
        <w:tc>
          <w:tcPr>
            <w:tcW w:type="dxa" w:w="2010"/>
            <w:tcMar>
              <w:top w:w="80" w:type="dxa"/>
              <w:start w:w="120" w:type="dxa"/>
              <w:bottom w:w="80" w:type="dxa"/>
              <w:end w:w="120" w:type="dxa"/>
            </w:tcMar>
            <w:vAlign w:val="center"/>
          </w:tcPr>
          <w:p>
            <w:r>
              <w:rPr>
                <w:rFonts w:ascii="Calibri" w:hAnsi="Calibri"/>
                <w:b w:val="0"/>
                <w:i w:val="0"/>
                <w:color w:val="1F2937"/>
                <w:sz w:val="14"/>
              </w:rPr>
              <w:t>Delivery, bounce, opt-out and fallback evidence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WP7</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e-Fatura/e-Arşiv, KEP &amp; e-sign</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Accountant-approved route, certificates, invoice/archive/reconciliation</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Activation/credits/certificates/KEP quote</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Successful test documents and archive controls</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WP8</w:t>
            </w:r>
          </w:p>
        </w:tc>
        <w:tc>
          <w:tcPr>
            <w:tcW w:type="dxa" w:w="1700"/>
            <w:tcMar>
              <w:top w:w="80" w:type="dxa"/>
              <w:start w:w="120" w:type="dxa"/>
              <w:bottom w:w="80" w:type="dxa"/>
              <w:end w:w="120" w:type="dxa"/>
            </w:tcMar>
            <w:vAlign w:val="center"/>
          </w:tcPr>
          <w:p>
            <w:r>
              <w:rPr>
                <w:rFonts w:ascii="Calibri" w:hAnsi="Calibri"/>
                <w:b w:val="0"/>
                <w:i w:val="0"/>
                <w:color w:val="1F2937"/>
                <w:sz w:val="14"/>
              </w:rPr>
              <w:t>EİDS, TTYS &amp; listing operations</w:t>
            </w:r>
          </w:p>
        </w:tc>
        <w:tc>
          <w:tcPr>
            <w:tcW w:type="dxa" w:w="3250"/>
            <w:tcMar>
              <w:top w:w="80" w:type="dxa"/>
              <w:start w:w="120" w:type="dxa"/>
              <w:bottom w:w="80" w:type="dxa"/>
              <w:end w:w="120" w:type="dxa"/>
            </w:tcMar>
            <w:vAlign w:val="center"/>
          </w:tcPr>
          <w:p>
            <w:r>
              <w:rPr>
                <w:rFonts w:ascii="Calibri" w:hAnsi="Calibri"/>
                <w:b w:val="0"/>
                <w:i w:val="0"/>
                <w:color w:val="1F2937"/>
                <w:sz w:val="14"/>
              </w:rPr>
              <w:t>Authority verification, certificate register, portal/social publishing workflow</w:t>
            </w:r>
          </w:p>
        </w:tc>
        <w:tc>
          <w:tcPr>
            <w:tcW w:type="dxa" w:w="1800"/>
            <w:tcMar>
              <w:top w:w="80" w:type="dxa"/>
              <w:start w:w="120" w:type="dxa"/>
              <w:bottom w:w="80" w:type="dxa"/>
              <w:end w:w="120" w:type="dxa"/>
            </w:tcMar>
            <w:vAlign w:val="center"/>
          </w:tcPr>
          <w:p>
            <w:r>
              <w:rPr>
                <w:rFonts w:ascii="Calibri" w:hAnsi="Calibri"/>
                <w:b w:val="0"/>
                <w:i w:val="0"/>
                <w:color w:val="1F2937"/>
                <w:sz w:val="14"/>
              </w:rPr>
              <w:t>Statutory fee; portal/API quote</w:t>
            </w:r>
          </w:p>
        </w:tc>
        <w:tc>
          <w:tcPr>
            <w:tcW w:type="dxa" w:w="2010"/>
            <w:tcMar>
              <w:top w:w="80" w:type="dxa"/>
              <w:start w:w="120" w:type="dxa"/>
              <w:bottom w:w="80" w:type="dxa"/>
              <w:end w:w="120" w:type="dxa"/>
            </w:tcMar>
            <w:vAlign w:val="center"/>
          </w:tcPr>
          <w:p>
            <w:r>
              <w:rPr>
                <w:rFonts w:ascii="Calibri" w:hAnsi="Calibri"/>
                <w:b w:val="0"/>
                <w:i w:val="0"/>
                <w:color w:val="1F2937"/>
                <w:sz w:val="14"/>
              </w:rPr>
              <w:t>Verified listing journey and audit evidence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WP9</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AI routing &amp; governance</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Provider gateway, redaction, retrieval, caps, approvals, evals, audit</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Token/tool/image/search usage</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Safety and quality thresholds passed</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WP10</w:t>
            </w:r>
          </w:p>
        </w:tc>
        <w:tc>
          <w:tcPr>
            <w:tcW w:type="dxa" w:w="1700"/>
            <w:tcMar>
              <w:top w:w="80" w:type="dxa"/>
              <w:start w:w="120" w:type="dxa"/>
              <w:bottom w:w="80" w:type="dxa"/>
              <w:end w:w="120" w:type="dxa"/>
            </w:tcMar>
            <w:vAlign w:val="center"/>
          </w:tcPr>
          <w:p>
            <w:r>
              <w:rPr>
                <w:rFonts w:ascii="Calibri" w:hAnsi="Calibri"/>
                <w:b w:val="0"/>
                <w:i w:val="0"/>
                <w:color w:val="1F2937"/>
                <w:sz w:val="14"/>
              </w:rPr>
              <w:t>Maps, portals, calendar &amp; remaining adapters</w:t>
            </w:r>
          </w:p>
        </w:tc>
        <w:tc>
          <w:tcPr>
            <w:tcW w:type="dxa" w:w="3250"/>
            <w:tcMar>
              <w:top w:w="80" w:type="dxa"/>
              <w:start w:w="120" w:type="dxa"/>
              <w:bottom w:w="80" w:type="dxa"/>
              <w:end w:w="120" w:type="dxa"/>
            </w:tcMar>
            <w:vAlign w:val="center"/>
          </w:tcPr>
          <w:p>
            <w:r>
              <w:rPr>
                <w:rFonts w:ascii="Calibri" w:hAnsi="Calibri"/>
                <w:b w:val="0"/>
                <w:i w:val="0"/>
                <w:color w:val="1F2937"/>
                <w:sz w:val="14"/>
              </w:rPr>
              <w:t>Usage controls and approved provider connections</w:t>
            </w:r>
          </w:p>
        </w:tc>
        <w:tc>
          <w:tcPr>
            <w:tcW w:type="dxa" w:w="1800"/>
            <w:tcMar>
              <w:top w:w="80" w:type="dxa"/>
              <w:start w:w="120" w:type="dxa"/>
              <w:bottom w:w="80" w:type="dxa"/>
              <w:end w:w="120" w:type="dxa"/>
            </w:tcMar>
            <w:vAlign w:val="center"/>
          </w:tcPr>
          <w:p>
            <w:r>
              <w:rPr>
                <w:rFonts w:ascii="Calibri" w:hAnsi="Calibri"/>
                <w:b w:val="0"/>
                <w:i w:val="0"/>
                <w:color w:val="1F2937"/>
                <w:sz w:val="14"/>
              </w:rPr>
              <w:t>Maps/portal/calendar/bank quotes</w:t>
            </w:r>
          </w:p>
        </w:tc>
        <w:tc>
          <w:tcPr>
            <w:tcW w:type="dxa" w:w="2010"/>
            <w:tcMar>
              <w:top w:w="80" w:type="dxa"/>
              <w:start w:w="120" w:type="dxa"/>
              <w:bottom w:w="80" w:type="dxa"/>
              <w:end w:w="120" w:type="dxa"/>
            </w:tcMar>
            <w:vAlign w:val="center"/>
          </w:tcPr>
          <w:p>
            <w:r>
              <w:rPr>
                <w:rFonts w:ascii="Calibri" w:hAnsi="Calibri"/>
                <w:b w:val="0"/>
                <w:i w:val="0"/>
                <w:color w:val="1F2937"/>
                <w:sz w:val="14"/>
              </w:rPr>
              <w:t>Provider-by-provider UAT and fallback</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WP11</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Physical systems</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Site survey, hardware/API/network/licence design, access/camera/meter adapters</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Hardware/installer/connectivity quote</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Safe outage behavior and legal approval</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WP12</w:t>
            </w:r>
          </w:p>
        </w:tc>
        <w:tc>
          <w:tcPr>
            <w:tcW w:type="dxa" w:w="1700"/>
            <w:tcMar>
              <w:top w:w="80" w:type="dxa"/>
              <w:start w:w="120" w:type="dxa"/>
              <w:bottom w:w="80" w:type="dxa"/>
              <w:end w:w="120" w:type="dxa"/>
            </w:tcMar>
            <w:vAlign w:val="center"/>
          </w:tcPr>
          <w:p>
            <w:r>
              <w:rPr>
                <w:rFonts w:ascii="Calibri" w:hAnsi="Calibri"/>
                <w:b w:val="0"/>
                <w:i w:val="0"/>
                <w:color w:val="1F2937"/>
                <w:sz w:val="14"/>
              </w:rPr>
              <w:t>Security, monitoring &amp; recovery</w:t>
            </w:r>
          </w:p>
        </w:tc>
        <w:tc>
          <w:tcPr>
            <w:tcW w:type="dxa" w:w="3250"/>
            <w:tcMar>
              <w:top w:w="80" w:type="dxa"/>
              <w:start w:w="120" w:type="dxa"/>
              <w:bottom w:w="80" w:type="dxa"/>
              <w:end w:w="120" w:type="dxa"/>
            </w:tcMar>
            <w:vAlign w:val="center"/>
          </w:tcPr>
          <w:p>
            <w:r>
              <w:rPr>
                <w:rFonts w:ascii="Calibri" w:hAnsi="Calibri"/>
                <w:b w:val="0"/>
                <w:i w:val="0"/>
                <w:color w:val="1F2937"/>
                <w:sz w:val="14"/>
              </w:rPr>
              <w:t>Threat/RLS review, penetration test, alerts, backup/restore, incident exercises</w:t>
            </w:r>
          </w:p>
        </w:tc>
        <w:tc>
          <w:tcPr>
            <w:tcW w:type="dxa" w:w="1800"/>
            <w:tcMar>
              <w:top w:w="80" w:type="dxa"/>
              <w:start w:w="120" w:type="dxa"/>
              <w:bottom w:w="80" w:type="dxa"/>
              <w:end w:w="120" w:type="dxa"/>
            </w:tcMar>
            <w:vAlign w:val="center"/>
          </w:tcPr>
          <w:p>
            <w:r>
              <w:rPr>
                <w:rFonts w:ascii="Calibri" w:hAnsi="Calibri"/>
                <w:b w:val="0"/>
                <w:i w:val="0"/>
                <w:color w:val="1F2937"/>
                <w:sz w:val="14"/>
              </w:rPr>
              <w:t>Security/support/insurance quotes</w:t>
            </w:r>
          </w:p>
        </w:tc>
        <w:tc>
          <w:tcPr>
            <w:tcW w:type="dxa" w:w="2010"/>
            <w:tcMar>
              <w:top w:w="80" w:type="dxa"/>
              <w:start w:w="120" w:type="dxa"/>
              <w:bottom w:w="80" w:type="dxa"/>
              <w:end w:w="120" w:type="dxa"/>
            </w:tcMar>
            <w:vAlign w:val="center"/>
          </w:tcPr>
          <w:p>
            <w:r>
              <w:rPr>
                <w:rFonts w:ascii="Calibri" w:hAnsi="Calibri"/>
                <w:b w:val="0"/>
                <w:i w:val="0"/>
                <w:color w:val="1F2937"/>
                <w:sz w:val="14"/>
              </w:rPr>
              <w:t>No critical findings; restore and incident evidence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WP13</w:t>
            </w:r>
          </w:p>
        </w:tc>
        <w:tc>
          <w:tcPr>
            <w:tcW w:type="dxa" w:w="1700"/>
            <w:shd w:fill="F8FAFC"/>
            <w:tcMar>
              <w:top w:w="80" w:type="dxa"/>
              <w:start w:w="120" w:type="dxa"/>
              <w:bottom w:w="80" w:type="dxa"/>
              <w:end w:w="120" w:type="dxa"/>
            </w:tcMar>
            <w:vAlign w:val="center"/>
          </w:tcPr>
          <w:p>
            <w:r>
              <w:rPr>
                <w:rFonts w:ascii="Calibri" w:hAnsi="Calibri"/>
                <w:b w:val="0"/>
                <w:i w:val="0"/>
                <w:color w:val="1F2937"/>
                <w:sz w:val="14"/>
              </w:rPr>
              <w:t>UAT, launch, training &amp; hypercare</w:t>
            </w:r>
          </w:p>
        </w:tc>
        <w:tc>
          <w:tcPr>
            <w:tcW w:type="dxa" w:w="3250"/>
            <w:shd w:fill="F8FAFC"/>
            <w:tcMar>
              <w:top w:w="80" w:type="dxa"/>
              <w:start w:w="120" w:type="dxa"/>
              <w:bottom w:w="80" w:type="dxa"/>
              <w:end w:w="120" w:type="dxa"/>
            </w:tcMar>
            <w:vAlign w:val="center"/>
          </w:tcPr>
          <w:p>
            <w:r>
              <w:rPr>
                <w:rFonts w:ascii="Calibri" w:hAnsi="Calibri"/>
                <w:b w:val="0"/>
                <w:i w:val="0"/>
                <w:color w:val="1F2937"/>
                <w:sz w:val="14"/>
              </w:rPr>
              <w:t>Role UAT, performance, cutover, rollback, training, handover, hypercare</w:t>
            </w:r>
          </w:p>
        </w:tc>
        <w:tc>
          <w:tcPr>
            <w:tcW w:type="dxa" w:w="1800"/>
            <w:shd w:fill="F8FAFC"/>
            <w:tcMar>
              <w:top w:w="80" w:type="dxa"/>
              <w:start w:w="120" w:type="dxa"/>
              <w:bottom w:w="80" w:type="dxa"/>
              <w:end w:w="120" w:type="dxa"/>
            </w:tcMar>
            <w:vAlign w:val="center"/>
          </w:tcPr>
          <w:p>
            <w:r>
              <w:rPr>
                <w:rFonts w:ascii="Calibri" w:hAnsi="Calibri"/>
                <w:b w:val="0"/>
                <w:i w:val="0"/>
                <w:color w:val="1F2937"/>
                <w:sz w:val="14"/>
              </w:rPr>
              <w:t>Training/support/on-call quote</w:t>
            </w:r>
          </w:p>
        </w:tc>
        <w:tc>
          <w:tcPr>
            <w:tcW w:type="dxa" w:w="2010"/>
            <w:shd w:fill="F8FAFC"/>
            <w:tcMar>
              <w:top w:w="80" w:type="dxa"/>
              <w:start w:w="120" w:type="dxa"/>
              <w:bottom w:w="80" w:type="dxa"/>
              <w:end w:w="120" w:type="dxa"/>
            </w:tcMar>
            <w:vAlign w:val="center"/>
          </w:tcPr>
          <w:p>
            <w:r>
              <w:rPr>
                <w:rFonts w:ascii="Calibri" w:hAnsi="Calibri"/>
                <w:b w:val="0"/>
                <w:i w:val="0"/>
                <w:color w:val="1F2937"/>
                <w:sz w:val="14"/>
              </w:rPr>
              <w:t>Signed UAT, go/no-go and operational acceptance</w:t>
            </w:r>
          </w:p>
        </w:tc>
      </w:tr>
    </w:tbl>
    <w:p>
      <w:pPr>
        <w:pStyle w:val="Heading2"/>
      </w:pPr>
      <w:r>
        <w:t>11.1 Work-package estimating rule</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cantSplit/>
          <w:tblHeader w:val="true"/>
        </w:trPr>
        <w:tc>
          <w:tcPr>
            <w:tcW w:type="dxa" w:w="9360"/>
            <w:shd w:fill="EAF2F8"/>
            <w:tcMar>
              <w:top w:w="80" w:type="dxa"/>
              <w:start w:w="120" w:type="dxa"/>
              <w:bottom w:w="80" w:type="dxa"/>
              <w:end w:w="120" w:type="dxa"/>
            </w:tcMar>
            <w:vAlign w:val="center"/>
          </w:tcPr>
          <w:p>
            <w:r>
              <w:rPr>
                <w:rFonts w:ascii="Calibri" w:hAnsi="Calibri"/>
                <w:b/>
                <w:i w:val="0"/>
                <w:color w:val="2E74B5"/>
                <w:sz w:val="20"/>
              </w:rPr>
              <w:t>PERT planning formula</w:t>
              <w:br/>
            </w:r>
            <w:r>
              <w:rPr>
                <w:rFonts w:ascii="Calibri" w:hAnsi="Calibri"/>
                <w:b w:val="0"/>
                <w:i w:val="0"/>
                <w:color w:val="1F2937"/>
                <w:sz w:val="19"/>
              </w:rPr>
              <w:t>Expected days = (minimum + 4 × likely + maximum) ÷ 6. Expected labour = expected days × chosen blended day rate. Package estimate = (expected labour + external setup) × (1 + package contingency). Labour currency and exchange rate must be explicit; do not mix EUR/USD/TRY silently.</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300"/>
        <w:gridCol w:w="6060"/>
      </w:tblGrid>
      <w:tr>
        <w:trPr>
          <w:cantSplit/>
          <w:tblHeader w:val="true"/>
          <w:cantSplit/>
        </w:trPr>
        <w:tc>
          <w:tcPr>
            <w:tcW w:type="dxa" w:w="3300"/>
            <w:shd w:fill="102A43"/>
            <w:tcMar>
              <w:top w:w="80" w:type="dxa"/>
              <w:start w:w="120" w:type="dxa"/>
              <w:bottom w:w="80" w:type="dxa"/>
              <w:end w:w="120" w:type="dxa"/>
            </w:tcMar>
            <w:vAlign w:val="center"/>
          </w:tcPr>
          <w:p>
            <w:r>
              <w:rPr>
                <w:rFonts w:ascii="Calibri" w:hAnsi="Calibri"/>
                <w:b/>
                <w:i w:val="0"/>
                <w:color w:val="FFFFFF"/>
                <w:sz w:val="17"/>
              </w:rPr>
              <w:t>Field required for each WP</w:t>
            </w:r>
          </w:p>
        </w:tc>
        <w:tc>
          <w:tcPr>
            <w:tcW w:type="dxa" w:w="6060"/>
            <w:shd w:fill="102A43"/>
            <w:tcMar>
              <w:top w:w="80" w:type="dxa"/>
              <w:start w:w="120" w:type="dxa"/>
              <w:bottom w:w="80" w:type="dxa"/>
              <w:end w:w="120" w:type="dxa"/>
            </w:tcMar>
            <w:vAlign w:val="center"/>
          </w:tcPr>
          <w:p>
            <w:r>
              <w:rPr>
                <w:rFonts w:ascii="Calibri" w:hAnsi="Calibri"/>
                <w:b/>
                <w:i w:val="0"/>
                <w:color w:val="FFFFFF"/>
                <w:sz w:val="17"/>
              </w:rPr>
              <w:t>Why it matters</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7"/>
              </w:rPr>
              <w:t>Minimum / likely / maximum days</w:t>
            </w:r>
          </w:p>
        </w:tc>
        <w:tc>
          <w:tcPr>
            <w:tcW w:type="dxa" w:w="6060"/>
            <w:tcMar>
              <w:top w:w="80" w:type="dxa"/>
              <w:start w:w="120" w:type="dxa"/>
              <w:bottom w:w="80" w:type="dxa"/>
              <w:end w:w="120" w:type="dxa"/>
            </w:tcMar>
            <w:vAlign w:val="center"/>
          </w:tcPr>
          <w:p>
            <w:r>
              <w:rPr>
                <w:rFonts w:ascii="Calibri" w:hAnsi="Calibri"/>
                <w:b w:val="0"/>
                <w:i w:val="0"/>
                <w:color w:val="1F2937"/>
                <w:sz w:val="17"/>
              </w:rPr>
              <w:t>Captures delivery uncertainty rather than one false point estimate.</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7"/>
              </w:rPr>
              <w:t>Blended day rate and currency</w:t>
            </w:r>
          </w:p>
        </w:tc>
        <w:tc>
          <w:tcPr>
            <w:tcW w:type="dxa" w:w="6060"/>
            <w:shd w:fill="F8FAFC"/>
            <w:tcMar>
              <w:top w:w="80" w:type="dxa"/>
              <w:start w:w="120" w:type="dxa"/>
              <w:bottom w:w="80" w:type="dxa"/>
              <w:end w:w="120" w:type="dxa"/>
            </w:tcMar>
            <w:vAlign w:val="center"/>
          </w:tcPr>
          <w:p>
            <w:r>
              <w:rPr>
                <w:rFonts w:ascii="Calibri" w:hAnsi="Calibri"/>
                <w:b w:val="0"/>
                <w:i w:val="0"/>
                <w:color w:val="1F2937"/>
                <w:sz w:val="17"/>
              </w:rPr>
              <w:t>Makes internal/external professional cost auditable.</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7"/>
              </w:rPr>
              <w:t>Third-party setup cost</w:t>
            </w:r>
          </w:p>
        </w:tc>
        <w:tc>
          <w:tcPr>
            <w:tcW w:type="dxa" w:w="6060"/>
            <w:tcMar>
              <w:top w:w="80" w:type="dxa"/>
              <w:start w:w="120" w:type="dxa"/>
              <w:bottom w:w="80" w:type="dxa"/>
              <w:end w:w="120" w:type="dxa"/>
            </w:tcMar>
            <w:vAlign w:val="center"/>
          </w:tcPr>
          <w:p>
            <w:r>
              <w:rPr>
                <w:rFonts w:ascii="Calibri" w:hAnsi="Calibri"/>
                <w:b w:val="0"/>
                <w:i w:val="0"/>
                <w:color w:val="1F2937"/>
                <w:sz w:val="17"/>
              </w:rPr>
              <w:t>Separates implementation labour from provider activation/hardware.</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7"/>
              </w:rPr>
              <w:t>Risk contingency</w:t>
            </w:r>
          </w:p>
        </w:tc>
        <w:tc>
          <w:tcPr>
            <w:tcW w:type="dxa" w:w="6060"/>
            <w:shd w:fill="F8FAFC"/>
            <w:tcMar>
              <w:top w:w="80" w:type="dxa"/>
              <w:start w:w="120" w:type="dxa"/>
              <w:bottom w:w="80" w:type="dxa"/>
              <w:end w:w="120" w:type="dxa"/>
            </w:tcMar>
            <w:vAlign w:val="center"/>
          </w:tcPr>
          <w:p>
            <w:r>
              <w:rPr>
                <w:rFonts w:ascii="Calibri" w:hAnsi="Calibri"/>
                <w:b w:val="0"/>
                <w:i w:val="0"/>
                <w:color w:val="1F2937"/>
                <w:sz w:val="17"/>
              </w:rPr>
              <w:t>Reflects unknown provider/API/data/site conditions; it is not a vendor fee.</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7"/>
              </w:rPr>
              <w:t>Trigger stage</w:t>
            </w:r>
          </w:p>
        </w:tc>
        <w:tc>
          <w:tcPr>
            <w:tcW w:type="dxa" w:w="6060"/>
            <w:tcMar>
              <w:top w:w="80" w:type="dxa"/>
              <w:start w:w="120" w:type="dxa"/>
              <w:bottom w:w="80" w:type="dxa"/>
              <w:end w:w="120" w:type="dxa"/>
            </w:tcMar>
            <w:vAlign w:val="center"/>
          </w:tcPr>
          <w:p>
            <w:r>
              <w:rPr>
                <w:rFonts w:ascii="Calibri" w:hAnsi="Calibri"/>
                <w:b w:val="0"/>
                <w:i w:val="0"/>
                <w:color w:val="1F2937"/>
                <w:sz w:val="17"/>
              </w:rPr>
              <w:t>Prevents paying for later work before prerequisites are approved.</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7"/>
              </w:rPr>
              <w:t>Owner and evidence</w:t>
            </w:r>
          </w:p>
        </w:tc>
        <w:tc>
          <w:tcPr>
            <w:tcW w:type="dxa" w:w="6060"/>
            <w:shd w:fill="F8FAFC"/>
            <w:tcMar>
              <w:top w:w="80" w:type="dxa"/>
              <w:start w:w="120" w:type="dxa"/>
              <w:bottom w:w="80" w:type="dxa"/>
              <w:end w:w="120" w:type="dxa"/>
            </w:tcMar>
            <w:vAlign w:val="center"/>
          </w:tcPr>
          <w:p>
            <w:r>
              <w:rPr>
                <w:rFonts w:ascii="Calibri" w:hAnsi="Calibri"/>
                <w:b w:val="0"/>
                <w:i w:val="0"/>
                <w:color w:val="1F2937"/>
                <w:sz w:val="17"/>
              </w:rPr>
              <w:t>Allows a package to be closed only when the production proof exists.</w:t>
            </w:r>
          </w:p>
        </w:tc>
      </w:tr>
    </w:tbl>
    <w:p>
      <w:pPr>
        <w:pStyle w:val="Heading2"/>
      </w:pPr>
      <w:r>
        <w:t>11.2 Recommended stage grouping</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500"/>
        <w:gridCol w:w="1800"/>
        <w:gridCol w:w="6060"/>
      </w:tblGrid>
      <w:tr>
        <w:trPr>
          <w:cantSplit/>
          <w:tblHeader w:val="true"/>
          <w:cantSplit/>
        </w:trPr>
        <w:tc>
          <w:tcPr>
            <w:tcW w:type="dxa" w:w="1500"/>
            <w:shd w:fill="102A43"/>
            <w:tcMar>
              <w:top w:w="80" w:type="dxa"/>
              <w:start w:w="120" w:type="dxa"/>
              <w:bottom w:w="80" w:type="dxa"/>
              <w:end w:w="120" w:type="dxa"/>
            </w:tcMar>
            <w:vAlign w:val="center"/>
          </w:tcPr>
          <w:p>
            <w:r>
              <w:rPr>
                <w:rFonts w:ascii="Calibri" w:hAnsi="Calibri"/>
                <w:b/>
                <w:i w:val="0"/>
                <w:color w:val="FFFFFF"/>
                <w:sz w:val="16"/>
              </w:rPr>
              <w:t>Stage</w:t>
            </w:r>
          </w:p>
        </w:tc>
        <w:tc>
          <w:tcPr>
            <w:tcW w:type="dxa" w:w="1800"/>
            <w:shd w:fill="102A43"/>
            <w:tcMar>
              <w:top w:w="80" w:type="dxa"/>
              <w:start w:w="120" w:type="dxa"/>
              <w:bottom w:w="80" w:type="dxa"/>
              <w:end w:w="120" w:type="dxa"/>
            </w:tcMar>
            <w:vAlign w:val="center"/>
          </w:tcPr>
          <w:p>
            <w:r>
              <w:rPr>
                <w:rFonts w:ascii="Calibri" w:hAnsi="Calibri"/>
                <w:b/>
                <w:i w:val="0"/>
                <w:color w:val="FFFFFF"/>
                <w:sz w:val="16"/>
              </w:rPr>
              <w:t>Packages</w:t>
            </w:r>
          </w:p>
        </w:tc>
        <w:tc>
          <w:tcPr>
            <w:tcW w:type="dxa" w:w="6060"/>
            <w:shd w:fill="102A43"/>
            <w:tcMar>
              <w:top w:w="80" w:type="dxa"/>
              <w:start w:w="120" w:type="dxa"/>
              <w:bottom w:w="80" w:type="dxa"/>
              <w:end w:w="120" w:type="dxa"/>
            </w:tcMar>
            <w:vAlign w:val="center"/>
          </w:tcPr>
          <w:p>
            <w:r>
              <w:rPr>
                <w:rFonts w:ascii="Calibri" w:hAnsi="Calibri"/>
                <w:b/>
                <w:i w:val="0"/>
                <w:color w:val="FFFFFF"/>
                <w:sz w:val="16"/>
              </w:rPr>
              <w:t>Management outcome</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A — Decide</w:t>
            </w:r>
          </w:p>
        </w:tc>
        <w:tc>
          <w:tcPr>
            <w:tcW w:type="dxa" w:w="1800"/>
            <w:tcMar>
              <w:top w:w="80" w:type="dxa"/>
              <w:start w:w="120" w:type="dxa"/>
              <w:bottom w:w="80" w:type="dxa"/>
              <w:end w:w="120" w:type="dxa"/>
            </w:tcMar>
            <w:vAlign w:val="center"/>
          </w:tcPr>
          <w:p>
            <w:r>
              <w:rPr>
                <w:rFonts w:ascii="Calibri" w:hAnsi="Calibri"/>
                <w:b w:val="0"/>
                <w:i w:val="0"/>
                <w:color w:val="1F2937"/>
                <w:sz w:val="16"/>
              </w:rPr>
              <w:t>WP0–WP2</w:t>
            </w:r>
          </w:p>
        </w:tc>
        <w:tc>
          <w:tcPr>
            <w:tcW w:type="dxa" w:w="6060"/>
            <w:tcMar>
              <w:top w:w="80" w:type="dxa"/>
              <w:start w:w="120" w:type="dxa"/>
              <w:bottom w:w="80" w:type="dxa"/>
              <w:end w:w="120" w:type="dxa"/>
            </w:tcMar>
            <w:vAlign w:val="center"/>
          </w:tcPr>
          <w:p>
            <w:r>
              <w:rPr>
                <w:rFonts w:ascii="Calibri" w:hAnsi="Calibri"/>
                <w:b w:val="0"/>
                <w:i w:val="0"/>
                <w:color w:val="1F2937"/>
                <w:sz w:val="16"/>
              </w:rPr>
              <w:t>Operating model, legal route, data location, ownership and procurement envelope approved.</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B — Build foundation</w:t>
            </w:r>
          </w:p>
        </w:tc>
        <w:tc>
          <w:tcPr>
            <w:tcW w:type="dxa" w:w="1800"/>
            <w:shd w:fill="F8FAFC"/>
            <w:tcMar>
              <w:top w:w="80" w:type="dxa"/>
              <w:start w:w="120" w:type="dxa"/>
              <w:bottom w:w="80" w:type="dxa"/>
              <w:end w:w="120" w:type="dxa"/>
            </w:tcMar>
            <w:vAlign w:val="center"/>
          </w:tcPr>
          <w:p>
            <w:r>
              <w:rPr>
                <w:rFonts w:ascii="Calibri" w:hAnsi="Calibri"/>
                <w:b w:val="0"/>
                <w:i w:val="0"/>
                <w:color w:val="1F2937"/>
                <w:sz w:val="16"/>
              </w:rPr>
              <w:t>WP3–WP4</w:t>
            </w:r>
          </w:p>
        </w:tc>
        <w:tc>
          <w:tcPr>
            <w:tcW w:type="dxa" w:w="6060"/>
            <w:shd w:fill="F8FAFC"/>
            <w:tcMar>
              <w:top w:w="80" w:type="dxa"/>
              <w:start w:w="120" w:type="dxa"/>
              <w:bottom w:w="80" w:type="dxa"/>
              <w:end w:w="120" w:type="dxa"/>
            </w:tcMar>
            <w:vAlign w:val="center"/>
          </w:tcPr>
          <w:p>
            <w:r>
              <w:rPr>
                <w:rFonts w:ascii="Calibri" w:hAnsi="Calibri"/>
                <w:b w:val="0"/>
                <w:i w:val="0"/>
                <w:color w:val="1F2937"/>
                <w:sz w:val="16"/>
              </w:rPr>
              <w:t>Real identity/data/storage foundation is secure, reconciled and recoverable.</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C — Connect revenue and communications</w:t>
            </w:r>
          </w:p>
        </w:tc>
        <w:tc>
          <w:tcPr>
            <w:tcW w:type="dxa" w:w="1800"/>
            <w:tcMar>
              <w:top w:w="80" w:type="dxa"/>
              <w:start w:w="120" w:type="dxa"/>
              <w:bottom w:w="80" w:type="dxa"/>
              <w:end w:w="120" w:type="dxa"/>
            </w:tcMar>
            <w:vAlign w:val="center"/>
          </w:tcPr>
          <w:p>
            <w:r>
              <w:rPr>
                <w:rFonts w:ascii="Calibri" w:hAnsi="Calibri"/>
                <w:b w:val="0"/>
                <w:i w:val="0"/>
                <w:color w:val="1F2937"/>
                <w:sz w:val="16"/>
              </w:rPr>
              <w:t>WP5–WP8</w:t>
            </w:r>
          </w:p>
        </w:tc>
        <w:tc>
          <w:tcPr>
            <w:tcW w:type="dxa" w:w="6060"/>
            <w:tcMar>
              <w:top w:w="80" w:type="dxa"/>
              <w:start w:w="120" w:type="dxa"/>
              <w:bottom w:w="80" w:type="dxa"/>
              <w:end w:w="120" w:type="dxa"/>
            </w:tcMar>
            <w:vAlign w:val="center"/>
          </w:tcPr>
          <w:p>
            <w:r>
              <w:rPr>
                <w:rFonts w:ascii="Calibri" w:hAnsi="Calibri"/>
                <w:b w:val="0"/>
                <w:i w:val="0"/>
                <w:color w:val="1F2937"/>
                <w:sz w:val="16"/>
              </w:rPr>
              <w:t>Payments, messages, e-documents and listings work with legal evidence and fallback.</w:t>
            </w:r>
          </w:p>
        </w:tc>
      </w:tr>
      <w:tr>
        <w:trPr>
          <w:cantSplit/>
        </w:trPr>
        <w:tc>
          <w:tcPr>
            <w:tcW w:type="dxa" w:w="1500"/>
            <w:shd w:fill="F8FAFC"/>
            <w:tcMar>
              <w:top w:w="80" w:type="dxa"/>
              <w:start w:w="120" w:type="dxa"/>
              <w:bottom w:w="80" w:type="dxa"/>
              <w:end w:w="120" w:type="dxa"/>
            </w:tcMar>
            <w:vAlign w:val="center"/>
          </w:tcPr>
          <w:p>
            <w:r>
              <w:rPr>
                <w:rFonts w:ascii="Calibri" w:hAnsi="Calibri"/>
                <w:b/>
                <w:i w:val="0"/>
                <w:color w:val="102A43"/>
                <w:sz w:val="16"/>
              </w:rPr>
              <w:t>D — Differentiate and integrate</w:t>
            </w:r>
          </w:p>
        </w:tc>
        <w:tc>
          <w:tcPr>
            <w:tcW w:type="dxa" w:w="1800"/>
            <w:shd w:fill="F8FAFC"/>
            <w:tcMar>
              <w:top w:w="80" w:type="dxa"/>
              <w:start w:w="120" w:type="dxa"/>
              <w:bottom w:w="80" w:type="dxa"/>
              <w:end w:w="120" w:type="dxa"/>
            </w:tcMar>
            <w:vAlign w:val="center"/>
          </w:tcPr>
          <w:p>
            <w:r>
              <w:rPr>
                <w:rFonts w:ascii="Calibri" w:hAnsi="Calibri"/>
                <w:b w:val="0"/>
                <w:i w:val="0"/>
                <w:color w:val="1F2937"/>
                <w:sz w:val="16"/>
              </w:rPr>
              <w:t>WP9–WP11</w:t>
            </w:r>
          </w:p>
        </w:tc>
        <w:tc>
          <w:tcPr>
            <w:tcW w:type="dxa" w:w="6060"/>
            <w:shd w:fill="F8FAFC"/>
            <w:tcMar>
              <w:top w:w="80" w:type="dxa"/>
              <w:start w:w="120" w:type="dxa"/>
              <w:bottom w:w="80" w:type="dxa"/>
              <w:end w:w="120" w:type="dxa"/>
            </w:tcMar>
            <w:vAlign w:val="center"/>
          </w:tcPr>
          <w:p>
            <w:r>
              <w:rPr>
                <w:rFonts w:ascii="Calibri" w:hAnsi="Calibri"/>
                <w:b w:val="0"/>
                <w:i w:val="0"/>
                <w:color w:val="1F2937"/>
                <w:sz w:val="16"/>
              </w:rPr>
              <w:t>Guardrailed AI and approved external/physical adapters deliver controlled value.</w:t>
            </w:r>
          </w:p>
        </w:tc>
      </w:tr>
      <w:tr>
        <w:trPr>
          <w:cantSplit/>
        </w:trPr>
        <w:tc>
          <w:tcPr>
            <w:tcW w:type="dxa" w:w="1500"/>
            <w:tcMar>
              <w:top w:w="80" w:type="dxa"/>
              <w:start w:w="120" w:type="dxa"/>
              <w:bottom w:w="80" w:type="dxa"/>
              <w:end w:w="120" w:type="dxa"/>
            </w:tcMar>
            <w:vAlign w:val="center"/>
          </w:tcPr>
          <w:p>
            <w:r>
              <w:rPr>
                <w:rFonts w:ascii="Calibri" w:hAnsi="Calibri"/>
                <w:b/>
                <w:i w:val="0"/>
                <w:color w:val="102A43"/>
                <w:sz w:val="16"/>
              </w:rPr>
              <w:t>E — Prove and operate</w:t>
            </w:r>
          </w:p>
        </w:tc>
        <w:tc>
          <w:tcPr>
            <w:tcW w:type="dxa" w:w="1800"/>
            <w:tcMar>
              <w:top w:w="80" w:type="dxa"/>
              <w:start w:w="120" w:type="dxa"/>
              <w:bottom w:w="80" w:type="dxa"/>
              <w:end w:w="120" w:type="dxa"/>
            </w:tcMar>
            <w:vAlign w:val="center"/>
          </w:tcPr>
          <w:p>
            <w:r>
              <w:rPr>
                <w:rFonts w:ascii="Calibri" w:hAnsi="Calibri"/>
                <w:b w:val="0"/>
                <w:i w:val="0"/>
                <w:color w:val="1F2937"/>
                <w:sz w:val="16"/>
              </w:rPr>
              <w:t>WP12–WP13</w:t>
            </w:r>
          </w:p>
        </w:tc>
        <w:tc>
          <w:tcPr>
            <w:tcW w:type="dxa" w:w="6060"/>
            <w:tcMar>
              <w:top w:w="80" w:type="dxa"/>
              <w:start w:w="120" w:type="dxa"/>
              <w:bottom w:w="80" w:type="dxa"/>
              <w:end w:w="120" w:type="dxa"/>
            </w:tcMar>
            <w:vAlign w:val="center"/>
          </w:tcPr>
          <w:p>
            <w:r>
              <w:rPr>
                <w:rFonts w:ascii="Calibri" w:hAnsi="Calibri"/>
                <w:b w:val="0"/>
                <w:i w:val="0"/>
                <w:color w:val="1F2937"/>
                <w:sz w:val="16"/>
              </w:rPr>
              <w:t>Security, resilience, UAT, training, launch and hypercare are signed off.</w:t>
            </w:r>
          </w:p>
        </w:tc>
      </w:tr>
    </w:tbl>
    <w:p>
      <w:bookmarkStart w:id="114" w:name="roadmap"/>
      <w:pPr>
        <w:pStyle w:val="Heading1"/>
      </w:pPr>
      <w:r>
        <w:t>12. Procurement, roadmap and go/no-go gates</w:t>
      </w:r>
      <w:bookmarkEnd w:id="114"/>
    </w:p>
    <w:p>
      <w:pPr>
        <w:pStyle w:val="Heading2"/>
      </w:pPr>
      <w:r>
        <w:t>12.1 Provider selection scorecard</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500"/>
        <w:gridCol w:w="1300"/>
        <w:gridCol w:w="5560"/>
      </w:tblGrid>
      <w:tr>
        <w:trPr>
          <w:cantSplit/>
          <w:tblHeader w:val="true"/>
          <w:cantSplit/>
        </w:trPr>
        <w:tc>
          <w:tcPr>
            <w:tcW w:type="dxa" w:w="2500"/>
            <w:shd w:fill="102A43"/>
            <w:tcMar>
              <w:top w:w="80" w:type="dxa"/>
              <w:start w:w="120" w:type="dxa"/>
              <w:bottom w:w="80" w:type="dxa"/>
              <w:end w:w="120" w:type="dxa"/>
            </w:tcMar>
            <w:vAlign w:val="center"/>
          </w:tcPr>
          <w:p>
            <w:r>
              <w:rPr>
                <w:rFonts w:ascii="Calibri" w:hAnsi="Calibri"/>
                <w:b/>
                <w:i w:val="0"/>
                <w:color w:val="FFFFFF"/>
                <w:sz w:val="16"/>
              </w:rPr>
              <w:t>Criterion</w:t>
            </w:r>
          </w:p>
        </w:tc>
        <w:tc>
          <w:tcPr>
            <w:tcW w:type="dxa" w:w="1300"/>
            <w:shd w:fill="102A43"/>
            <w:tcMar>
              <w:top w:w="80" w:type="dxa"/>
              <w:start w:w="120" w:type="dxa"/>
              <w:bottom w:w="80" w:type="dxa"/>
              <w:end w:w="120" w:type="dxa"/>
            </w:tcMar>
            <w:vAlign w:val="center"/>
          </w:tcPr>
          <w:p>
            <w:r>
              <w:rPr>
                <w:rFonts w:ascii="Calibri" w:hAnsi="Calibri"/>
                <w:b/>
                <w:i w:val="0"/>
                <w:color w:val="FFFFFF"/>
                <w:sz w:val="16"/>
              </w:rPr>
              <w:t>Weight guide</w:t>
            </w:r>
          </w:p>
        </w:tc>
        <w:tc>
          <w:tcPr>
            <w:tcW w:type="dxa" w:w="5560"/>
            <w:shd w:fill="102A43"/>
            <w:tcMar>
              <w:top w:w="80" w:type="dxa"/>
              <w:start w:w="120" w:type="dxa"/>
              <w:bottom w:w="80" w:type="dxa"/>
              <w:end w:w="120" w:type="dxa"/>
            </w:tcMar>
            <w:vAlign w:val="center"/>
          </w:tcPr>
          <w:p>
            <w:r>
              <w:rPr>
                <w:rFonts w:ascii="Calibri" w:hAnsi="Calibri"/>
                <w:b/>
                <w:i w:val="0"/>
                <w:color w:val="FFFFFF"/>
                <w:sz w:val="16"/>
              </w:rPr>
              <w:t>Evidence to request</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Regulatory/contract fit</w:t>
            </w:r>
          </w:p>
        </w:tc>
        <w:tc>
          <w:tcPr>
            <w:tcW w:type="dxa" w:w="1300"/>
            <w:tcMar>
              <w:top w:w="80" w:type="dxa"/>
              <w:start w:w="120" w:type="dxa"/>
              <w:bottom w:w="80" w:type="dxa"/>
              <w:end w:w="120" w:type="dxa"/>
            </w:tcMar>
            <w:vAlign w:val="center"/>
          </w:tcPr>
          <w:p>
            <w:r>
              <w:rPr>
                <w:rFonts w:ascii="Calibri" w:hAnsi="Calibri"/>
                <w:b w:val="0"/>
                <w:i w:val="0"/>
                <w:color w:val="1F2937"/>
                <w:sz w:val="16"/>
              </w:rPr>
              <w:t>20%</w:t>
            </w:r>
          </w:p>
        </w:tc>
        <w:tc>
          <w:tcPr>
            <w:tcW w:type="dxa" w:w="5560"/>
            <w:tcMar>
              <w:top w:w="80" w:type="dxa"/>
              <w:start w:w="120" w:type="dxa"/>
              <w:bottom w:w="80" w:type="dxa"/>
              <w:end w:w="120" w:type="dxa"/>
            </w:tcMar>
            <w:vAlign w:val="center"/>
          </w:tcPr>
          <w:p>
            <w:r>
              <w:rPr>
                <w:rFonts w:ascii="Calibri" w:hAnsi="Calibri"/>
                <w:b w:val="0"/>
                <w:i w:val="0"/>
                <w:color w:val="1F2937"/>
                <w:sz w:val="16"/>
              </w:rPr>
              <w:t>Current licence/authorisation, DPA, SCC/support, terms, subcontractors</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Functional fit</w:t>
            </w:r>
          </w:p>
        </w:tc>
        <w:tc>
          <w:tcPr>
            <w:tcW w:type="dxa" w:w="1300"/>
            <w:shd w:fill="F8FAFC"/>
            <w:tcMar>
              <w:top w:w="80" w:type="dxa"/>
              <w:start w:w="120" w:type="dxa"/>
              <w:bottom w:w="80" w:type="dxa"/>
              <w:end w:w="120" w:type="dxa"/>
            </w:tcMar>
            <w:vAlign w:val="center"/>
          </w:tcPr>
          <w:p>
            <w:r>
              <w:rPr>
                <w:rFonts w:ascii="Calibri" w:hAnsi="Calibri"/>
                <w:b w:val="0"/>
                <w:i w:val="0"/>
                <w:color w:val="1F2937"/>
                <w:sz w:val="16"/>
              </w:rPr>
              <w:t>15%</w:t>
            </w:r>
          </w:p>
        </w:tc>
        <w:tc>
          <w:tcPr>
            <w:tcW w:type="dxa" w:w="5560"/>
            <w:shd w:fill="F8FAFC"/>
            <w:tcMar>
              <w:top w:w="80" w:type="dxa"/>
              <w:start w:w="120" w:type="dxa"/>
              <w:bottom w:w="80" w:type="dxa"/>
              <w:end w:w="120" w:type="dxa"/>
            </w:tcMar>
            <w:vAlign w:val="center"/>
          </w:tcPr>
          <w:p>
            <w:r>
              <w:rPr>
                <w:rFonts w:ascii="Calibri" w:hAnsi="Calibri"/>
                <w:b w:val="0"/>
                <w:i w:val="0"/>
                <w:color w:val="1F2937"/>
                <w:sz w:val="16"/>
              </w:rPr>
              <w:t>Required operations, refunds/retries/reports/admin controls</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API and sandbox quality</w:t>
            </w:r>
          </w:p>
        </w:tc>
        <w:tc>
          <w:tcPr>
            <w:tcW w:type="dxa" w:w="1300"/>
            <w:tcMar>
              <w:top w:w="80" w:type="dxa"/>
              <w:start w:w="120" w:type="dxa"/>
              <w:bottom w:w="80" w:type="dxa"/>
              <w:end w:w="120" w:type="dxa"/>
            </w:tcMar>
            <w:vAlign w:val="center"/>
          </w:tcPr>
          <w:p>
            <w:r>
              <w:rPr>
                <w:rFonts w:ascii="Calibri" w:hAnsi="Calibri"/>
                <w:b w:val="0"/>
                <w:i w:val="0"/>
                <w:color w:val="1F2937"/>
                <w:sz w:val="16"/>
              </w:rPr>
              <w:t>15%</w:t>
            </w:r>
          </w:p>
        </w:tc>
        <w:tc>
          <w:tcPr>
            <w:tcW w:type="dxa" w:w="5560"/>
            <w:tcMar>
              <w:top w:w="80" w:type="dxa"/>
              <w:start w:w="120" w:type="dxa"/>
              <w:bottom w:w="80" w:type="dxa"/>
              <w:end w:w="120" w:type="dxa"/>
            </w:tcMar>
            <w:vAlign w:val="center"/>
          </w:tcPr>
          <w:p>
            <w:r>
              <w:rPr>
                <w:rFonts w:ascii="Calibri" w:hAnsi="Calibri"/>
                <w:b w:val="0"/>
                <w:i w:val="0"/>
                <w:color w:val="1F2937"/>
                <w:sz w:val="16"/>
              </w:rPr>
              <w:t>Docs, webhooks, idempotency, test data, error codes, rate limits</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Commercial total cost</w:t>
            </w:r>
          </w:p>
        </w:tc>
        <w:tc>
          <w:tcPr>
            <w:tcW w:type="dxa" w:w="1300"/>
            <w:shd w:fill="F8FAFC"/>
            <w:tcMar>
              <w:top w:w="80" w:type="dxa"/>
              <w:start w:w="120" w:type="dxa"/>
              <w:bottom w:w="80" w:type="dxa"/>
              <w:end w:w="120" w:type="dxa"/>
            </w:tcMar>
            <w:vAlign w:val="center"/>
          </w:tcPr>
          <w:p>
            <w:r>
              <w:rPr>
                <w:rFonts w:ascii="Calibri" w:hAnsi="Calibri"/>
                <w:b w:val="0"/>
                <w:i w:val="0"/>
                <w:color w:val="1F2937"/>
                <w:sz w:val="16"/>
              </w:rPr>
              <w:t>15%</w:t>
            </w:r>
          </w:p>
        </w:tc>
        <w:tc>
          <w:tcPr>
            <w:tcW w:type="dxa" w:w="5560"/>
            <w:shd w:fill="F8FAFC"/>
            <w:tcMar>
              <w:top w:w="80" w:type="dxa"/>
              <w:start w:w="120" w:type="dxa"/>
              <w:bottom w:w="80" w:type="dxa"/>
              <w:end w:w="120" w:type="dxa"/>
            </w:tcMar>
            <w:vAlign w:val="center"/>
          </w:tcPr>
          <w:p>
            <w:r>
              <w:rPr>
                <w:rFonts w:ascii="Calibri" w:hAnsi="Calibri"/>
                <w:b w:val="0"/>
                <w:i w:val="0"/>
                <w:color w:val="1F2937"/>
                <w:sz w:val="16"/>
              </w:rPr>
              <w:t>Setup, subscription, usage, minimums, taxes, FX, settlement, cancellation</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Reliability and support</w:t>
            </w:r>
          </w:p>
        </w:tc>
        <w:tc>
          <w:tcPr>
            <w:tcW w:type="dxa" w:w="1300"/>
            <w:tcMar>
              <w:top w:w="80" w:type="dxa"/>
              <w:start w:w="120" w:type="dxa"/>
              <w:bottom w:w="80" w:type="dxa"/>
              <w:end w:w="120" w:type="dxa"/>
            </w:tcMar>
            <w:vAlign w:val="center"/>
          </w:tcPr>
          <w:p>
            <w:r>
              <w:rPr>
                <w:rFonts w:ascii="Calibri" w:hAnsi="Calibri"/>
                <w:b w:val="0"/>
                <w:i w:val="0"/>
                <w:color w:val="1F2937"/>
                <w:sz w:val="16"/>
              </w:rPr>
              <w:t>15%</w:t>
            </w:r>
          </w:p>
        </w:tc>
        <w:tc>
          <w:tcPr>
            <w:tcW w:type="dxa" w:w="5560"/>
            <w:tcMar>
              <w:top w:w="80" w:type="dxa"/>
              <w:start w:w="120" w:type="dxa"/>
              <w:bottom w:w="80" w:type="dxa"/>
              <w:end w:w="120" w:type="dxa"/>
            </w:tcMar>
            <w:vAlign w:val="center"/>
          </w:tcPr>
          <w:p>
            <w:r>
              <w:rPr>
                <w:rFonts w:ascii="Calibri" w:hAnsi="Calibri"/>
                <w:b w:val="0"/>
                <w:i w:val="0"/>
                <w:color w:val="1F2937"/>
                <w:sz w:val="16"/>
              </w:rPr>
              <w:t>SLA, status history, escalation, Turkish support, incident/DR evidence</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Security and privacy</w:t>
            </w:r>
          </w:p>
        </w:tc>
        <w:tc>
          <w:tcPr>
            <w:tcW w:type="dxa" w:w="1300"/>
            <w:shd w:fill="F8FAFC"/>
            <w:tcMar>
              <w:top w:w="80" w:type="dxa"/>
              <w:start w:w="120" w:type="dxa"/>
              <w:bottom w:w="80" w:type="dxa"/>
              <w:end w:w="120" w:type="dxa"/>
            </w:tcMar>
            <w:vAlign w:val="center"/>
          </w:tcPr>
          <w:p>
            <w:r>
              <w:rPr>
                <w:rFonts w:ascii="Calibri" w:hAnsi="Calibri"/>
                <w:b w:val="0"/>
                <w:i w:val="0"/>
                <w:color w:val="1F2937"/>
                <w:sz w:val="16"/>
              </w:rPr>
              <w:t>10%</w:t>
            </w:r>
          </w:p>
        </w:tc>
        <w:tc>
          <w:tcPr>
            <w:tcW w:type="dxa" w:w="5560"/>
            <w:shd w:fill="F8FAFC"/>
            <w:tcMar>
              <w:top w:w="80" w:type="dxa"/>
              <w:start w:w="120" w:type="dxa"/>
              <w:bottom w:w="80" w:type="dxa"/>
              <w:end w:w="120" w:type="dxa"/>
            </w:tcMar>
            <w:vAlign w:val="center"/>
          </w:tcPr>
          <w:p>
            <w:r>
              <w:rPr>
                <w:rFonts w:ascii="Calibri" w:hAnsi="Calibri"/>
                <w:b w:val="0"/>
                <w:i w:val="0"/>
                <w:color w:val="1F2937"/>
                <w:sz w:val="16"/>
              </w:rPr>
              <w:t>Certifications, encryption, retention/deletion, audit, breach terms</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Exit and portability</w:t>
            </w:r>
          </w:p>
        </w:tc>
        <w:tc>
          <w:tcPr>
            <w:tcW w:type="dxa" w:w="1300"/>
            <w:tcMar>
              <w:top w:w="80" w:type="dxa"/>
              <w:start w:w="120" w:type="dxa"/>
              <w:bottom w:w="80" w:type="dxa"/>
              <w:end w:w="120" w:type="dxa"/>
            </w:tcMar>
            <w:vAlign w:val="center"/>
          </w:tcPr>
          <w:p>
            <w:r>
              <w:rPr>
                <w:rFonts w:ascii="Calibri" w:hAnsi="Calibri"/>
                <w:b w:val="0"/>
                <w:i w:val="0"/>
                <w:color w:val="1F2937"/>
                <w:sz w:val="16"/>
              </w:rPr>
              <w:t>5%</w:t>
            </w:r>
          </w:p>
        </w:tc>
        <w:tc>
          <w:tcPr>
            <w:tcW w:type="dxa" w:w="5560"/>
            <w:tcMar>
              <w:top w:w="80" w:type="dxa"/>
              <w:start w:w="120" w:type="dxa"/>
              <w:bottom w:w="80" w:type="dxa"/>
              <w:end w:w="120" w:type="dxa"/>
            </w:tcMar>
            <w:vAlign w:val="center"/>
          </w:tcPr>
          <w:p>
            <w:r>
              <w:rPr>
                <w:rFonts w:ascii="Calibri" w:hAnsi="Calibri"/>
                <w:b w:val="0"/>
                <w:i w:val="0"/>
                <w:color w:val="1F2937"/>
                <w:sz w:val="16"/>
              </w:rPr>
              <w:t>Export, data return/deletion, notice period, API continuity</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Operational usability</w:t>
            </w:r>
          </w:p>
        </w:tc>
        <w:tc>
          <w:tcPr>
            <w:tcW w:type="dxa" w:w="1300"/>
            <w:shd w:fill="F8FAFC"/>
            <w:tcMar>
              <w:top w:w="80" w:type="dxa"/>
              <w:start w:w="120" w:type="dxa"/>
              <w:bottom w:w="80" w:type="dxa"/>
              <w:end w:w="120" w:type="dxa"/>
            </w:tcMar>
            <w:vAlign w:val="center"/>
          </w:tcPr>
          <w:p>
            <w:r>
              <w:rPr>
                <w:rFonts w:ascii="Calibri" w:hAnsi="Calibri"/>
                <w:b w:val="0"/>
                <w:i w:val="0"/>
                <w:color w:val="1F2937"/>
                <w:sz w:val="16"/>
              </w:rPr>
              <w:t>5%</w:t>
            </w:r>
          </w:p>
        </w:tc>
        <w:tc>
          <w:tcPr>
            <w:tcW w:type="dxa" w:w="5560"/>
            <w:shd w:fill="F8FAFC"/>
            <w:tcMar>
              <w:top w:w="80" w:type="dxa"/>
              <w:start w:w="120" w:type="dxa"/>
              <w:bottom w:w="80" w:type="dxa"/>
              <w:end w:w="120" w:type="dxa"/>
            </w:tcMar>
            <w:vAlign w:val="center"/>
          </w:tcPr>
          <w:p>
            <w:r>
              <w:rPr>
                <w:rFonts w:ascii="Calibri" w:hAnsi="Calibri"/>
                <w:b w:val="0"/>
                <w:i w:val="0"/>
                <w:color w:val="1F2937"/>
                <w:sz w:val="16"/>
              </w:rPr>
              <w:t>Admin UX, reconciliation, role controls, finance/operations training</w:t>
            </w:r>
          </w:p>
        </w:tc>
      </w:tr>
    </w:tbl>
    <w:p>
      <w:pPr>
        <w:pStyle w:val="Heading2"/>
      </w:pPr>
      <w:r>
        <w:t>12.2 Procurement packet for every provider</w:t>
      </w:r>
    </w:p>
    <w:p>
      <w:pPr>
        <w:pStyle w:val="ListNumber"/>
        <w:numPr>
          <w:ilvl w:val="0"/>
          <w:numId w:val="11"/>
        </w:numPr>
        <w:spacing w:after="80"/>
        <w:ind w:left="720" w:hanging="360"/>
      </w:pPr>
      <w:r>
        <w:rPr>
          <w:rFonts w:ascii="Calibri" w:hAnsi="Calibri"/>
          <w:b w:val="0"/>
          <w:i w:val="0"/>
          <w:color w:val="1F2937"/>
          <w:sz w:val="20"/>
        </w:rPr>
        <w:t>Business scope and forecast volumes at 1k, 5k, 10k and stress case.</w:t>
      </w:r>
    </w:p>
    <w:p>
      <w:pPr>
        <w:pStyle w:val="ListNumber"/>
        <w:numPr>
          <w:ilvl w:val="0"/>
          <w:numId w:val="11"/>
        </w:numPr>
        <w:spacing w:after="80"/>
        <w:ind w:left="720" w:hanging="360"/>
      </w:pPr>
      <w:r>
        <w:rPr>
          <w:rFonts w:ascii="Calibri" w:hAnsi="Calibri"/>
          <w:b w:val="0"/>
          <w:i w:val="0"/>
          <w:color w:val="1F2937"/>
          <w:sz w:val="20"/>
        </w:rPr>
        <w:t>Full commercial schedule: fixed, usage, package, overage, tax, FX, settlement, support and cancellation.</w:t>
      </w:r>
    </w:p>
    <w:p>
      <w:pPr>
        <w:pStyle w:val="ListNumber"/>
        <w:numPr>
          <w:ilvl w:val="0"/>
          <w:numId w:val="11"/>
        </w:numPr>
        <w:spacing w:after="80"/>
        <w:ind w:left="720" w:hanging="360"/>
      </w:pPr>
      <w:r>
        <w:rPr>
          <w:rFonts w:ascii="Calibri" w:hAnsi="Calibri"/>
          <w:b w:val="0"/>
          <w:i w:val="0"/>
          <w:color w:val="1F2937"/>
          <w:sz w:val="20"/>
        </w:rPr>
        <w:t>Data-processing, location, subprocessors, retention/deletion, breach and SCC support.</w:t>
      </w:r>
    </w:p>
    <w:p>
      <w:pPr>
        <w:pStyle w:val="ListNumber"/>
        <w:numPr>
          <w:ilvl w:val="0"/>
          <w:numId w:val="11"/>
        </w:numPr>
        <w:spacing w:after="80"/>
        <w:ind w:left="720" w:hanging="360"/>
      </w:pPr>
      <w:r>
        <w:rPr>
          <w:rFonts w:ascii="Calibri" w:hAnsi="Calibri"/>
          <w:b w:val="0"/>
          <w:i w:val="0"/>
          <w:color w:val="1F2937"/>
          <w:sz w:val="20"/>
        </w:rPr>
        <w:t>Technical pack: API, sandbox, webhooks, rate limits, idempotency, status page and change policy.</w:t>
      </w:r>
    </w:p>
    <w:p>
      <w:pPr>
        <w:pStyle w:val="ListNumber"/>
        <w:numPr>
          <w:ilvl w:val="0"/>
          <w:numId w:val="11"/>
        </w:numPr>
        <w:spacing w:after="80"/>
        <w:ind w:left="720" w:hanging="360"/>
      </w:pPr>
      <w:r>
        <w:rPr>
          <w:rFonts w:ascii="Calibri" w:hAnsi="Calibri"/>
          <w:b w:val="0"/>
          <w:i w:val="0"/>
          <w:color w:val="1F2937"/>
          <w:sz w:val="20"/>
        </w:rPr>
        <w:t>Service pack: SLA, support hours/language, escalation, maintenance, DR and incident responsibilities.</w:t>
      </w:r>
    </w:p>
    <w:p>
      <w:pPr>
        <w:pStyle w:val="ListNumber"/>
        <w:numPr>
          <w:ilvl w:val="0"/>
          <w:numId w:val="11"/>
        </w:numPr>
        <w:spacing w:after="80"/>
        <w:ind w:left="720" w:hanging="360"/>
      </w:pPr>
      <w:r>
        <w:rPr>
          <w:rFonts w:ascii="Calibri" w:hAnsi="Calibri"/>
          <w:b w:val="0"/>
          <w:i w:val="0"/>
          <w:color w:val="1F2937"/>
          <w:sz w:val="20"/>
        </w:rPr>
        <w:t>Exit pack: export format, data return/deletion, credential revocation and manual fallback.</w:t>
      </w:r>
    </w:p>
    <w:p>
      <w:pPr>
        <w:pStyle w:val="Heading2"/>
        <w:pageBreakBefore/>
      </w:pPr>
      <w:r>
        <w:t>12.3 Go/no-go gates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400"/>
        <w:gridCol w:w="4600"/>
        <w:gridCol w:w="3360"/>
      </w:tblGrid>
      <w:tr>
        <w:trPr>
          <w:cantSplit/>
          <w:tblHeader w:val="true"/>
          <w:cantSplit/>
        </w:trPr>
        <w:tc>
          <w:tcPr>
            <w:tcW w:type="dxa" w:w="1400"/>
            <w:shd w:fill="102A43"/>
            <w:tcMar>
              <w:top w:w="80" w:type="dxa"/>
              <w:start w:w="120" w:type="dxa"/>
              <w:bottom w:w="80" w:type="dxa"/>
              <w:end w:w="120" w:type="dxa"/>
            </w:tcMar>
            <w:vAlign w:val="center"/>
          </w:tcPr>
          <w:p>
            <w:r>
              <w:rPr>
                <w:rFonts w:ascii="Calibri" w:hAnsi="Calibri"/>
                <w:b/>
                <w:i w:val="0"/>
                <w:color w:val="FFFFFF"/>
                <w:sz w:val="16"/>
              </w:rPr>
              <w:t>Gate</w:t>
            </w:r>
          </w:p>
        </w:tc>
        <w:tc>
          <w:tcPr>
            <w:tcW w:type="dxa" w:w="4600"/>
            <w:shd w:fill="102A43"/>
            <w:tcMar>
              <w:top w:w="80" w:type="dxa"/>
              <w:start w:w="120" w:type="dxa"/>
              <w:bottom w:w="80" w:type="dxa"/>
              <w:end w:w="120" w:type="dxa"/>
            </w:tcMar>
            <w:vAlign w:val="center"/>
          </w:tcPr>
          <w:p>
            <w:r>
              <w:rPr>
                <w:rFonts w:ascii="Calibri" w:hAnsi="Calibri"/>
                <w:b/>
                <w:i w:val="0"/>
                <w:color w:val="FFFFFF"/>
                <w:sz w:val="16"/>
              </w:rPr>
              <w:t>Minimum evidence</w:t>
            </w:r>
          </w:p>
        </w:tc>
        <w:tc>
          <w:tcPr>
            <w:tcW w:type="dxa" w:w="3360"/>
            <w:shd w:fill="102A43"/>
            <w:tcMar>
              <w:top w:w="80" w:type="dxa"/>
              <w:start w:w="120" w:type="dxa"/>
              <w:bottom w:w="80" w:type="dxa"/>
              <w:end w:w="120" w:type="dxa"/>
            </w:tcMar>
            <w:vAlign w:val="center"/>
          </w:tcPr>
          <w:p>
            <w:r>
              <w:rPr>
                <w:rFonts w:ascii="Calibri" w:hAnsi="Calibri"/>
                <w:b/>
                <w:i w:val="0"/>
                <w:color w:val="FFFFFF"/>
                <w:sz w:val="16"/>
              </w:rPr>
              <w:t>No-go condition</w:t>
            </w:r>
          </w:p>
        </w:tc>
      </w:tr>
      <w:tr>
        <w:trPr>
          <w:cantSplit/>
        </w:trPr>
        <w:tc>
          <w:tcPr>
            <w:tcW w:type="dxa" w:w="1400"/>
            <w:tcMar>
              <w:top w:w="80" w:type="dxa"/>
              <w:start w:w="120" w:type="dxa"/>
              <w:bottom w:w="80" w:type="dxa"/>
              <w:end w:w="120" w:type="dxa"/>
            </w:tcMar>
            <w:vAlign w:val="center"/>
          </w:tcPr>
          <w:p>
            <w:r>
              <w:rPr>
                <w:rFonts w:ascii="Calibri" w:hAnsi="Calibri"/>
                <w:b/>
                <w:i w:val="0"/>
                <w:color w:val="102A43"/>
                <w:sz w:val="16"/>
              </w:rPr>
              <w:t>G0 Demo</w:t>
            </w:r>
          </w:p>
        </w:tc>
        <w:tc>
          <w:tcPr>
            <w:tcW w:type="dxa" w:w="4600"/>
            <w:tcMar>
              <w:top w:w="80" w:type="dxa"/>
              <w:start w:w="120" w:type="dxa"/>
              <w:bottom w:w="80" w:type="dxa"/>
              <w:end w:w="120" w:type="dxa"/>
            </w:tcMar>
            <w:vAlign w:val="center"/>
          </w:tcPr>
          <w:p>
            <w:r>
              <w:rPr>
                <w:rFonts w:ascii="Calibri" w:hAnsi="Calibri"/>
                <w:b w:val="0"/>
                <w:i w:val="0"/>
                <w:color w:val="1F2937"/>
                <w:sz w:val="16"/>
              </w:rPr>
              <w:t>Synthetic data and sample labels; no real external actions</w:t>
            </w:r>
          </w:p>
        </w:tc>
        <w:tc>
          <w:tcPr>
            <w:tcW w:type="dxa" w:w="3360"/>
            <w:tcMar>
              <w:top w:w="80" w:type="dxa"/>
              <w:start w:w="120" w:type="dxa"/>
              <w:bottom w:w="80" w:type="dxa"/>
              <w:end w:w="120" w:type="dxa"/>
            </w:tcMar>
            <w:vAlign w:val="center"/>
          </w:tcPr>
          <w:p>
            <w:r>
              <w:rPr>
                <w:rFonts w:ascii="Calibri" w:hAnsi="Calibri"/>
                <w:b w:val="0"/>
                <w:i w:val="0"/>
                <w:color w:val="1F2937"/>
                <w:sz w:val="16"/>
              </w:rPr>
              <w:t>Real payment/listing/marketing/identity/access data used without approval</w:t>
            </w:r>
          </w:p>
        </w:tc>
      </w:tr>
      <w:tr>
        <w:trPr>
          <w:cantSplit/>
        </w:trPr>
        <w:tc>
          <w:tcPr>
            <w:tcW w:type="dxa" w:w="1400"/>
            <w:shd w:fill="F8FAFC"/>
            <w:tcMar>
              <w:top w:w="80" w:type="dxa"/>
              <w:start w:w="120" w:type="dxa"/>
              <w:bottom w:w="80" w:type="dxa"/>
              <w:end w:w="120" w:type="dxa"/>
            </w:tcMar>
            <w:vAlign w:val="center"/>
          </w:tcPr>
          <w:p>
            <w:r>
              <w:rPr>
                <w:rFonts w:ascii="Calibri" w:hAnsi="Calibri"/>
                <w:b/>
                <w:i w:val="0"/>
                <w:color w:val="102A43"/>
                <w:sz w:val="16"/>
              </w:rPr>
              <w:t>G1 Architecture</w:t>
            </w:r>
          </w:p>
        </w:tc>
        <w:tc>
          <w:tcPr>
            <w:tcW w:type="dxa" w:w="4600"/>
            <w:shd w:fill="F8FAFC"/>
            <w:tcMar>
              <w:top w:w="80" w:type="dxa"/>
              <w:start w:w="120" w:type="dxa"/>
              <w:bottom w:w="80" w:type="dxa"/>
              <w:end w:w="120" w:type="dxa"/>
            </w:tcMar>
            <w:vAlign w:val="center"/>
          </w:tcPr>
          <w:p>
            <w:r>
              <w:rPr>
                <w:rFonts w:ascii="Calibri" w:hAnsi="Calibri"/>
                <w:b w:val="0"/>
                <w:i w:val="0"/>
                <w:color w:val="1F2937"/>
                <w:sz w:val="16"/>
              </w:rPr>
              <w:t>Production topology, owners, budgets, SCC/data route approved</w:t>
            </w:r>
          </w:p>
        </w:tc>
        <w:tc>
          <w:tcPr>
            <w:tcW w:type="dxa" w:w="3360"/>
            <w:shd w:fill="F8FAFC"/>
            <w:tcMar>
              <w:top w:w="80" w:type="dxa"/>
              <w:start w:w="120" w:type="dxa"/>
              <w:bottom w:w="80" w:type="dxa"/>
              <w:end w:w="120" w:type="dxa"/>
            </w:tcMar>
            <w:vAlign w:val="center"/>
          </w:tcPr>
          <w:p>
            <w:r>
              <w:rPr>
                <w:rFonts w:ascii="Calibri" w:hAnsi="Calibri"/>
                <w:b w:val="0"/>
                <w:i w:val="0"/>
                <w:color w:val="1F2937"/>
                <w:sz w:val="16"/>
              </w:rPr>
              <w:t>Unknown data location/processor terms or no recovery owner</w:t>
            </w:r>
          </w:p>
        </w:tc>
      </w:tr>
      <w:tr>
        <w:trPr>
          <w:cantSplit/>
        </w:trPr>
        <w:tc>
          <w:tcPr>
            <w:tcW w:type="dxa" w:w="1400"/>
            <w:tcMar>
              <w:top w:w="80" w:type="dxa"/>
              <w:start w:w="120" w:type="dxa"/>
              <w:bottom w:w="80" w:type="dxa"/>
              <w:end w:w="120" w:type="dxa"/>
            </w:tcMar>
            <w:vAlign w:val="center"/>
          </w:tcPr>
          <w:p>
            <w:r>
              <w:rPr>
                <w:rFonts w:ascii="Calibri" w:hAnsi="Calibri"/>
                <w:b/>
                <w:i w:val="0"/>
                <w:color w:val="102A43"/>
                <w:sz w:val="16"/>
              </w:rPr>
              <w:t>G2 Provider sandbox</w:t>
            </w:r>
          </w:p>
        </w:tc>
        <w:tc>
          <w:tcPr>
            <w:tcW w:type="dxa" w:w="4600"/>
            <w:tcMar>
              <w:top w:w="80" w:type="dxa"/>
              <w:start w:w="120" w:type="dxa"/>
              <w:bottom w:w="80" w:type="dxa"/>
              <w:end w:w="120" w:type="dxa"/>
            </w:tcMar>
            <w:vAlign w:val="center"/>
          </w:tcPr>
          <w:p>
            <w:r>
              <w:rPr>
                <w:rFonts w:ascii="Calibri" w:hAnsi="Calibri"/>
                <w:b w:val="0"/>
                <w:i w:val="0"/>
                <w:color w:val="1F2937"/>
                <w:sz w:val="16"/>
              </w:rPr>
              <w:t>Contract/quote, sandbox success, signatures/retries/audit</w:t>
            </w:r>
          </w:p>
        </w:tc>
        <w:tc>
          <w:tcPr>
            <w:tcW w:type="dxa" w:w="3360"/>
            <w:tcMar>
              <w:top w:w="80" w:type="dxa"/>
              <w:start w:w="120" w:type="dxa"/>
              <w:bottom w:w="80" w:type="dxa"/>
              <w:end w:w="120" w:type="dxa"/>
            </w:tcMar>
            <w:vAlign w:val="center"/>
          </w:tcPr>
          <w:p>
            <w:r>
              <w:rPr>
                <w:rFonts w:ascii="Calibri" w:hAnsi="Calibri"/>
                <w:b w:val="0"/>
                <w:i w:val="0"/>
                <w:color w:val="1F2937"/>
                <w:sz w:val="16"/>
              </w:rPr>
              <w:t>Provider unlicensed/unsettled, no fallback or unexplained errors</w:t>
            </w:r>
          </w:p>
        </w:tc>
      </w:tr>
      <w:tr>
        <w:trPr>
          <w:cantSplit/>
        </w:trPr>
        <w:tc>
          <w:tcPr>
            <w:tcW w:type="dxa" w:w="1400"/>
            <w:shd w:fill="F8FAFC"/>
            <w:tcMar>
              <w:top w:w="80" w:type="dxa"/>
              <w:start w:w="120" w:type="dxa"/>
              <w:bottom w:w="80" w:type="dxa"/>
              <w:end w:w="120" w:type="dxa"/>
            </w:tcMar>
            <w:vAlign w:val="center"/>
          </w:tcPr>
          <w:p>
            <w:r>
              <w:rPr>
                <w:rFonts w:ascii="Calibri" w:hAnsi="Calibri"/>
                <w:b/>
                <w:i w:val="0"/>
                <w:color w:val="102A43"/>
                <w:sz w:val="16"/>
              </w:rPr>
              <w:t>G3 Production UAT</w:t>
            </w:r>
          </w:p>
        </w:tc>
        <w:tc>
          <w:tcPr>
            <w:tcW w:type="dxa" w:w="4600"/>
            <w:shd w:fill="F8FAFC"/>
            <w:tcMar>
              <w:top w:w="80" w:type="dxa"/>
              <w:start w:w="120" w:type="dxa"/>
              <w:bottom w:w="80" w:type="dxa"/>
              <w:end w:w="120" w:type="dxa"/>
            </w:tcMar>
            <w:vAlign w:val="center"/>
          </w:tcPr>
          <w:p>
            <w:r>
              <w:rPr>
                <w:rFonts w:ascii="Calibri" w:hAnsi="Calibri"/>
                <w:b w:val="0"/>
                <w:i w:val="0"/>
                <w:color w:val="1F2937"/>
                <w:sz w:val="16"/>
              </w:rPr>
              <w:t>Realistic end-to-end scenarios, reconciliation, message consent, RLS/security</w:t>
            </w:r>
          </w:p>
        </w:tc>
        <w:tc>
          <w:tcPr>
            <w:tcW w:type="dxa" w:w="3360"/>
            <w:shd w:fill="F8FAFC"/>
            <w:tcMar>
              <w:top w:w="80" w:type="dxa"/>
              <w:start w:w="120" w:type="dxa"/>
              <w:bottom w:w="80" w:type="dxa"/>
              <w:end w:w="120" w:type="dxa"/>
            </w:tcMar>
            <w:vAlign w:val="center"/>
          </w:tcPr>
          <w:p>
            <w:r>
              <w:rPr>
                <w:rFonts w:ascii="Calibri" w:hAnsi="Calibri"/>
                <w:b w:val="0"/>
                <w:i w:val="0"/>
                <w:color w:val="1F2937"/>
                <w:sz w:val="16"/>
              </w:rPr>
              <w:t>Duplicate money movement, cross-role leakage or silent provider failure</w:t>
            </w:r>
          </w:p>
        </w:tc>
      </w:tr>
      <w:tr>
        <w:trPr>
          <w:cantSplit/>
        </w:trPr>
        <w:tc>
          <w:tcPr>
            <w:tcW w:type="dxa" w:w="1400"/>
            <w:tcMar>
              <w:top w:w="80" w:type="dxa"/>
              <w:start w:w="120" w:type="dxa"/>
              <w:bottom w:w="80" w:type="dxa"/>
              <w:end w:w="120" w:type="dxa"/>
            </w:tcMar>
            <w:vAlign w:val="center"/>
          </w:tcPr>
          <w:p>
            <w:r>
              <w:rPr>
                <w:rFonts w:ascii="Calibri" w:hAnsi="Calibri"/>
                <w:b/>
                <w:i w:val="0"/>
                <w:color w:val="102A43"/>
                <w:sz w:val="16"/>
              </w:rPr>
              <w:t>G4 Launch</w:t>
            </w:r>
          </w:p>
        </w:tc>
        <w:tc>
          <w:tcPr>
            <w:tcW w:type="dxa" w:w="4600"/>
            <w:tcMar>
              <w:top w:w="80" w:type="dxa"/>
              <w:start w:w="120" w:type="dxa"/>
              <w:bottom w:w="80" w:type="dxa"/>
              <w:end w:w="120" w:type="dxa"/>
            </w:tcMar>
            <w:vAlign w:val="center"/>
          </w:tcPr>
          <w:p>
            <w:r>
              <w:rPr>
                <w:rFonts w:ascii="Calibri" w:hAnsi="Calibri"/>
                <w:b w:val="0"/>
                <w:i w:val="0"/>
                <w:color w:val="1F2937"/>
                <w:sz w:val="16"/>
              </w:rPr>
              <w:t>Counsel/accountant approvals, backup restore, incident runbook, training, support</w:t>
            </w:r>
          </w:p>
        </w:tc>
        <w:tc>
          <w:tcPr>
            <w:tcW w:type="dxa" w:w="3360"/>
            <w:tcMar>
              <w:top w:w="80" w:type="dxa"/>
              <w:start w:w="120" w:type="dxa"/>
              <w:bottom w:w="80" w:type="dxa"/>
              <w:end w:w="120" w:type="dxa"/>
            </w:tcMar>
            <w:vAlign w:val="center"/>
          </w:tcPr>
          <w:p>
            <w:r>
              <w:rPr>
                <w:rFonts w:ascii="Calibri" w:hAnsi="Calibri"/>
                <w:b w:val="0"/>
                <w:i w:val="0"/>
                <w:color w:val="1F2937"/>
                <w:sz w:val="16"/>
              </w:rPr>
              <w:t>Critical security/compliance defect, no rollback or unsigned UAT</w:t>
            </w:r>
          </w:p>
        </w:tc>
      </w:tr>
      <w:tr>
        <w:trPr>
          <w:cantSplit/>
        </w:trPr>
        <w:tc>
          <w:tcPr>
            <w:tcW w:type="dxa" w:w="1400"/>
            <w:shd w:fill="F8FAFC"/>
            <w:tcMar>
              <w:top w:w="80" w:type="dxa"/>
              <w:start w:w="120" w:type="dxa"/>
              <w:bottom w:w="80" w:type="dxa"/>
              <w:end w:w="120" w:type="dxa"/>
            </w:tcMar>
            <w:vAlign w:val="center"/>
          </w:tcPr>
          <w:p>
            <w:r>
              <w:rPr>
                <w:rFonts w:ascii="Calibri" w:hAnsi="Calibri"/>
                <w:b/>
                <w:i w:val="0"/>
                <w:color w:val="102A43"/>
                <w:sz w:val="16"/>
              </w:rPr>
              <w:t>G5 Hypercare exit</w:t>
            </w:r>
          </w:p>
        </w:tc>
        <w:tc>
          <w:tcPr>
            <w:tcW w:type="dxa" w:w="4600"/>
            <w:shd w:fill="F8FAFC"/>
            <w:tcMar>
              <w:top w:w="80" w:type="dxa"/>
              <w:start w:w="120" w:type="dxa"/>
              <w:bottom w:w="80" w:type="dxa"/>
              <w:end w:w="120" w:type="dxa"/>
            </w:tcMar>
            <w:vAlign w:val="center"/>
          </w:tcPr>
          <w:p>
            <w:r>
              <w:rPr>
                <w:rFonts w:ascii="Calibri" w:hAnsi="Calibri"/>
                <w:b w:val="0"/>
                <w:i w:val="0"/>
                <w:color w:val="1F2937"/>
                <w:sz w:val="16"/>
              </w:rPr>
              <w:t>Stable metrics, reconciled finance, closed critical incidents, handover accepted</w:t>
            </w:r>
          </w:p>
        </w:tc>
        <w:tc>
          <w:tcPr>
            <w:tcW w:type="dxa" w:w="3360"/>
            <w:shd w:fill="F8FAFC"/>
            <w:tcMar>
              <w:top w:w="80" w:type="dxa"/>
              <w:start w:w="120" w:type="dxa"/>
              <w:bottom w:w="80" w:type="dxa"/>
              <w:end w:w="120" w:type="dxa"/>
            </w:tcMar>
            <w:vAlign w:val="center"/>
          </w:tcPr>
          <w:p>
            <w:r>
              <w:rPr>
                <w:rFonts w:ascii="Calibri" w:hAnsi="Calibri"/>
                <w:b w:val="0"/>
                <w:i w:val="0"/>
                <w:color w:val="1F2937"/>
                <w:sz w:val="16"/>
              </w:rPr>
              <w:t>Recurring mismatch/outage or unclear operating ownership</w:t>
            </w:r>
          </w:p>
        </w:tc>
      </w:tr>
    </w:tbl>
    <w:p>
      <w:pPr>
        <w:pStyle w:val="Heading2"/>
      </w:pPr>
      <w:r>
        <w:t>12.4 Practical sequence</w:t>
      </w:r>
    </w:p>
    <w:p>
      <w:pPr>
        <w:pStyle w:val="ListNumber"/>
        <w:numPr>
          <w:ilvl w:val="0"/>
          <w:numId w:val="12"/>
        </w:numPr>
        <w:spacing w:after="80"/>
        <w:ind w:left="720" w:hanging="360"/>
      </w:pPr>
      <w:r>
        <w:rPr>
          <w:rFonts w:ascii="Calibri" w:hAnsi="Calibri"/>
          <w:b w:val="0"/>
          <w:i w:val="0"/>
          <w:color w:val="1F2937"/>
          <w:sz w:val="20"/>
        </w:rPr>
        <w:t>Weeks/phase planning starts with WP0–WP2: freeze assumptions, obtain quotes, determine data/legal route.</w:t>
      </w:r>
    </w:p>
    <w:p>
      <w:pPr>
        <w:pStyle w:val="ListNumber"/>
        <w:numPr>
          <w:ilvl w:val="0"/>
          <w:numId w:val="12"/>
        </w:numPr>
        <w:spacing w:after="80"/>
        <w:ind w:left="720" w:hanging="360"/>
      </w:pPr>
      <w:r>
        <w:rPr>
          <w:rFonts w:ascii="Calibri" w:hAnsi="Calibri"/>
          <w:b w:val="0"/>
          <w:i w:val="0"/>
          <w:color w:val="1F2937"/>
          <w:sz w:val="20"/>
        </w:rPr>
        <w:t>Activate production identity/data only after RLS, ownership, backup and cross-border requirements are approved.</w:t>
      </w:r>
    </w:p>
    <w:p>
      <w:pPr>
        <w:pStyle w:val="ListNumber"/>
        <w:numPr>
          <w:ilvl w:val="0"/>
          <w:numId w:val="12"/>
        </w:numPr>
        <w:spacing w:after="80"/>
        <w:ind w:left="720" w:hanging="360"/>
      </w:pPr>
      <w:r>
        <w:rPr>
          <w:rFonts w:ascii="Calibri" w:hAnsi="Calibri"/>
          <w:b w:val="0"/>
          <w:i w:val="0"/>
          <w:color w:val="1F2937"/>
          <w:sz w:val="20"/>
        </w:rPr>
        <w:t>Connect one payment, one operational SMS and one transactional email provider in sandbox before adding alternatives.</w:t>
      </w:r>
    </w:p>
    <w:p>
      <w:pPr>
        <w:pStyle w:val="ListNumber"/>
        <w:numPr>
          <w:ilvl w:val="0"/>
          <w:numId w:val="12"/>
        </w:numPr>
        <w:spacing w:after="80"/>
        <w:ind w:left="720" w:hanging="360"/>
      </w:pPr>
      <w:r>
        <w:rPr>
          <w:rFonts w:ascii="Calibri" w:hAnsi="Calibri"/>
          <w:b w:val="0"/>
          <w:i w:val="0"/>
          <w:color w:val="1F2937"/>
          <w:sz w:val="20"/>
        </w:rPr>
        <w:t>Prove finance reconciliation and consent/rejection behavior before external user rollout.</w:t>
      </w:r>
    </w:p>
    <w:p>
      <w:pPr>
        <w:pStyle w:val="ListNumber"/>
        <w:numPr>
          <w:ilvl w:val="0"/>
          <w:numId w:val="12"/>
        </w:numPr>
        <w:spacing w:after="80"/>
        <w:ind w:left="720" w:hanging="360"/>
      </w:pPr>
      <w:r>
        <w:rPr>
          <w:rFonts w:ascii="Calibri" w:hAnsi="Calibri"/>
          <w:b w:val="0"/>
          <w:i w:val="0"/>
          <w:color w:val="1F2937"/>
          <w:sz w:val="20"/>
        </w:rPr>
        <w:t>Add AI, maps and physical adapters only with measured value, caps, safety and provider-specific evidence.</w:t>
      </w:r>
    </w:p>
    <w:p>
      <w:pPr>
        <w:pStyle w:val="ListNumber"/>
        <w:numPr>
          <w:ilvl w:val="0"/>
          <w:numId w:val="12"/>
        </w:numPr>
        <w:spacing w:after="80"/>
        <w:ind w:left="720" w:hanging="360"/>
      </w:pPr>
      <w:r>
        <w:rPr>
          <w:rFonts w:ascii="Calibri" w:hAnsi="Calibri"/>
          <w:b w:val="0"/>
          <w:i w:val="0"/>
          <w:color w:val="1F2937"/>
          <w:sz w:val="20"/>
        </w:rPr>
        <w:t>Run security, restore, performance and role-based UAT; train by role; launch with rollback and hypercare.</w:t>
      </w:r>
    </w:p>
    <w:p>
      <w:bookmarkStart w:id="115" w:name="risks"/>
      <w:pPr>
        <w:pStyle w:val="Heading1"/>
      </w:pPr>
      <w:r>
        <w:t>13. Risk, dependency and open-decision register</w:t>
      </w:r>
      <w:bookmarkEnd w:id="115"/>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600"/>
        <w:gridCol w:w="2300"/>
        <w:gridCol w:w="1000"/>
        <w:gridCol w:w="900"/>
        <w:gridCol w:w="3400"/>
        <w:gridCol w:w="1160"/>
      </w:tblGrid>
      <w:tr>
        <w:trPr>
          <w:cantSplit/>
          <w:tblHeader w:val="true"/>
          <w:cantSplit/>
        </w:trPr>
        <w:tc>
          <w:tcPr>
            <w:tcW w:type="dxa" w:w="600"/>
            <w:shd w:fill="102A43"/>
            <w:tcMar>
              <w:top w:w="80" w:type="dxa"/>
              <w:start w:w="120" w:type="dxa"/>
              <w:bottom w:w="80" w:type="dxa"/>
              <w:end w:w="120" w:type="dxa"/>
            </w:tcMar>
            <w:vAlign w:val="center"/>
          </w:tcPr>
          <w:p>
            <w:r>
              <w:rPr>
                <w:rFonts w:ascii="Calibri" w:hAnsi="Calibri"/>
                <w:b/>
                <w:i w:val="0"/>
                <w:color w:val="FFFFFF"/>
                <w:sz w:val="14"/>
              </w:rPr>
              <w:t>ID</w:t>
            </w:r>
          </w:p>
        </w:tc>
        <w:tc>
          <w:tcPr>
            <w:tcW w:type="dxa" w:w="2300"/>
            <w:shd w:fill="102A43"/>
            <w:tcMar>
              <w:top w:w="80" w:type="dxa"/>
              <w:start w:w="120" w:type="dxa"/>
              <w:bottom w:w="80" w:type="dxa"/>
              <w:end w:w="120" w:type="dxa"/>
            </w:tcMar>
            <w:vAlign w:val="center"/>
          </w:tcPr>
          <w:p>
            <w:r>
              <w:rPr>
                <w:rFonts w:ascii="Calibri" w:hAnsi="Calibri"/>
                <w:b/>
                <w:i w:val="0"/>
                <w:color w:val="FFFFFF"/>
                <w:sz w:val="14"/>
              </w:rPr>
              <w:t>Risk</w:t>
            </w:r>
          </w:p>
        </w:tc>
        <w:tc>
          <w:tcPr>
            <w:tcW w:type="dxa" w:w="1000"/>
            <w:shd w:fill="102A43"/>
            <w:tcMar>
              <w:top w:w="80" w:type="dxa"/>
              <w:start w:w="120" w:type="dxa"/>
              <w:bottom w:w="80" w:type="dxa"/>
              <w:end w:w="120" w:type="dxa"/>
            </w:tcMar>
            <w:vAlign w:val="center"/>
          </w:tcPr>
          <w:p>
            <w:r>
              <w:rPr>
                <w:rFonts w:ascii="Calibri" w:hAnsi="Calibri"/>
                <w:b/>
                <w:i w:val="0"/>
                <w:color w:val="FFFFFF"/>
                <w:sz w:val="14"/>
              </w:rPr>
              <w:t>Likelihood</w:t>
            </w:r>
          </w:p>
        </w:tc>
        <w:tc>
          <w:tcPr>
            <w:tcW w:type="dxa" w:w="900"/>
            <w:shd w:fill="102A43"/>
            <w:tcMar>
              <w:top w:w="80" w:type="dxa"/>
              <w:start w:w="120" w:type="dxa"/>
              <w:bottom w:w="80" w:type="dxa"/>
              <w:end w:w="120" w:type="dxa"/>
            </w:tcMar>
            <w:vAlign w:val="center"/>
          </w:tcPr>
          <w:p>
            <w:r>
              <w:rPr>
                <w:rFonts w:ascii="Calibri" w:hAnsi="Calibri"/>
                <w:b/>
                <w:i w:val="0"/>
                <w:color w:val="FFFFFF"/>
                <w:sz w:val="14"/>
              </w:rPr>
              <w:t>Impact</w:t>
            </w:r>
          </w:p>
        </w:tc>
        <w:tc>
          <w:tcPr>
            <w:tcW w:type="dxa" w:w="3400"/>
            <w:shd w:fill="102A43"/>
            <w:tcMar>
              <w:top w:w="80" w:type="dxa"/>
              <w:start w:w="120" w:type="dxa"/>
              <w:bottom w:w="80" w:type="dxa"/>
              <w:end w:w="120" w:type="dxa"/>
            </w:tcMar>
            <w:vAlign w:val="center"/>
          </w:tcPr>
          <w:p>
            <w:r>
              <w:rPr>
                <w:rFonts w:ascii="Calibri" w:hAnsi="Calibri"/>
                <w:b/>
                <w:i w:val="0"/>
                <w:color w:val="FFFFFF"/>
                <w:sz w:val="14"/>
              </w:rPr>
              <w:t>Treatment</w:t>
            </w:r>
          </w:p>
        </w:tc>
        <w:tc>
          <w:tcPr>
            <w:tcW w:type="dxa" w:w="1160"/>
            <w:shd w:fill="102A43"/>
            <w:tcMar>
              <w:top w:w="80" w:type="dxa"/>
              <w:start w:w="120" w:type="dxa"/>
              <w:bottom w:w="80" w:type="dxa"/>
              <w:end w:w="120" w:type="dxa"/>
            </w:tcMar>
            <w:vAlign w:val="center"/>
          </w:tcPr>
          <w:p>
            <w:r>
              <w:rPr>
                <w:rFonts w:ascii="Calibri" w:hAnsi="Calibri"/>
                <w:b/>
                <w:i w:val="0"/>
                <w:color w:val="FFFFFF"/>
                <w:sz w:val="14"/>
              </w:rPr>
              <w:t>Owner</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R01</w:t>
            </w:r>
          </w:p>
        </w:tc>
        <w:tc>
          <w:tcPr>
            <w:tcW w:type="dxa" w:w="2300"/>
            <w:tcMar>
              <w:top w:w="80" w:type="dxa"/>
              <w:start w:w="120" w:type="dxa"/>
              <w:bottom w:w="80" w:type="dxa"/>
              <w:end w:w="120" w:type="dxa"/>
            </w:tcMar>
            <w:vAlign w:val="center"/>
          </w:tcPr>
          <w:p>
            <w:r>
              <w:rPr>
                <w:rFonts w:ascii="Calibri" w:hAnsi="Calibri"/>
                <w:b w:val="0"/>
                <w:i w:val="0"/>
                <w:color w:val="1F2937"/>
                <w:sz w:val="14"/>
              </w:rPr>
              <w:t>Cross-border data route incomplete</w:t>
            </w:r>
          </w:p>
        </w:tc>
        <w:tc>
          <w:tcPr>
            <w:tcW w:type="dxa" w:w="1000"/>
            <w:tcMar>
              <w:top w:w="80" w:type="dxa"/>
              <w:start w:w="120" w:type="dxa"/>
              <w:bottom w:w="80" w:type="dxa"/>
              <w:end w:w="120" w:type="dxa"/>
            </w:tcMar>
            <w:vAlign w:val="center"/>
          </w:tcPr>
          <w:p>
            <w:r>
              <w:rPr>
                <w:rFonts w:ascii="Calibri" w:hAnsi="Calibri"/>
                <w:b w:val="0"/>
                <w:i w:val="0"/>
                <w:color w:val="1F2937"/>
                <w:sz w:val="14"/>
              </w:rPr>
              <w:t>High</w:t>
            </w:r>
          </w:p>
        </w:tc>
        <w:tc>
          <w:tcPr>
            <w:tcW w:type="dxa" w:w="900"/>
            <w:tcMar>
              <w:top w:w="80" w:type="dxa"/>
              <w:start w:w="120" w:type="dxa"/>
              <w:bottom w:w="80" w:type="dxa"/>
              <w:end w:w="120" w:type="dxa"/>
            </w:tcMar>
            <w:vAlign w:val="center"/>
          </w:tcPr>
          <w:p>
            <w:r>
              <w:rPr>
                <w:rFonts w:ascii="Calibri" w:hAnsi="Calibri"/>
                <w:b w:val="0"/>
                <w:i w:val="0"/>
                <w:color w:val="1F2937"/>
                <w:sz w:val="14"/>
              </w:rPr>
              <w:t>High</w:t>
            </w:r>
          </w:p>
        </w:tc>
        <w:tc>
          <w:tcPr>
            <w:tcW w:type="dxa" w:w="3400"/>
            <w:tcMar>
              <w:top w:w="80" w:type="dxa"/>
              <w:start w:w="120" w:type="dxa"/>
              <w:bottom w:w="80" w:type="dxa"/>
              <w:end w:w="120" w:type="dxa"/>
            </w:tcMar>
            <w:vAlign w:val="center"/>
          </w:tcPr>
          <w:p>
            <w:r>
              <w:rPr>
                <w:rFonts w:ascii="Calibri" w:hAnsi="Calibri"/>
                <w:b w:val="0"/>
                <w:i w:val="0"/>
                <w:color w:val="1F2937"/>
                <w:sz w:val="14"/>
              </w:rPr>
              <w:t>No foreign production data until SCC/transfer route and processor map are approved</w:t>
            </w:r>
          </w:p>
        </w:tc>
        <w:tc>
          <w:tcPr>
            <w:tcW w:type="dxa" w:w="1160"/>
            <w:tcMar>
              <w:top w:w="80" w:type="dxa"/>
              <w:start w:w="120" w:type="dxa"/>
              <w:bottom w:w="80" w:type="dxa"/>
              <w:end w:w="120" w:type="dxa"/>
            </w:tcMar>
            <w:vAlign w:val="center"/>
          </w:tcPr>
          <w:p>
            <w:r>
              <w:rPr>
                <w:rFonts w:ascii="Calibri" w:hAnsi="Calibri"/>
                <w:b w:val="0"/>
                <w:i w:val="0"/>
                <w:color w:val="1F2937"/>
                <w:sz w:val="14"/>
              </w:rPr>
              <w:t>Legal/privacy</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R02</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Virtual POS confused with statutory secure-payment compliance</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Separate project/control for 1 Oct 2026 system</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Legal/finance</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R03</w:t>
            </w:r>
          </w:p>
        </w:tc>
        <w:tc>
          <w:tcPr>
            <w:tcW w:type="dxa" w:w="2300"/>
            <w:tcMar>
              <w:top w:w="80" w:type="dxa"/>
              <w:start w:w="120" w:type="dxa"/>
              <w:bottom w:w="80" w:type="dxa"/>
              <w:end w:w="120" w:type="dxa"/>
            </w:tcMar>
            <w:vAlign w:val="center"/>
          </w:tcPr>
          <w:p>
            <w:r>
              <w:rPr>
                <w:rFonts w:ascii="Calibri" w:hAnsi="Calibri"/>
                <w:b w:val="0"/>
                <w:i w:val="0"/>
                <w:color w:val="1F2937"/>
                <w:sz w:val="14"/>
              </w:rPr>
              <w:t>Payment commission dominates platform economics</w:t>
            </w:r>
          </w:p>
        </w:tc>
        <w:tc>
          <w:tcPr>
            <w:tcW w:type="dxa" w:w="1000"/>
            <w:tcMar>
              <w:top w:w="80" w:type="dxa"/>
              <w:start w:w="120" w:type="dxa"/>
              <w:bottom w:w="80" w:type="dxa"/>
              <w:end w:w="120" w:type="dxa"/>
            </w:tcMar>
            <w:vAlign w:val="center"/>
          </w:tcPr>
          <w:p>
            <w:r>
              <w:rPr>
                <w:rFonts w:ascii="Calibri" w:hAnsi="Calibri"/>
                <w:b w:val="0"/>
                <w:i w:val="0"/>
                <w:color w:val="1F2937"/>
                <w:sz w:val="14"/>
              </w:rPr>
              <w:t>High</w:t>
            </w:r>
          </w:p>
        </w:tc>
        <w:tc>
          <w:tcPr>
            <w:tcW w:type="dxa" w:w="900"/>
            <w:tcMar>
              <w:top w:w="80" w:type="dxa"/>
              <w:start w:w="120" w:type="dxa"/>
              <w:bottom w:w="80" w:type="dxa"/>
              <w:end w:w="120" w:type="dxa"/>
            </w:tcMar>
            <w:vAlign w:val="center"/>
          </w:tcPr>
          <w:p>
            <w:r>
              <w:rPr>
                <w:rFonts w:ascii="Calibri" w:hAnsi="Calibri"/>
                <w:b w:val="0"/>
                <w:i w:val="0"/>
                <w:color w:val="1F2937"/>
                <w:sz w:val="14"/>
              </w:rPr>
              <w:t>Med</w:t>
            </w:r>
          </w:p>
        </w:tc>
        <w:tc>
          <w:tcPr>
            <w:tcW w:type="dxa" w:w="3400"/>
            <w:tcMar>
              <w:top w:w="80" w:type="dxa"/>
              <w:start w:w="120" w:type="dxa"/>
              <w:bottom w:w="80" w:type="dxa"/>
              <w:end w:w="120" w:type="dxa"/>
            </w:tcMar>
            <w:vAlign w:val="center"/>
          </w:tcPr>
          <w:p>
            <w:r>
              <w:rPr>
                <w:rFonts w:ascii="Calibri" w:hAnsi="Calibri"/>
                <w:b w:val="0"/>
                <w:i w:val="0"/>
                <w:color w:val="1F2937"/>
                <w:sz w:val="14"/>
              </w:rPr>
              <w:t>Tender providers; model GMV; negotiate settlement and refund terms</w:t>
            </w:r>
          </w:p>
        </w:tc>
        <w:tc>
          <w:tcPr>
            <w:tcW w:type="dxa" w:w="1160"/>
            <w:tcMar>
              <w:top w:w="80" w:type="dxa"/>
              <w:start w:w="120" w:type="dxa"/>
              <w:bottom w:w="80" w:type="dxa"/>
              <w:end w:w="120" w:type="dxa"/>
            </w:tcMar>
            <w:vAlign w:val="center"/>
          </w:tcPr>
          <w:p>
            <w:r>
              <w:rPr>
                <w:rFonts w:ascii="Calibri" w:hAnsi="Calibri"/>
                <w:b w:val="0"/>
                <w:i w:val="0"/>
                <w:color w:val="1F2937"/>
                <w:sz w:val="14"/>
              </w:rPr>
              <w:t>Finance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R04</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Unknown hardware/API at site</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Inventory and installer quote before development</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Operations</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R05</w:t>
            </w:r>
          </w:p>
        </w:tc>
        <w:tc>
          <w:tcPr>
            <w:tcW w:type="dxa" w:w="2300"/>
            <w:tcMar>
              <w:top w:w="80" w:type="dxa"/>
              <w:start w:w="120" w:type="dxa"/>
              <w:bottom w:w="80" w:type="dxa"/>
              <w:end w:w="120" w:type="dxa"/>
            </w:tcMar>
            <w:vAlign w:val="center"/>
          </w:tcPr>
          <w:p>
            <w:r>
              <w:rPr>
                <w:rFonts w:ascii="Calibri" w:hAnsi="Calibri"/>
                <w:b w:val="0"/>
                <w:i w:val="0"/>
                <w:color w:val="1F2937"/>
                <w:sz w:val="14"/>
              </w:rPr>
              <w:t>Bulk dynamic image transformations</w:t>
            </w:r>
          </w:p>
        </w:tc>
        <w:tc>
          <w:tcPr>
            <w:tcW w:type="dxa" w:w="1000"/>
            <w:tcMar>
              <w:top w:w="80" w:type="dxa"/>
              <w:start w:w="120" w:type="dxa"/>
              <w:bottom w:w="80" w:type="dxa"/>
              <w:end w:w="120" w:type="dxa"/>
            </w:tcMar>
            <w:vAlign w:val="center"/>
          </w:tcPr>
          <w:p>
            <w:r>
              <w:rPr>
                <w:rFonts w:ascii="Calibri" w:hAnsi="Calibri"/>
                <w:b w:val="0"/>
                <w:i w:val="0"/>
                <w:color w:val="1F2937"/>
                <w:sz w:val="14"/>
              </w:rPr>
              <w:t>Med</w:t>
            </w:r>
          </w:p>
        </w:tc>
        <w:tc>
          <w:tcPr>
            <w:tcW w:type="dxa" w:w="900"/>
            <w:tcMar>
              <w:top w:w="80" w:type="dxa"/>
              <w:start w:w="120" w:type="dxa"/>
              <w:bottom w:w="80" w:type="dxa"/>
              <w:end w:w="120" w:type="dxa"/>
            </w:tcMar>
            <w:vAlign w:val="center"/>
          </w:tcPr>
          <w:p>
            <w:r>
              <w:rPr>
                <w:rFonts w:ascii="Calibri" w:hAnsi="Calibri"/>
                <w:b w:val="0"/>
                <w:i w:val="0"/>
                <w:color w:val="1F2937"/>
                <w:sz w:val="14"/>
              </w:rPr>
              <w:t>High</w:t>
            </w:r>
          </w:p>
        </w:tc>
        <w:tc>
          <w:tcPr>
            <w:tcW w:type="dxa" w:w="3400"/>
            <w:tcMar>
              <w:top w:w="80" w:type="dxa"/>
              <w:start w:w="120" w:type="dxa"/>
              <w:bottom w:w="80" w:type="dxa"/>
              <w:end w:w="120" w:type="dxa"/>
            </w:tcMar>
            <w:vAlign w:val="center"/>
          </w:tcPr>
          <w:p>
            <w:r>
              <w:rPr>
                <w:rFonts w:ascii="Calibri" w:hAnsi="Calibri"/>
                <w:b w:val="0"/>
                <w:i w:val="0"/>
                <w:color w:val="1F2937"/>
                <w:sz w:val="14"/>
              </w:rPr>
              <w:t>Pre-generate thumbnails and cap transformations</w:t>
            </w:r>
          </w:p>
        </w:tc>
        <w:tc>
          <w:tcPr>
            <w:tcW w:type="dxa" w:w="1160"/>
            <w:tcMar>
              <w:top w:w="80" w:type="dxa"/>
              <w:start w:w="120" w:type="dxa"/>
              <w:bottom w:w="80" w:type="dxa"/>
              <w:end w:w="120" w:type="dxa"/>
            </w:tcMar>
            <w:vAlign w:val="center"/>
          </w:tcPr>
          <w:p>
            <w:r>
              <w:rPr>
                <w:rFonts w:ascii="Calibri" w:hAnsi="Calibri"/>
                <w:b w:val="0"/>
                <w:i w:val="0"/>
                <w:color w:val="1F2937"/>
                <w:sz w:val="14"/>
              </w:rPr>
              <w:t>Engineering</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R06</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SMS packages bought on wrong assumptions</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Annual optimiser, expiry/stacking confirmation, message-class policy</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Operations</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R07</w:t>
            </w:r>
          </w:p>
        </w:tc>
        <w:tc>
          <w:tcPr>
            <w:tcW w:type="dxa" w:w="2300"/>
            <w:tcMar>
              <w:top w:w="80" w:type="dxa"/>
              <w:start w:w="120" w:type="dxa"/>
              <w:bottom w:w="80" w:type="dxa"/>
              <w:end w:w="120" w:type="dxa"/>
            </w:tcMar>
            <w:vAlign w:val="center"/>
          </w:tcPr>
          <w:p>
            <w:r>
              <w:rPr>
                <w:rFonts w:ascii="Calibri" w:hAnsi="Calibri"/>
                <w:b w:val="0"/>
                <w:i w:val="0"/>
                <w:color w:val="1F2937"/>
                <w:sz w:val="14"/>
              </w:rPr>
              <w:t>AI leaks data or triggers unsafe action</w:t>
            </w:r>
          </w:p>
        </w:tc>
        <w:tc>
          <w:tcPr>
            <w:tcW w:type="dxa" w:w="1000"/>
            <w:tcMar>
              <w:top w:w="80" w:type="dxa"/>
              <w:start w:w="120" w:type="dxa"/>
              <w:bottom w:w="80" w:type="dxa"/>
              <w:end w:w="120" w:type="dxa"/>
            </w:tcMar>
            <w:vAlign w:val="center"/>
          </w:tcPr>
          <w:p>
            <w:r>
              <w:rPr>
                <w:rFonts w:ascii="Calibri" w:hAnsi="Calibri"/>
                <w:b w:val="0"/>
                <w:i w:val="0"/>
                <w:color w:val="1F2937"/>
                <w:sz w:val="14"/>
              </w:rPr>
              <w:t>Med</w:t>
            </w:r>
          </w:p>
        </w:tc>
        <w:tc>
          <w:tcPr>
            <w:tcW w:type="dxa" w:w="900"/>
            <w:tcMar>
              <w:top w:w="80" w:type="dxa"/>
              <w:start w:w="120" w:type="dxa"/>
              <w:bottom w:w="80" w:type="dxa"/>
              <w:end w:w="120" w:type="dxa"/>
            </w:tcMar>
            <w:vAlign w:val="center"/>
          </w:tcPr>
          <w:p>
            <w:r>
              <w:rPr>
                <w:rFonts w:ascii="Calibri" w:hAnsi="Calibri"/>
                <w:b w:val="0"/>
                <w:i w:val="0"/>
                <w:color w:val="1F2937"/>
                <w:sz w:val="14"/>
              </w:rPr>
              <w:t>High</w:t>
            </w:r>
          </w:p>
        </w:tc>
        <w:tc>
          <w:tcPr>
            <w:tcW w:type="dxa" w:w="3400"/>
            <w:tcMar>
              <w:top w:w="80" w:type="dxa"/>
              <w:start w:w="120" w:type="dxa"/>
              <w:bottom w:w="80" w:type="dxa"/>
              <w:end w:w="120" w:type="dxa"/>
            </w:tcMar>
            <w:vAlign w:val="center"/>
          </w:tcPr>
          <w:p>
            <w:r>
              <w:rPr>
                <w:rFonts w:ascii="Calibri" w:hAnsi="Calibri"/>
                <w:b w:val="0"/>
                <w:i w:val="0"/>
                <w:color w:val="1F2937"/>
                <w:sz w:val="14"/>
              </w:rPr>
              <w:t>RBAC retrieval, redaction, evals, human approvals and prohibited-action tests</w:t>
            </w:r>
          </w:p>
        </w:tc>
        <w:tc>
          <w:tcPr>
            <w:tcW w:type="dxa" w:w="1160"/>
            <w:tcMar>
              <w:top w:w="80" w:type="dxa"/>
              <w:start w:w="120" w:type="dxa"/>
              <w:bottom w:w="80" w:type="dxa"/>
              <w:end w:w="120" w:type="dxa"/>
            </w:tcMar>
            <w:vAlign w:val="center"/>
          </w:tcPr>
          <w:p>
            <w:r>
              <w:rPr>
                <w:rFonts w:ascii="Calibri" w:hAnsi="Calibri"/>
                <w:b w:val="0"/>
                <w:i w:val="0"/>
                <w:color w:val="1F2937"/>
                <w:sz w:val="14"/>
              </w:rPr>
              <w:t>Product/security</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R08</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EİDS/listing workflow non-compliant</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Verified authority evidence and channel rules</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Brokerage/legal</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R09</w:t>
            </w:r>
          </w:p>
        </w:tc>
        <w:tc>
          <w:tcPr>
            <w:tcW w:type="dxa" w:w="2300"/>
            <w:tcMar>
              <w:top w:w="80" w:type="dxa"/>
              <w:start w:w="120" w:type="dxa"/>
              <w:bottom w:w="80" w:type="dxa"/>
              <w:end w:w="120" w:type="dxa"/>
            </w:tcMar>
            <w:vAlign w:val="center"/>
          </w:tcPr>
          <w:p>
            <w:r>
              <w:rPr>
                <w:rFonts w:ascii="Calibri" w:hAnsi="Calibri"/>
                <w:b w:val="0"/>
                <w:i w:val="0"/>
                <w:color w:val="1F2937"/>
                <w:sz w:val="14"/>
              </w:rPr>
              <w:t>Self-hosted Twenty treated as free</w:t>
            </w:r>
          </w:p>
        </w:tc>
        <w:tc>
          <w:tcPr>
            <w:tcW w:type="dxa" w:w="1000"/>
            <w:tcMar>
              <w:top w:w="80" w:type="dxa"/>
              <w:start w:w="120" w:type="dxa"/>
              <w:bottom w:w="80" w:type="dxa"/>
              <w:end w:w="120" w:type="dxa"/>
            </w:tcMar>
            <w:vAlign w:val="center"/>
          </w:tcPr>
          <w:p>
            <w:r>
              <w:rPr>
                <w:rFonts w:ascii="Calibri" w:hAnsi="Calibri"/>
                <w:b w:val="0"/>
                <w:i w:val="0"/>
                <w:color w:val="1F2937"/>
                <w:sz w:val="14"/>
              </w:rPr>
              <w:t>Med</w:t>
            </w:r>
          </w:p>
        </w:tc>
        <w:tc>
          <w:tcPr>
            <w:tcW w:type="dxa" w:w="900"/>
            <w:tcMar>
              <w:top w:w="80" w:type="dxa"/>
              <w:start w:w="120" w:type="dxa"/>
              <w:bottom w:w="80" w:type="dxa"/>
              <w:end w:w="120" w:type="dxa"/>
            </w:tcMar>
            <w:vAlign w:val="center"/>
          </w:tcPr>
          <w:p>
            <w:r>
              <w:rPr>
                <w:rFonts w:ascii="Calibri" w:hAnsi="Calibri"/>
                <w:b w:val="0"/>
                <w:i w:val="0"/>
                <w:color w:val="1F2937"/>
                <w:sz w:val="14"/>
              </w:rPr>
              <w:t>Med</w:t>
            </w:r>
          </w:p>
        </w:tc>
        <w:tc>
          <w:tcPr>
            <w:tcW w:type="dxa" w:w="3400"/>
            <w:tcMar>
              <w:top w:w="80" w:type="dxa"/>
              <w:start w:w="120" w:type="dxa"/>
              <w:bottom w:w="80" w:type="dxa"/>
              <w:end w:w="120" w:type="dxa"/>
            </w:tcMar>
            <w:vAlign w:val="center"/>
          </w:tcPr>
          <w:p>
            <w:r>
              <w:rPr>
                <w:rFonts w:ascii="Calibri" w:hAnsi="Calibri"/>
                <w:b w:val="0"/>
                <w:i w:val="0"/>
                <w:color w:val="1F2937"/>
                <w:sz w:val="14"/>
              </w:rPr>
              <w:t>Price hosting, backup, upgrades, monitoring and on-call support</w:t>
            </w:r>
          </w:p>
        </w:tc>
        <w:tc>
          <w:tcPr>
            <w:tcW w:type="dxa" w:w="1160"/>
            <w:tcMar>
              <w:top w:w="80" w:type="dxa"/>
              <w:start w:w="120" w:type="dxa"/>
              <w:bottom w:w="80" w:type="dxa"/>
              <w:end w:w="120" w:type="dxa"/>
            </w:tcMar>
            <w:vAlign w:val="center"/>
          </w:tcPr>
          <w:p>
            <w:r>
              <w:rPr>
                <w:rFonts w:ascii="Calibri" w:hAnsi="Calibri"/>
                <w:b w:val="0"/>
                <w:i w:val="0"/>
                <w:color w:val="1F2937"/>
                <w:sz w:val="14"/>
              </w:rPr>
              <w:t>IT/finance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R10</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Quote-only costs hidden as zero</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Unresolved counter; known subtotal label; procurement owner/deadline</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Programme control</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R11</w:t>
            </w:r>
          </w:p>
        </w:tc>
        <w:tc>
          <w:tcPr>
            <w:tcW w:type="dxa" w:w="2300"/>
            <w:tcMar>
              <w:top w:w="80" w:type="dxa"/>
              <w:start w:w="120" w:type="dxa"/>
              <w:bottom w:w="80" w:type="dxa"/>
              <w:end w:w="120" w:type="dxa"/>
            </w:tcMar>
            <w:vAlign w:val="center"/>
          </w:tcPr>
          <w:p>
            <w:r>
              <w:rPr>
                <w:rFonts w:ascii="Calibri" w:hAnsi="Calibri"/>
                <w:b w:val="0"/>
                <w:i w:val="0"/>
                <w:color w:val="1F2937"/>
                <w:sz w:val="14"/>
              </w:rPr>
              <w:t>FX/tax budget gap</w:t>
            </w:r>
          </w:p>
        </w:tc>
        <w:tc>
          <w:tcPr>
            <w:tcW w:type="dxa" w:w="1000"/>
            <w:tcMar>
              <w:top w:w="80" w:type="dxa"/>
              <w:start w:w="120" w:type="dxa"/>
              <w:bottom w:w="80" w:type="dxa"/>
              <w:end w:w="120" w:type="dxa"/>
            </w:tcMar>
            <w:vAlign w:val="center"/>
          </w:tcPr>
          <w:p>
            <w:r>
              <w:rPr>
                <w:rFonts w:ascii="Calibri" w:hAnsi="Calibri"/>
                <w:b w:val="0"/>
                <w:i w:val="0"/>
                <w:color w:val="1F2937"/>
                <w:sz w:val="14"/>
              </w:rPr>
              <w:t>High</w:t>
            </w:r>
          </w:p>
        </w:tc>
        <w:tc>
          <w:tcPr>
            <w:tcW w:type="dxa" w:w="900"/>
            <w:tcMar>
              <w:top w:w="80" w:type="dxa"/>
              <w:start w:w="120" w:type="dxa"/>
              <w:bottom w:w="80" w:type="dxa"/>
              <w:end w:w="120" w:type="dxa"/>
            </w:tcMar>
            <w:vAlign w:val="center"/>
          </w:tcPr>
          <w:p>
            <w:r>
              <w:rPr>
                <w:rFonts w:ascii="Calibri" w:hAnsi="Calibri"/>
                <w:b w:val="0"/>
                <w:i w:val="0"/>
                <w:color w:val="1F2937"/>
                <w:sz w:val="14"/>
              </w:rPr>
              <w:t>Med</w:t>
            </w:r>
          </w:p>
        </w:tc>
        <w:tc>
          <w:tcPr>
            <w:tcW w:type="dxa" w:w="3400"/>
            <w:tcMar>
              <w:top w:w="80" w:type="dxa"/>
              <w:start w:w="120" w:type="dxa"/>
              <w:bottom w:w="80" w:type="dxa"/>
              <w:end w:w="120" w:type="dxa"/>
            </w:tcMar>
            <w:vAlign w:val="center"/>
          </w:tcPr>
          <w:p>
            <w:r>
              <w:rPr>
                <w:rFonts w:ascii="Calibri" w:hAnsi="Calibri"/>
                <w:b w:val="0"/>
                <w:i w:val="0"/>
                <w:color w:val="1F2937"/>
                <w:sz w:val="14"/>
              </w:rPr>
              <w:t>Dated FX, separate buffer, accountant tax treatment and spend alerts</w:t>
            </w:r>
          </w:p>
        </w:tc>
        <w:tc>
          <w:tcPr>
            <w:tcW w:type="dxa" w:w="1160"/>
            <w:tcMar>
              <w:top w:w="80" w:type="dxa"/>
              <w:start w:w="120" w:type="dxa"/>
              <w:bottom w:w="80" w:type="dxa"/>
              <w:end w:w="120" w:type="dxa"/>
            </w:tcMar>
            <w:vAlign w:val="center"/>
          </w:tcPr>
          <w:p>
            <w:r>
              <w:rPr>
                <w:rFonts w:ascii="Calibri" w:hAnsi="Calibri"/>
                <w:b w:val="0"/>
                <w:i w:val="0"/>
                <w:color w:val="1F2937"/>
                <w:sz w:val="14"/>
              </w:rPr>
              <w:t>Finance</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R12</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Provider outage causes silent finance/access failure</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Health monitoring, queue, manual fallback and reconciliation</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IT/operations</w:t>
            </w:r>
          </w:p>
        </w:tc>
      </w:tr>
      <w:tr>
        <w:trPr>
          <w:cantSplit/>
        </w:trPr>
        <w:tc>
          <w:tcPr>
            <w:tcW w:type="dxa" w:w="600"/>
            <w:tcMar>
              <w:top w:w="80" w:type="dxa"/>
              <w:start w:w="120" w:type="dxa"/>
              <w:bottom w:w="80" w:type="dxa"/>
              <w:end w:w="120" w:type="dxa"/>
            </w:tcMar>
            <w:vAlign w:val="center"/>
          </w:tcPr>
          <w:p>
            <w:r>
              <w:rPr>
                <w:rFonts w:ascii="Calibri" w:hAnsi="Calibri"/>
                <w:b/>
                <w:i w:val="0"/>
                <w:color w:val="102A43"/>
                <w:sz w:val="14"/>
              </w:rPr>
              <w:t>R13</w:t>
            </w:r>
          </w:p>
        </w:tc>
        <w:tc>
          <w:tcPr>
            <w:tcW w:type="dxa" w:w="2300"/>
            <w:tcMar>
              <w:top w:w="80" w:type="dxa"/>
              <w:start w:w="120" w:type="dxa"/>
              <w:bottom w:w="80" w:type="dxa"/>
              <w:end w:w="120" w:type="dxa"/>
            </w:tcMar>
            <w:vAlign w:val="center"/>
          </w:tcPr>
          <w:p>
            <w:r>
              <w:rPr>
                <w:rFonts w:ascii="Calibri" w:hAnsi="Calibri"/>
                <w:b w:val="0"/>
                <w:i w:val="0"/>
                <w:color w:val="1F2937"/>
                <w:sz w:val="14"/>
              </w:rPr>
              <w:t>Real data migration quality</w:t>
            </w:r>
          </w:p>
        </w:tc>
        <w:tc>
          <w:tcPr>
            <w:tcW w:type="dxa" w:w="1000"/>
            <w:tcMar>
              <w:top w:w="80" w:type="dxa"/>
              <w:start w:w="120" w:type="dxa"/>
              <w:bottom w:w="80" w:type="dxa"/>
              <w:end w:w="120" w:type="dxa"/>
            </w:tcMar>
            <w:vAlign w:val="center"/>
          </w:tcPr>
          <w:p>
            <w:r>
              <w:rPr>
                <w:rFonts w:ascii="Calibri" w:hAnsi="Calibri"/>
                <w:b w:val="0"/>
                <w:i w:val="0"/>
                <w:color w:val="1F2937"/>
                <w:sz w:val="14"/>
              </w:rPr>
              <w:t>Med</w:t>
            </w:r>
          </w:p>
        </w:tc>
        <w:tc>
          <w:tcPr>
            <w:tcW w:type="dxa" w:w="900"/>
            <w:tcMar>
              <w:top w:w="80" w:type="dxa"/>
              <w:start w:w="120" w:type="dxa"/>
              <w:bottom w:w="80" w:type="dxa"/>
              <w:end w:w="120" w:type="dxa"/>
            </w:tcMar>
            <w:vAlign w:val="center"/>
          </w:tcPr>
          <w:p>
            <w:r>
              <w:rPr>
                <w:rFonts w:ascii="Calibri" w:hAnsi="Calibri"/>
                <w:b w:val="0"/>
                <w:i w:val="0"/>
                <w:color w:val="1F2937"/>
                <w:sz w:val="14"/>
              </w:rPr>
              <w:t>High</w:t>
            </w:r>
          </w:p>
        </w:tc>
        <w:tc>
          <w:tcPr>
            <w:tcW w:type="dxa" w:w="3400"/>
            <w:tcMar>
              <w:top w:w="80" w:type="dxa"/>
              <w:start w:w="120" w:type="dxa"/>
              <w:bottom w:w="80" w:type="dxa"/>
              <w:end w:w="120" w:type="dxa"/>
            </w:tcMar>
            <w:vAlign w:val="center"/>
          </w:tcPr>
          <w:p>
            <w:r>
              <w:rPr>
                <w:rFonts w:ascii="Calibri" w:hAnsi="Calibri"/>
                <w:b w:val="0"/>
                <w:i w:val="0"/>
                <w:color w:val="1F2937"/>
                <w:sz w:val="14"/>
              </w:rPr>
              <w:t>Source profiling, deduplication, totals/reconciliation and client sign-off</w:t>
            </w:r>
          </w:p>
        </w:tc>
        <w:tc>
          <w:tcPr>
            <w:tcW w:type="dxa" w:w="1160"/>
            <w:tcMar>
              <w:top w:w="80" w:type="dxa"/>
              <w:start w:w="120" w:type="dxa"/>
              <w:bottom w:w="80" w:type="dxa"/>
              <w:end w:w="120" w:type="dxa"/>
            </w:tcMar>
            <w:vAlign w:val="center"/>
          </w:tcPr>
          <w:p>
            <w:r>
              <w:rPr>
                <w:rFonts w:ascii="Calibri" w:hAnsi="Calibri"/>
                <w:b w:val="0"/>
                <w:i w:val="0"/>
                <w:color w:val="1F2937"/>
                <w:sz w:val="14"/>
              </w:rPr>
              <w:t>Data owner</w:t>
            </w:r>
          </w:p>
        </w:tc>
      </w:tr>
      <w:tr>
        <w:trPr>
          <w:cantSplit/>
        </w:trPr>
        <w:tc>
          <w:tcPr>
            <w:tcW w:type="dxa" w:w="600"/>
            <w:shd w:fill="F8FAFC"/>
            <w:tcMar>
              <w:top w:w="80" w:type="dxa"/>
              <w:start w:w="120" w:type="dxa"/>
              <w:bottom w:w="80" w:type="dxa"/>
              <w:end w:w="120" w:type="dxa"/>
            </w:tcMar>
            <w:vAlign w:val="center"/>
          </w:tcPr>
          <w:p>
            <w:r>
              <w:rPr>
                <w:rFonts w:ascii="Calibri" w:hAnsi="Calibri"/>
                <w:b/>
                <w:i w:val="0"/>
                <w:color w:val="102A43"/>
                <w:sz w:val="14"/>
              </w:rPr>
              <w:t>R14</w:t>
            </w:r>
          </w:p>
        </w:tc>
        <w:tc>
          <w:tcPr>
            <w:tcW w:type="dxa" w:w="2300"/>
            <w:shd w:fill="F8FAFC"/>
            <w:tcMar>
              <w:top w:w="80" w:type="dxa"/>
              <w:start w:w="120" w:type="dxa"/>
              <w:bottom w:w="80" w:type="dxa"/>
              <w:end w:w="120" w:type="dxa"/>
            </w:tcMar>
            <w:vAlign w:val="center"/>
          </w:tcPr>
          <w:p>
            <w:r>
              <w:rPr>
                <w:rFonts w:ascii="Calibri" w:hAnsi="Calibri"/>
                <w:b w:val="0"/>
                <w:i w:val="0"/>
                <w:color w:val="1F2937"/>
                <w:sz w:val="14"/>
              </w:rPr>
              <w:t>No support/incident owner after launch</w:t>
            </w:r>
          </w:p>
        </w:tc>
        <w:tc>
          <w:tcPr>
            <w:tcW w:type="dxa" w:w="1000"/>
            <w:shd w:fill="F8FAFC"/>
            <w:tcMar>
              <w:top w:w="80" w:type="dxa"/>
              <w:start w:w="120" w:type="dxa"/>
              <w:bottom w:w="80" w:type="dxa"/>
              <w:end w:w="120" w:type="dxa"/>
            </w:tcMar>
            <w:vAlign w:val="center"/>
          </w:tcPr>
          <w:p>
            <w:r>
              <w:rPr>
                <w:rFonts w:ascii="Calibri" w:hAnsi="Calibri"/>
                <w:b w:val="0"/>
                <w:i w:val="0"/>
                <w:color w:val="1F2937"/>
                <w:sz w:val="14"/>
              </w:rPr>
              <w:t>Med</w:t>
            </w:r>
          </w:p>
        </w:tc>
        <w:tc>
          <w:tcPr>
            <w:tcW w:type="dxa" w:w="900"/>
            <w:shd w:fill="F8FAFC"/>
            <w:tcMar>
              <w:top w:w="80" w:type="dxa"/>
              <w:start w:w="120" w:type="dxa"/>
              <w:bottom w:w="80" w:type="dxa"/>
              <w:end w:w="120" w:type="dxa"/>
            </w:tcMar>
            <w:vAlign w:val="center"/>
          </w:tcPr>
          <w:p>
            <w:r>
              <w:rPr>
                <w:rFonts w:ascii="Calibri" w:hAnsi="Calibri"/>
                <w:b w:val="0"/>
                <w:i w:val="0"/>
                <w:color w:val="1F2937"/>
                <w:sz w:val="14"/>
              </w:rPr>
              <w:t>High</w:t>
            </w:r>
          </w:p>
        </w:tc>
        <w:tc>
          <w:tcPr>
            <w:tcW w:type="dxa" w:w="3400"/>
            <w:shd w:fill="F8FAFC"/>
            <w:tcMar>
              <w:top w:w="80" w:type="dxa"/>
              <w:start w:w="120" w:type="dxa"/>
              <w:bottom w:w="80" w:type="dxa"/>
              <w:end w:w="120" w:type="dxa"/>
            </w:tcMar>
            <w:vAlign w:val="center"/>
          </w:tcPr>
          <w:p>
            <w:r>
              <w:rPr>
                <w:rFonts w:ascii="Calibri" w:hAnsi="Calibri"/>
                <w:b w:val="0"/>
                <w:i w:val="0"/>
                <w:color w:val="1F2937"/>
                <w:sz w:val="14"/>
              </w:rPr>
              <w:t>Service model, severity targets, escalation and hypercare exit</w:t>
            </w:r>
          </w:p>
        </w:tc>
        <w:tc>
          <w:tcPr>
            <w:tcW w:type="dxa" w:w="1160"/>
            <w:shd w:fill="F8FAFC"/>
            <w:tcMar>
              <w:top w:w="80" w:type="dxa"/>
              <w:start w:w="120" w:type="dxa"/>
              <w:bottom w:w="80" w:type="dxa"/>
              <w:end w:w="120" w:type="dxa"/>
            </w:tcMar>
            <w:vAlign w:val="center"/>
          </w:tcPr>
          <w:p>
            <w:r>
              <w:rPr>
                <w:rFonts w:ascii="Calibri" w:hAnsi="Calibri"/>
                <w:b w:val="0"/>
                <w:i w:val="0"/>
                <w:color w:val="1F2937"/>
                <w:sz w:val="14"/>
              </w:rPr>
              <w:t>Executive/IT</w:t>
            </w:r>
          </w:p>
        </w:tc>
      </w:tr>
    </w:tbl>
    <w:p>
      <w:pPr>
        <w:pStyle w:val="Heading2"/>
      </w:pPr>
      <w:r>
        <w:t>13.1 Unpriced dependency register</w:t>
      </w:r>
    </w:p>
    <w:p>
      <w:r>
        <w:rPr>
          <w:rFonts w:ascii="Calibri" w:hAnsi="Calibri"/>
          <w:b w:val="0"/>
          <w:i w:val="0"/>
          <w:color w:val="1F2937"/>
          <w:sz w:val="20"/>
        </w:rPr>
        <w:t>These items must remain visible in the budget even when their amount is unknown:</w:t>
      </w:r>
    </w:p>
    <w:p>
      <w:pPr>
        <w:pStyle w:val="ListBullet"/>
        <w:spacing w:after="80"/>
        <w:ind w:left="720" w:hanging="360"/>
      </w:pPr>
      <w:r>
        <w:rPr>
          <w:rFonts w:ascii="Calibri" w:hAnsi="Calibri"/>
          <w:b w:val="0"/>
          <w:i w:val="0"/>
          <w:color w:val="1F2937"/>
          <w:sz w:val="20"/>
        </w:rPr>
        <w:t>PayTR/Sipay contracted rates, instalment/chargeback/refund and settlement terms.</w:t>
      </w:r>
    </w:p>
    <w:p>
      <w:pPr>
        <w:pStyle w:val="ListBullet"/>
        <w:spacing w:after="80"/>
        <w:ind w:left="720" w:hanging="360"/>
      </w:pPr>
      <w:r>
        <w:rPr>
          <w:rFonts w:ascii="Calibri" w:hAnsi="Calibri"/>
          <w:b w:val="0"/>
          <w:i w:val="0"/>
          <w:color w:val="1F2937"/>
          <w:sz w:val="20"/>
        </w:rPr>
        <w:t>Secure Property Payment System technical route, provider and tariff after 1 October 2026.</w:t>
      </w:r>
    </w:p>
    <w:p>
      <w:pPr>
        <w:pStyle w:val="ListBullet"/>
        <w:spacing w:after="80"/>
        <w:ind w:left="720" w:hanging="360"/>
      </w:pPr>
      <w:r>
        <w:rPr>
          <w:rFonts w:ascii="Calibri" w:hAnsi="Calibri"/>
          <w:b w:val="0"/>
          <w:i w:val="0"/>
          <w:color w:val="1F2937"/>
          <w:sz w:val="20"/>
        </w:rPr>
        <w:t>Turkish/local production cloud or hybrid hosting if selected.</w:t>
      </w:r>
    </w:p>
    <w:p>
      <w:pPr>
        <w:pStyle w:val="ListBullet"/>
        <w:spacing w:after="80"/>
        <w:ind w:left="720" w:hanging="360"/>
      </w:pPr>
      <w:r>
        <w:rPr>
          <w:rFonts w:ascii="Calibri" w:hAnsi="Calibri"/>
          <w:b w:val="0"/>
          <w:i w:val="0"/>
          <w:color w:val="1F2937"/>
          <w:sz w:val="20"/>
        </w:rPr>
        <w:t>WhatsApp/Meta/BSP category rates, fixed fee and markup.</w:t>
      </w:r>
    </w:p>
    <w:p>
      <w:pPr>
        <w:pStyle w:val="ListBullet"/>
        <w:spacing w:after="80"/>
        <w:ind w:left="720" w:hanging="360"/>
      </w:pPr>
      <w:r>
        <w:rPr>
          <w:rFonts w:ascii="Calibri" w:hAnsi="Calibri"/>
          <w:b w:val="0"/>
          <w:i w:val="0"/>
          <w:color w:val="1F2937"/>
          <w:sz w:val="20"/>
        </w:rPr>
        <w:t>KEP, mali mühür and high-volume/private-integrator e-document route.</w:t>
      </w:r>
    </w:p>
    <w:p>
      <w:pPr>
        <w:pStyle w:val="ListBullet"/>
        <w:spacing w:after="80"/>
        <w:ind w:left="720" w:hanging="360"/>
      </w:pPr>
      <w:r>
        <w:rPr>
          <w:rFonts w:ascii="Calibri" w:hAnsi="Calibri"/>
          <w:b w:val="0"/>
          <w:i w:val="0"/>
          <w:color w:val="1F2937"/>
          <w:sz w:val="20"/>
        </w:rPr>
        <w:t>EİDS access/integration and property portal listing/API subscriptions.</w:t>
      </w:r>
    </w:p>
    <w:p>
      <w:pPr>
        <w:pStyle w:val="ListBullet"/>
        <w:spacing w:after="80"/>
        <w:ind w:left="720" w:hanging="360"/>
      </w:pPr>
      <w:r>
        <w:rPr>
          <w:rFonts w:ascii="Calibri" w:hAnsi="Calibri"/>
          <w:b w:val="0"/>
          <w:i w:val="0"/>
          <w:color w:val="1F2937"/>
          <w:sz w:val="20"/>
        </w:rPr>
        <w:t>Bank/open-banking/virtual-IBAN services.</w:t>
      </w:r>
    </w:p>
    <w:p>
      <w:pPr>
        <w:pStyle w:val="ListBullet"/>
        <w:spacing w:after="80"/>
        <w:ind w:left="720" w:hanging="360"/>
      </w:pPr>
      <w:r>
        <w:rPr>
          <w:rFonts w:ascii="Calibri" w:hAnsi="Calibri"/>
          <w:b w:val="0"/>
          <w:i w:val="0"/>
          <w:color w:val="1F2937"/>
          <w:sz w:val="20"/>
        </w:rPr>
        <w:t>Turkish legal, privacy, accounting and tax work.</w:t>
      </w:r>
    </w:p>
    <w:p>
      <w:pPr>
        <w:pStyle w:val="ListBullet"/>
        <w:spacing w:after="80"/>
        <w:ind w:left="720" w:hanging="360"/>
      </w:pPr>
      <w:r>
        <w:rPr>
          <w:rFonts w:ascii="Calibri" w:hAnsi="Calibri"/>
          <w:b w:val="0"/>
          <w:i w:val="0"/>
          <w:color w:val="1F2937"/>
          <w:sz w:val="20"/>
        </w:rPr>
        <w:t>Penetration testing, cyber insurance and external security monitoring.</w:t>
      </w:r>
    </w:p>
    <w:p>
      <w:pPr>
        <w:pStyle w:val="ListBullet"/>
        <w:spacing w:after="80"/>
        <w:ind w:left="720" w:hanging="360"/>
      </w:pPr>
      <w:r>
        <w:rPr>
          <w:rFonts w:ascii="Calibri" w:hAnsi="Calibri"/>
          <w:b w:val="0"/>
          <w:i w:val="0"/>
          <w:color w:val="1F2937"/>
          <w:sz w:val="20"/>
        </w:rPr>
        <w:t>Customer support/call centre, translation/content operation and ongoing maintenance retainer.</w:t>
      </w:r>
    </w:p>
    <w:p>
      <w:pPr>
        <w:pStyle w:val="ListBullet"/>
        <w:spacing w:after="80"/>
        <w:ind w:left="720" w:hanging="360"/>
      </w:pPr>
      <w:r>
        <w:rPr>
          <w:rFonts w:ascii="Calibri" w:hAnsi="Calibri"/>
          <w:b w:val="0"/>
          <w:i w:val="0"/>
          <w:color w:val="1F2937"/>
          <w:sz w:val="20"/>
        </w:rPr>
        <w:t>Camera/access/meter hardware, licences, installation, connectivity and installer support.</w:t>
      </w:r>
    </w:p>
    <w:p>
      <w:pPr>
        <w:pStyle w:val="ListBullet"/>
        <w:spacing w:after="80"/>
        <w:ind w:left="720" w:hanging="360"/>
      </w:pPr>
      <w:r>
        <w:rPr>
          <w:rFonts w:ascii="Calibri" w:hAnsi="Calibri"/>
          <w:b w:val="0"/>
          <w:i w:val="0"/>
          <w:color w:val="1F2937"/>
          <w:sz w:val="20"/>
        </w:rPr>
        <w:t>Real-data migration, cleansing, image processing and validation effort.</w:t>
      </w:r>
    </w:p>
    <w:p>
      <w:pPr>
        <w:pStyle w:val="Heading2"/>
        <w:pageBreakBefore/>
      </w:pPr>
      <w:r>
        <w:t>13.2 Management dashboard KPIs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500"/>
        <w:gridCol w:w="3900"/>
        <w:gridCol w:w="2960"/>
      </w:tblGrid>
      <w:tr>
        <w:trPr>
          <w:cantSplit/>
          <w:tblHeader w:val="true"/>
          <w:cantSplit/>
        </w:trPr>
        <w:tc>
          <w:tcPr>
            <w:tcW w:type="dxa" w:w="2500"/>
            <w:shd w:fill="102A43"/>
            <w:tcMar>
              <w:top w:w="80" w:type="dxa"/>
              <w:start w:w="120" w:type="dxa"/>
              <w:bottom w:w="80" w:type="dxa"/>
              <w:end w:w="120" w:type="dxa"/>
            </w:tcMar>
            <w:vAlign w:val="center"/>
          </w:tcPr>
          <w:p>
            <w:r>
              <w:rPr>
                <w:rFonts w:ascii="Calibri" w:hAnsi="Calibri"/>
                <w:b/>
                <w:i w:val="0"/>
                <w:color w:val="FFFFFF"/>
                <w:sz w:val="16"/>
              </w:rPr>
              <w:t>KPI</w:t>
            </w:r>
          </w:p>
        </w:tc>
        <w:tc>
          <w:tcPr>
            <w:tcW w:type="dxa" w:w="3900"/>
            <w:shd w:fill="102A43"/>
            <w:tcMar>
              <w:top w:w="80" w:type="dxa"/>
              <w:start w:w="120" w:type="dxa"/>
              <w:bottom w:w="80" w:type="dxa"/>
              <w:end w:w="120" w:type="dxa"/>
            </w:tcMar>
            <w:vAlign w:val="center"/>
          </w:tcPr>
          <w:p>
            <w:r>
              <w:rPr>
                <w:rFonts w:ascii="Calibri" w:hAnsi="Calibri"/>
                <w:b/>
                <w:i w:val="0"/>
                <w:color w:val="FFFFFF"/>
                <w:sz w:val="16"/>
              </w:rPr>
              <w:t>Purpose</w:t>
            </w:r>
          </w:p>
        </w:tc>
        <w:tc>
          <w:tcPr>
            <w:tcW w:type="dxa" w:w="2960"/>
            <w:shd w:fill="102A43"/>
            <w:tcMar>
              <w:top w:w="80" w:type="dxa"/>
              <w:start w:w="120" w:type="dxa"/>
              <w:bottom w:w="80" w:type="dxa"/>
              <w:end w:w="120" w:type="dxa"/>
            </w:tcMar>
            <w:vAlign w:val="center"/>
          </w:tcPr>
          <w:p>
            <w:r>
              <w:rPr>
                <w:rFonts w:ascii="Calibri" w:hAnsi="Calibri"/>
                <w:b/>
                <w:i w:val="0"/>
                <w:color w:val="FFFFFF"/>
                <w:sz w:val="16"/>
              </w:rPr>
              <w:t>Suggested alert</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Known subtotal vs approved budget</w:t>
            </w:r>
          </w:p>
        </w:tc>
        <w:tc>
          <w:tcPr>
            <w:tcW w:type="dxa" w:w="3900"/>
            <w:tcMar>
              <w:top w:w="80" w:type="dxa"/>
              <w:start w:w="120" w:type="dxa"/>
              <w:bottom w:w="80" w:type="dxa"/>
              <w:end w:w="120" w:type="dxa"/>
            </w:tcMar>
            <w:vAlign w:val="center"/>
          </w:tcPr>
          <w:p>
            <w:r>
              <w:rPr>
                <w:rFonts w:ascii="Calibri" w:hAnsi="Calibri"/>
                <w:b w:val="0"/>
                <w:i w:val="0"/>
                <w:color w:val="1F2937"/>
                <w:sz w:val="16"/>
              </w:rPr>
              <w:t>Control predictable spend without hiding quotes</w:t>
            </w:r>
          </w:p>
        </w:tc>
        <w:tc>
          <w:tcPr>
            <w:tcW w:type="dxa" w:w="2960"/>
            <w:tcMar>
              <w:top w:w="80" w:type="dxa"/>
              <w:start w:w="120" w:type="dxa"/>
              <w:bottom w:w="80" w:type="dxa"/>
              <w:end w:w="120" w:type="dxa"/>
            </w:tcMar>
            <w:vAlign w:val="center"/>
          </w:tcPr>
          <w:p>
            <w:r>
              <w:rPr>
                <w:rFonts w:ascii="Calibri" w:hAnsi="Calibri"/>
                <w:b w:val="0"/>
                <w:i w:val="0"/>
                <w:color w:val="1F2937"/>
                <w:sz w:val="16"/>
              </w:rPr>
              <w:t>80% and 100% of monthly cap</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Unresolved quotation count</w:t>
            </w:r>
          </w:p>
        </w:tc>
        <w:tc>
          <w:tcPr>
            <w:tcW w:type="dxa" w:w="3900"/>
            <w:shd w:fill="F8FAFC"/>
            <w:tcMar>
              <w:top w:w="80" w:type="dxa"/>
              <w:start w:w="120" w:type="dxa"/>
              <w:bottom w:w="80" w:type="dxa"/>
              <w:end w:w="120" w:type="dxa"/>
            </w:tcMar>
            <w:vAlign w:val="center"/>
          </w:tcPr>
          <w:p>
            <w:r>
              <w:rPr>
                <w:rFonts w:ascii="Calibri" w:hAnsi="Calibri"/>
                <w:b w:val="0"/>
                <w:i w:val="0"/>
                <w:color w:val="1F2937"/>
                <w:sz w:val="16"/>
              </w:rPr>
              <w:t>Expose incomplete budget</w:t>
            </w:r>
          </w:p>
        </w:tc>
        <w:tc>
          <w:tcPr>
            <w:tcW w:type="dxa" w:w="2960"/>
            <w:shd w:fill="F8FAFC"/>
            <w:tcMar>
              <w:top w:w="80" w:type="dxa"/>
              <w:start w:w="120" w:type="dxa"/>
              <w:bottom w:w="80" w:type="dxa"/>
              <w:end w:w="120" w:type="dxa"/>
            </w:tcMar>
            <w:vAlign w:val="center"/>
          </w:tcPr>
          <w:p>
            <w:r>
              <w:rPr>
                <w:rFonts w:ascii="Calibri" w:hAnsi="Calibri"/>
                <w:b w:val="0"/>
                <w:i w:val="0"/>
                <w:color w:val="1F2937"/>
                <w:sz w:val="16"/>
              </w:rPr>
              <w:t>Any launch-critical item still blank at G3</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Payment fee / GMV</w:t>
            </w:r>
          </w:p>
        </w:tc>
        <w:tc>
          <w:tcPr>
            <w:tcW w:type="dxa" w:w="3900"/>
            <w:tcMar>
              <w:top w:w="80" w:type="dxa"/>
              <w:start w:w="120" w:type="dxa"/>
              <w:bottom w:w="80" w:type="dxa"/>
              <w:end w:w="120" w:type="dxa"/>
            </w:tcMar>
            <w:vAlign w:val="center"/>
          </w:tcPr>
          <w:p>
            <w:r>
              <w:rPr>
                <w:rFonts w:ascii="Calibri" w:hAnsi="Calibri"/>
                <w:b w:val="0"/>
                <w:i w:val="0"/>
                <w:color w:val="1F2937"/>
                <w:sz w:val="16"/>
              </w:rPr>
              <w:t>Measure true collection economics</w:t>
            </w:r>
          </w:p>
        </w:tc>
        <w:tc>
          <w:tcPr>
            <w:tcW w:type="dxa" w:w="2960"/>
            <w:tcMar>
              <w:top w:w="80" w:type="dxa"/>
              <w:start w:w="120" w:type="dxa"/>
              <w:bottom w:w="80" w:type="dxa"/>
              <w:end w:w="120" w:type="dxa"/>
            </w:tcMar>
            <w:vAlign w:val="center"/>
          </w:tcPr>
          <w:p>
            <w:r>
              <w:rPr>
                <w:rFonts w:ascii="Calibri" w:hAnsi="Calibri"/>
                <w:b w:val="0"/>
                <w:i w:val="0"/>
                <w:color w:val="1F2937"/>
                <w:sz w:val="16"/>
              </w:rPr>
              <w:t>Contract variance or unexpected surcharge</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AI cost / successful outcome</w:t>
            </w:r>
          </w:p>
        </w:tc>
        <w:tc>
          <w:tcPr>
            <w:tcW w:type="dxa" w:w="3900"/>
            <w:shd w:fill="F8FAFC"/>
            <w:tcMar>
              <w:top w:w="80" w:type="dxa"/>
              <w:start w:w="120" w:type="dxa"/>
              <w:bottom w:w="80" w:type="dxa"/>
              <w:end w:w="120" w:type="dxa"/>
            </w:tcMar>
            <w:vAlign w:val="center"/>
          </w:tcPr>
          <w:p>
            <w:r>
              <w:rPr>
                <w:rFonts w:ascii="Calibri" w:hAnsi="Calibri"/>
                <w:b w:val="0"/>
                <w:i w:val="0"/>
                <w:color w:val="1F2937"/>
                <w:sz w:val="16"/>
              </w:rPr>
              <w:t>Tie token spend to accepted value</w:t>
            </w:r>
          </w:p>
        </w:tc>
        <w:tc>
          <w:tcPr>
            <w:tcW w:type="dxa" w:w="2960"/>
            <w:shd w:fill="F8FAFC"/>
            <w:tcMar>
              <w:top w:w="80" w:type="dxa"/>
              <w:start w:w="120" w:type="dxa"/>
              <w:bottom w:w="80" w:type="dxa"/>
              <w:end w:w="120" w:type="dxa"/>
            </w:tcMar>
            <w:vAlign w:val="center"/>
          </w:tcPr>
          <w:p>
            <w:r>
              <w:rPr>
                <w:rFonts w:ascii="Calibri" w:hAnsi="Calibri"/>
                <w:b w:val="0"/>
                <w:i w:val="0"/>
                <w:color w:val="1F2937"/>
                <w:sz w:val="16"/>
              </w:rPr>
              <w:t>Cost rises without acceptance/time-saving</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SMS delivered / purchased / expired</w:t>
            </w:r>
          </w:p>
        </w:tc>
        <w:tc>
          <w:tcPr>
            <w:tcW w:type="dxa" w:w="3900"/>
            <w:tcMar>
              <w:top w:w="80" w:type="dxa"/>
              <w:start w:w="120" w:type="dxa"/>
              <w:bottom w:w="80" w:type="dxa"/>
              <w:end w:w="120" w:type="dxa"/>
            </w:tcMar>
            <w:vAlign w:val="center"/>
          </w:tcPr>
          <w:p>
            <w:r>
              <w:rPr>
                <w:rFonts w:ascii="Calibri" w:hAnsi="Calibri"/>
                <w:b w:val="0"/>
                <w:i w:val="0"/>
                <w:color w:val="1F2937"/>
                <w:sz w:val="16"/>
              </w:rPr>
              <w:t>Prevent package waste</w:t>
            </w:r>
          </w:p>
        </w:tc>
        <w:tc>
          <w:tcPr>
            <w:tcW w:type="dxa" w:w="2960"/>
            <w:tcMar>
              <w:top w:w="80" w:type="dxa"/>
              <w:start w:w="120" w:type="dxa"/>
              <w:bottom w:w="80" w:type="dxa"/>
              <w:end w:w="120" w:type="dxa"/>
            </w:tcMar>
            <w:vAlign w:val="center"/>
          </w:tcPr>
          <w:p>
            <w:r>
              <w:rPr>
                <w:rFonts w:ascii="Calibri" w:hAnsi="Calibri"/>
                <w:b w:val="0"/>
                <w:i w:val="0"/>
                <w:color w:val="1F2937"/>
                <w:sz w:val="16"/>
              </w:rPr>
              <w:t>Low utilisation or expiry within 60 days</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Provider error/retry/dead-letter</w:t>
            </w:r>
          </w:p>
        </w:tc>
        <w:tc>
          <w:tcPr>
            <w:tcW w:type="dxa" w:w="3900"/>
            <w:shd w:fill="F8FAFC"/>
            <w:tcMar>
              <w:top w:w="80" w:type="dxa"/>
              <w:start w:w="120" w:type="dxa"/>
              <w:bottom w:w="80" w:type="dxa"/>
              <w:end w:w="120" w:type="dxa"/>
            </w:tcMar>
            <w:vAlign w:val="center"/>
          </w:tcPr>
          <w:p>
            <w:r>
              <w:rPr>
                <w:rFonts w:ascii="Calibri" w:hAnsi="Calibri"/>
                <w:b w:val="0"/>
                <w:i w:val="0"/>
                <w:color w:val="1F2937"/>
                <w:sz w:val="16"/>
              </w:rPr>
              <w:t>Prevent silent operational failure</w:t>
            </w:r>
          </w:p>
        </w:tc>
        <w:tc>
          <w:tcPr>
            <w:tcW w:type="dxa" w:w="2960"/>
            <w:shd w:fill="F8FAFC"/>
            <w:tcMar>
              <w:top w:w="80" w:type="dxa"/>
              <w:start w:w="120" w:type="dxa"/>
              <w:bottom w:w="80" w:type="dxa"/>
              <w:end w:w="120" w:type="dxa"/>
            </w:tcMar>
            <w:vAlign w:val="center"/>
          </w:tcPr>
          <w:p>
            <w:r>
              <w:rPr>
                <w:rFonts w:ascii="Calibri" w:hAnsi="Calibri"/>
                <w:b w:val="0"/>
                <w:i w:val="0"/>
                <w:color w:val="1F2937"/>
                <w:sz w:val="16"/>
              </w:rPr>
              <w:t>Threshold by severity and backlog age</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Storage/transform/egress growth</w:t>
            </w:r>
          </w:p>
        </w:tc>
        <w:tc>
          <w:tcPr>
            <w:tcW w:type="dxa" w:w="3900"/>
            <w:tcMar>
              <w:top w:w="80" w:type="dxa"/>
              <w:start w:w="120" w:type="dxa"/>
              <w:bottom w:w="80" w:type="dxa"/>
              <w:end w:w="120" w:type="dxa"/>
            </w:tcMar>
            <w:vAlign w:val="center"/>
          </w:tcPr>
          <w:p>
            <w:r>
              <w:rPr>
                <w:rFonts w:ascii="Calibri" w:hAnsi="Calibri"/>
                <w:b w:val="0"/>
                <w:i w:val="0"/>
                <w:color w:val="1F2937"/>
                <w:sz w:val="16"/>
              </w:rPr>
              <w:t>Catch avoidable media cost</w:t>
            </w:r>
          </w:p>
        </w:tc>
        <w:tc>
          <w:tcPr>
            <w:tcW w:type="dxa" w:w="2960"/>
            <w:tcMar>
              <w:top w:w="80" w:type="dxa"/>
              <w:start w:w="120" w:type="dxa"/>
              <w:bottom w:w="80" w:type="dxa"/>
              <w:end w:w="120" w:type="dxa"/>
            </w:tcMar>
            <w:vAlign w:val="center"/>
          </w:tcPr>
          <w:p>
            <w:r>
              <w:rPr>
                <w:rFonts w:ascii="Calibri" w:hAnsi="Calibri"/>
                <w:b w:val="0"/>
                <w:i w:val="0"/>
                <w:color w:val="1F2937"/>
                <w:sz w:val="16"/>
              </w:rPr>
              <w:t>Growth outside property/import plan</w:t>
            </w:r>
          </w:p>
        </w:tc>
      </w:tr>
      <w:tr>
        <w:trPr>
          <w:cantSplit/>
        </w:trPr>
        <w:tc>
          <w:tcPr>
            <w:tcW w:type="dxa" w:w="2500"/>
            <w:shd w:fill="F8FAFC"/>
            <w:tcMar>
              <w:top w:w="80" w:type="dxa"/>
              <w:start w:w="120" w:type="dxa"/>
              <w:bottom w:w="80" w:type="dxa"/>
              <w:end w:w="120" w:type="dxa"/>
            </w:tcMar>
            <w:vAlign w:val="center"/>
          </w:tcPr>
          <w:p>
            <w:r>
              <w:rPr>
                <w:rFonts w:ascii="Calibri" w:hAnsi="Calibri"/>
                <w:b/>
                <w:i w:val="0"/>
                <w:color w:val="102A43"/>
                <w:sz w:val="16"/>
              </w:rPr>
              <w:t>Backup restore age</w:t>
            </w:r>
          </w:p>
        </w:tc>
        <w:tc>
          <w:tcPr>
            <w:tcW w:type="dxa" w:w="3900"/>
            <w:shd w:fill="F8FAFC"/>
            <w:tcMar>
              <w:top w:w="80" w:type="dxa"/>
              <w:start w:w="120" w:type="dxa"/>
              <w:bottom w:w="80" w:type="dxa"/>
              <w:end w:w="120" w:type="dxa"/>
            </w:tcMar>
            <w:vAlign w:val="center"/>
          </w:tcPr>
          <w:p>
            <w:r>
              <w:rPr>
                <w:rFonts w:ascii="Calibri" w:hAnsi="Calibri"/>
                <w:b w:val="0"/>
                <w:i w:val="0"/>
                <w:color w:val="1F2937"/>
                <w:sz w:val="16"/>
              </w:rPr>
              <w:t>Prove recoverability</w:t>
            </w:r>
          </w:p>
        </w:tc>
        <w:tc>
          <w:tcPr>
            <w:tcW w:type="dxa" w:w="2960"/>
            <w:shd w:fill="F8FAFC"/>
            <w:tcMar>
              <w:top w:w="80" w:type="dxa"/>
              <w:start w:w="120" w:type="dxa"/>
              <w:bottom w:w="80" w:type="dxa"/>
              <w:end w:w="120" w:type="dxa"/>
            </w:tcMar>
            <w:vAlign w:val="center"/>
          </w:tcPr>
          <w:p>
            <w:r>
              <w:rPr>
                <w:rFonts w:ascii="Calibri" w:hAnsi="Calibri"/>
                <w:b w:val="0"/>
                <w:i w:val="0"/>
                <w:color w:val="1F2937"/>
                <w:sz w:val="16"/>
              </w:rPr>
              <w:t>Restore test overdue</w:t>
            </w:r>
          </w:p>
        </w:tc>
      </w:tr>
      <w:tr>
        <w:trPr>
          <w:cantSplit/>
        </w:trPr>
        <w:tc>
          <w:tcPr>
            <w:tcW w:type="dxa" w:w="2500"/>
            <w:tcMar>
              <w:top w:w="80" w:type="dxa"/>
              <w:start w:w="120" w:type="dxa"/>
              <w:bottom w:w="80" w:type="dxa"/>
              <w:end w:w="120" w:type="dxa"/>
            </w:tcMar>
            <w:vAlign w:val="center"/>
          </w:tcPr>
          <w:p>
            <w:r>
              <w:rPr>
                <w:rFonts w:ascii="Calibri" w:hAnsi="Calibri"/>
                <w:b/>
                <w:i w:val="0"/>
                <w:color w:val="102A43"/>
                <w:sz w:val="16"/>
              </w:rPr>
              <w:t>Compliance evidence expiry</w:t>
            </w:r>
          </w:p>
        </w:tc>
        <w:tc>
          <w:tcPr>
            <w:tcW w:type="dxa" w:w="3900"/>
            <w:tcMar>
              <w:top w:w="80" w:type="dxa"/>
              <w:start w:w="120" w:type="dxa"/>
              <w:bottom w:w="80" w:type="dxa"/>
              <w:end w:w="120" w:type="dxa"/>
            </w:tcMar>
            <w:vAlign w:val="center"/>
          </w:tcPr>
          <w:p>
            <w:r>
              <w:rPr>
                <w:rFonts w:ascii="Calibri" w:hAnsi="Calibri"/>
                <w:b w:val="0"/>
                <w:i w:val="0"/>
                <w:color w:val="1F2937"/>
                <w:sz w:val="16"/>
              </w:rPr>
              <w:t>Keep licences/certificates/contracts current</w:t>
            </w:r>
          </w:p>
        </w:tc>
        <w:tc>
          <w:tcPr>
            <w:tcW w:type="dxa" w:w="2960"/>
            <w:tcMar>
              <w:top w:w="80" w:type="dxa"/>
              <w:start w:w="120" w:type="dxa"/>
              <w:bottom w:w="80" w:type="dxa"/>
              <w:end w:w="120" w:type="dxa"/>
            </w:tcMar>
            <w:vAlign w:val="center"/>
          </w:tcPr>
          <w:p>
            <w:r>
              <w:rPr>
                <w:rFonts w:ascii="Calibri" w:hAnsi="Calibri"/>
                <w:b w:val="0"/>
                <w:i w:val="0"/>
                <w:color w:val="1F2937"/>
                <w:sz w:val="16"/>
              </w:rPr>
              <w:t>90/60/30-day reminders</w:t>
            </w:r>
          </w:p>
        </w:tc>
      </w:tr>
    </w:tbl>
    <w:p>
      <w:r>
        <w:br w:type="page"/>
      </w:r>
    </w:p>
    <w:p>
      <w:bookmarkStart w:id="116" w:name="formula-book"/>
      <w:pPr>
        <w:pStyle w:val="Heading1"/>
      </w:pPr>
      <w:r>
        <w:t>Appendix A — Formula book and worked examples</w:t>
      </w:r>
      <w:bookmarkEnd w:id="116"/>
    </w:p>
    <w:p>
      <w:pPr>
        <w:pStyle w:val="Heading2"/>
      </w:pPr>
      <w:r>
        <w:t>A.1 AI formula</w:t>
      </w:r>
    </w:p>
    <w:p>
      <w:r>
        <w:rPr>
          <w:rFonts w:ascii="Calibri" w:hAnsi="Calibri"/>
          <w:b w:val="0"/>
          <w:i w:val="0"/>
          <w:color w:val="1F2937"/>
          <w:sz w:val="20"/>
        </w:rPr>
        <w:t>AI users = active users × adoption rate. AI actions = AI users × actions per AI user. Cost per action = input tokens ÷ 1,000,000 × input price + output tokens ÷ 1,000,000 × output price. Monthly AI cost = actions × cost per action.</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cantSplit/>
          <w:tblHeader w:val="true"/>
        </w:trPr>
        <w:tc>
          <w:tcPr>
            <w:tcW w:type="dxa" w:w="9360"/>
            <w:shd w:fill="EAF2F8"/>
            <w:tcMar>
              <w:top w:w="80" w:type="dxa"/>
              <w:start w:w="120" w:type="dxa"/>
              <w:bottom w:w="80" w:type="dxa"/>
              <w:end w:w="120" w:type="dxa"/>
            </w:tcMar>
            <w:vAlign w:val="center"/>
          </w:tcPr>
          <w:p>
            <w:r>
              <w:rPr>
                <w:rFonts w:ascii="Calibri" w:hAnsi="Calibri"/>
                <w:b/>
                <w:i w:val="0"/>
                <w:color w:val="2E74B5"/>
                <w:sz w:val="20"/>
              </w:rPr>
              <w:t>80/20 example</w:t>
              <w:br/>
            </w:r>
            <w:r>
              <w:rPr>
                <w:rFonts w:ascii="Calibri" w:hAnsi="Calibri"/>
                <w:b w:val="0"/>
                <w:i w:val="0"/>
                <w:color w:val="1F2937"/>
                <w:sz w:val="19"/>
              </w:rPr>
              <w:t>Luna: 2,000/1m × $1 + 500/1m × $6 = $0.005. Terra: 2,000/1m × $2.50 + 500/1m × $15 = $0.0125. Blend: 80% × $0.005 + 20% × $0.0125 = $0.0065/action.</w:t>
            </w:r>
          </w:p>
        </w:tc>
      </w:tr>
    </w:tbl>
    <w:p>
      <w:pPr>
        <w:spacing w:after="40"/>
      </w:pPr>
    </w:p>
    <w:p>
      <w:pPr>
        <w:pStyle w:val="Heading2"/>
      </w:pPr>
      <w:r>
        <w:t>A.2 Payment formula</w:t>
      </w:r>
    </w:p>
    <w:p>
      <w:r>
        <w:rPr>
          <w:rFonts w:ascii="Calibri" w:hAnsi="Calibri"/>
          <w:b w:val="0"/>
          <w:i w:val="0"/>
          <w:color w:val="1F2937"/>
          <w:sz w:val="20"/>
        </w:rPr>
        <w:t>Transactions = users × payer share × transactions per payer. GMV = transactions × average value. Provider fee = GMV × commission + transactions × fixed fee. Net settlement before taxes/refunds = GMV − provider fee.</w:t>
      </w:r>
    </w:p>
    <w:p>
      <w:pPr>
        <w:pStyle w:val="Heading2"/>
      </w:pPr>
      <w:r>
        <w:t>A.3 Supabase formula set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600"/>
        <w:gridCol w:w="6760"/>
      </w:tblGrid>
      <w:tr>
        <w:trPr>
          <w:cantSplit/>
          <w:tblHeader w:val="true"/>
          <w:cantSplit/>
        </w:trPr>
        <w:tc>
          <w:tcPr>
            <w:tcW w:type="dxa" w:w="2600"/>
            <w:shd w:fill="102A43"/>
            <w:tcMar>
              <w:top w:w="80" w:type="dxa"/>
              <w:start w:w="120" w:type="dxa"/>
              <w:bottom w:w="80" w:type="dxa"/>
              <w:end w:w="120" w:type="dxa"/>
            </w:tcMar>
            <w:vAlign w:val="center"/>
          </w:tcPr>
          <w:p>
            <w:r>
              <w:rPr>
                <w:rFonts w:ascii="Calibri" w:hAnsi="Calibri"/>
                <w:b/>
                <w:i w:val="0"/>
                <w:color w:val="FFFFFF"/>
                <w:sz w:val="17"/>
              </w:rPr>
              <w:t>Meter</w:t>
            </w:r>
          </w:p>
        </w:tc>
        <w:tc>
          <w:tcPr>
            <w:tcW w:type="dxa" w:w="6760"/>
            <w:shd w:fill="102A43"/>
            <w:tcMar>
              <w:top w:w="80" w:type="dxa"/>
              <w:start w:w="120" w:type="dxa"/>
              <w:bottom w:w="80" w:type="dxa"/>
              <w:end w:w="120" w:type="dxa"/>
            </w:tcMar>
            <w:vAlign w:val="center"/>
          </w:tcPr>
          <w:p>
            <w:r>
              <w:rPr>
                <w:rFonts w:ascii="Calibri" w:hAnsi="Calibri"/>
                <w:b/>
                <w:i w:val="0"/>
                <w:color w:val="FFFFFF"/>
                <w:sz w:val="17"/>
              </w:rPr>
              <w:t>Formula after included allowance</w:t>
            </w:r>
          </w:p>
        </w:tc>
      </w:tr>
      <w:tr>
        <w:trPr>
          <w:cantSplit/>
        </w:trPr>
        <w:tc>
          <w:tcPr>
            <w:tcW w:type="dxa" w:w="2600"/>
            <w:tcMar>
              <w:top w:w="80" w:type="dxa"/>
              <w:start w:w="120" w:type="dxa"/>
              <w:bottom w:w="80" w:type="dxa"/>
              <w:end w:w="120" w:type="dxa"/>
            </w:tcMar>
            <w:vAlign w:val="center"/>
          </w:tcPr>
          <w:p>
            <w:r>
              <w:rPr>
                <w:rFonts w:ascii="Calibri" w:hAnsi="Calibri"/>
                <w:b/>
                <w:i w:val="0"/>
                <w:color w:val="102A43"/>
                <w:sz w:val="17"/>
              </w:rPr>
              <w:t>Subscription/compute</w:t>
            </w:r>
          </w:p>
        </w:tc>
        <w:tc>
          <w:tcPr>
            <w:tcW w:type="dxa" w:w="6760"/>
            <w:tcMar>
              <w:top w:w="80" w:type="dxa"/>
              <w:start w:w="120" w:type="dxa"/>
              <w:bottom w:w="80" w:type="dxa"/>
              <w:end w:w="120" w:type="dxa"/>
            </w:tcMar>
            <w:vAlign w:val="center"/>
          </w:tcPr>
          <w:p>
            <w:r>
              <w:rPr>
                <w:rFonts w:ascii="Calibri" w:hAnsi="Calibri"/>
                <w:b w:val="0"/>
                <w:i w:val="0"/>
                <w:color w:val="1F2937"/>
                <w:sz w:val="17"/>
              </w:rPr>
              <w:t>$25 + max(0, selected compute price − $10 compute credit)</w:t>
            </w:r>
          </w:p>
        </w:tc>
      </w:tr>
      <w:tr>
        <w:trPr>
          <w:cantSplit/>
        </w:trPr>
        <w:tc>
          <w:tcPr>
            <w:tcW w:type="dxa" w:w="2600"/>
            <w:shd w:fill="F8FAFC"/>
            <w:tcMar>
              <w:top w:w="80" w:type="dxa"/>
              <w:start w:w="120" w:type="dxa"/>
              <w:bottom w:w="80" w:type="dxa"/>
              <w:end w:w="120" w:type="dxa"/>
            </w:tcMar>
            <w:vAlign w:val="center"/>
          </w:tcPr>
          <w:p>
            <w:r>
              <w:rPr>
                <w:rFonts w:ascii="Calibri" w:hAnsi="Calibri"/>
                <w:b/>
                <w:i w:val="0"/>
                <w:color w:val="102A43"/>
                <w:sz w:val="17"/>
              </w:rPr>
              <w:t>MAU</w:t>
            </w:r>
          </w:p>
        </w:tc>
        <w:tc>
          <w:tcPr>
            <w:tcW w:type="dxa" w:w="6760"/>
            <w:shd w:fill="F8FAFC"/>
            <w:tcMar>
              <w:top w:w="80" w:type="dxa"/>
              <w:start w:w="120" w:type="dxa"/>
              <w:bottom w:w="80" w:type="dxa"/>
              <w:end w:w="120" w:type="dxa"/>
            </w:tcMar>
            <w:vAlign w:val="center"/>
          </w:tcPr>
          <w:p>
            <w:r>
              <w:rPr>
                <w:rFonts w:ascii="Calibri" w:hAnsi="Calibri"/>
                <w:b w:val="0"/>
                <w:i w:val="0"/>
                <w:color w:val="1F2937"/>
                <w:sz w:val="17"/>
              </w:rPr>
              <w:t>max(0, MAU − 100,000) × $0.00325</w:t>
            </w:r>
          </w:p>
        </w:tc>
      </w:tr>
      <w:tr>
        <w:trPr>
          <w:cantSplit/>
        </w:trPr>
        <w:tc>
          <w:tcPr>
            <w:tcW w:type="dxa" w:w="2600"/>
            <w:tcMar>
              <w:top w:w="80" w:type="dxa"/>
              <w:start w:w="120" w:type="dxa"/>
              <w:bottom w:w="80" w:type="dxa"/>
              <w:end w:w="120" w:type="dxa"/>
            </w:tcMar>
            <w:vAlign w:val="center"/>
          </w:tcPr>
          <w:p>
            <w:r>
              <w:rPr>
                <w:rFonts w:ascii="Calibri" w:hAnsi="Calibri"/>
                <w:b/>
                <w:i w:val="0"/>
                <w:color w:val="102A43"/>
                <w:sz w:val="17"/>
              </w:rPr>
              <w:t>Database</w:t>
            </w:r>
          </w:p>
        </w:tc>
        <w:tc>
          <w:tcPr>
            <w:tcW w:type="dxa" w:w="6760"/>
            <w:tcMar>
              <w:top w:w="80" w:type="dxa"/>
              <w:start w:w="120" w:type="dxa"/>
              <w:bottom w:w="80" w:type="dxa"/>
              <w:end w:w="120" w:type="dxa"/>
            </w:tcMar>
            <w:vAlign w:val="center"/>
          </w:tcPr>
          <w:p>
            <w:r>
              <w:rPr>
                <w:rFonts w:ascii="Calibri" w:hAnsi="Calibri"/>
                <w:b w:val="0"/>
                <w:i w:val="0"/>
                <w:color w:val="1F2937"/>
                <w:sz w:val="17"/>
              </w:rPr>
              <w:t>max(0, database GB − 8) × $0.125</w:t>
            </w:r>
          </w:p>
        </w:tc>
      </w:tr>
      <w:tr>
        <w:trPr>
          <w:cantSplit/>
        </w:trPr>
        <w:tc>
          <w:tcPr>
            <w:tcW w:type="dxa" w:w="2600"/>
            <w:shd w:fill="F8FAFC"/>
            <w:tcMar>
              <w:top w:w="80" w:type="dxa"/>
              <w:start w:w="120" w:type="dxa"/>
              <w:bottom w:w="80" w:type="dxa"/>
              <w:end w:w="120" w:type="dxa"/>
            </w:tcMar>
            <w:vAlign w:val="center"/>
          </w:tcPr>
          <w:p>
            <w:r>
              <w:rPr>
                <w:rFonts w:ascii="Calibri" w:hAnsi="Calibri"/>
                <w:b/>
                <w:i w:val="0"/>
                <w:color w:val="102A43"/>
                <w:sz w:val="17"/>
              </w:rPr>
              <w:t>Uncached egress</w:t>
            </w:r>
          </w:p>
        </w:tc>
        <w:tc>
          <w:tcPr>
            <w:tcW w:type="dxa" w:w="6760"/>
            <w:shd w:fill="F8FAFC"/>
            <w:tcMar>
              <w:top w:w="80" w:type="dxa"/>
              <w:start w:w="120" w:type="dxa"/>
              <w:bottom w:w="80" w:type="dxa"/>
              <w:end w:w="120" w:type="dxa"/>
            </w:tcMar>
            <w:vAlign w:val="center"/>
          </w:tcPr>
          <w:p>
            <w:r>
              <w:rPr>
                <w:rFonts w:ascii="Calibri" w:hAnsi="Calibri"/>
                <w:b w:val="0"/>
                <w:i w:val="0"/>
                <w:color w:val="1F2937"/>
                <w:sz w:val="17"/>
              </w:rPr>
              <w:t>max(0, GB − 250) × $0.09</w:t>
            </w:r>
          </w:p>
        </w:tc>
      </w:tr>
      <w:tr>
        <w:trPr>
          <w:cantSplit/>
        </w:trPr>
        <w:tc>
          <w:tcPr>
            <w:tcW w:type="dxa" w:w="2600"/>
            <w:tcMar>
              <w:top w:w="80" w:type="dxa"/>
              <w:start w:w="120" w:type="dxa"/>
              <w:bottom w:w="80" w:type="dxa"/>
              <w:end w:w="120" w:type="dxa"/>
            </w:tcMar>
            <w:vAlign w:val="center"/>
          </w:tcPr>
          <w:p>
            <w:r>
              <w:rPr>
                <w:rFonts w:ascii="Calibri" w:hAnsi="Calibri"/>
                <w:b/>
                <w:i w:val="0"/>
                <w:color w:val="102A43"/>
                <w:sz w:val="17"/>
              </w:rPr>
              <w:t>Cached egress</w:t>
            </w:r>
          </w:p>
        </w:tc>
        <w:tc>
          <w:tcPr>
            <w:tcW w:type="dxa" w:w="6760"/>
            <w:tcMar>
              <w:top w:w="80" w:type="dxa"/>
              <w:start w:w="120" w:type="dxa"/>
              <w:bottom w:w="80" w:type="dxa"/>
              <w:end w:w="120" w:type="dxa"/>
            </w:tcMar>
            <w:vAlign w:val="center"/>
          </w:tcPr>
          <w:p>
            <w:r>
              <w:rPr>
                <w:rFonts w:ascii="Calibri" w:hAnsi="Calibri"/>
                <w:b w:val="0"/>
                <w:i w:val="0"/>
                <w:color w:val="1F2937"/>
                <w:sz w:val="17"/>
              </w:rPr>
              <w:t>max(0, GB − 250) × $0.03</w:t>
            </w:r>
          </w:p>
        </w:tc>
      </w:tr>
      <w:tr>
        <w:trPr>
          <w:cantSplit/>
        </w:trPr>
        <w:tc>
          <w:tcPr>
            <w:tcW w:type="dxa" w:w="2600"/>
            <w:shd w:fill="F8FAFC"/>
            <w:tcMar>
              <w:top w:w="80" w:type="dxa"/>
              <w:start w:w="120" w:type="dxa"/>
              <w:bottom w:w="80" w:type="dxa"/>
              <w:end w:w="120" w:type="dxa"/>
            </w:tcMar>
            <w:vAlign w:val="center"/>
          </w:tcPr>
          <w:p>
            <w:r>
              <w:rPr>
                <w:rFonts w:ascii="Calibri" w:hAnsi="Calibri"/>
                <w:b/>
                <w:i w:val="0"/>
                <w:color w:val="102A43"/>
                <w:sz w:val="17"/>
              </w:rPr>
              <w:t>File storage</w:t>
            </w:r>
          </w:p>
        </w:tc>
        <w:tc>
          <w:tcPr>
            <w:tcW w:type="dxa" w:w="6760"/>
            <w:shd w:fill="F8FAFC"/>
            <w:tcMar>
              <w:top w:w="80" w:type="dxa"/>
              <w:start w:w="120" w:type="dxa"/>
              <w:bottom w:w="80" w:type="dxa"/>
              <w:end w:w="120" w:type="dxa"/>
            </w:tcMar>
            <w:vAlign w:val="center"/>
          </w:tcPr>
          <w:p>
            <w:r>
              <w:rPr>
                <w:rFonts w:ascii="Calibri" w:hAnsi="Calibri"/>
                <w:b w:val="0"/>
                <w:i w:val="0"/>
                <w:color w:val="1F2937"/>
                <w:sz w:val="17"/>
              </w:rPr>
              <w:t>max(0, GB − 100) × $0.0213</w:t>
            </w:r>
          </w:p>
        </w:tc>
      </w:tr>
      <w:tr>
        <w:trPr>
          <w:cantSplit/>
        </w:trPr>
        <w:tc>
          <w:tcPr>
            <w:tcW w:type="dxa" w:w="2600"/>
            <w:tcMar>
              <w:top w:w="80" w:type="dxa"/>
              <w:start w:w="120" w:type="dxa"/>
              <w:bottom w:w="80" w:type="dxa"/>
              <w:end w:w="120" w:type="dxa"/>
            </w:tcMar>
            <w:vAlign w:val="center"/>
          </w:tcPr>
          <w:p>
            <w:r>
              <w:rPr>
                <w:rFonts w:ascii="Calibri" w:hAnsi="Calibri"/>
                <w:b/>
                <w:i w:val="0"/>
                <w:color w:val="102A43"/>
                <w:sz w:val="17"/>
              </w:rPr>
              <w:t>Realtime</w:t>
            </w:r>
          </w:p>
        </w:tc>
        <w:tc>
          <w:tcPr>
            <w:tcW w:type="dxa" w:w="6760"/>
            <w:tcMar>
              <w:top w:w="80" w:type="dxa"/>
              <w:start w:w="120" w:type="dxa"/>
              <w:bottom w:w="80" w:type="dxa"/>
              <w:end w:w="120" w:type="dxa"/>
            </w:tcMar>
            <w:vAlign w:val="center"/>
          </w:tcPr>
          <w:p>
            <w:r>
              <w:rPr>
                <w:rFonts w:ascii="Calibri" w:hAnsi="Calibri"/>
                <w:b w:val="0"/>
                <w:i w:val="0"/>
                <w:color w:val="1F2937"/>
                <w:sz w:val="17"/>
              </w:rPr>
              <w:t>max(0, messages − 5m) ÷ 1m × $2.50</w:t>
            </w:r>
          </w:p>
        </w:tc>
      </w:tr>
      <w:tr>
        <w:trPr>
          <w:cantSplit/>
        </w:trPr>
        <w:tc>
          <w:tcPr>
            <w:tcW w:type="dxa" w:w="2600"/>
            <w:shd w:fill="F8FAFC"/>
            <w:tcMar>
              <w:top w:w="80" w:type="dxa"/>
              <w:start w:w="120" w:type="dxa"/>
              <w:bottom w:w="80" w:type="dxa"/>
              <w:end w:w="120" w:type="dxa"/>
            </w:tcMar>
            <w:vAlign w:val="center"/>
          </w:tcPr>
          <w:p>
            <w:r>
              <w:rPr>
                <w:rFonts w:ascii="Calibri" w:hAnsi="Calibri"/>
                <w:b/>
                <w:i w:val="0"/>
                <w:color w:val="102A43"/>
                <w:sz w:val="17"/>
              </w:rPr>
              <w:t>Edge Functions</w:t>
            </w:r>
          </w:p>
        </w:tc>
        <w:tc>
          <w:tcPr>
            <w:tcW w:type="dxa" w:w="6760"/>
            <w:shd w:fill="F8FAFC"/>
            <w:tcMar>
              <w:top w:w="80" w:type="dxa"/>
              <w:start w:w="120" w:type="dxa"/>
              <w:bottom w:w="80" w:type="dxa"/>
              <w:end w:w="120" w:type="dxa"/>
            </w:tcMar>
            <w:vAlign w:val="center"/>
          </w:tcPr>
          <w:p>
            <w:r>
              <w:rPr>
                <w:rFonts w:ascii="Calibri" w:hAnsi="Calibri"/>
                <w:b w:val="0"/>
                <w:i w:val="0"/>
                <w:color w:val="1F2937"/>
                <w:sz w:val="17"/>
              </w:rPr>
              <w:t>max(0, invocations − 2m) ÷ 1m × $2</w:t>
            </w:r>
          </w:p>
        </w:tc>
      </w:tr>
      <w:tr>
        <w:trPr>
          <w:cantSplit/>
        </w:trPr>
        <w:tc>
          <w:tcPr>
            <w:tcW w:type="dxa" w:w="2600"/>
            <w:tcMar>
              <w:top w:w="80" w:type="dxa"/>
              <w:start w:w="120" w:type="dxa"/>
              <w:bottom w:w="80" w:type="dxa"/>
              <w:end w:w="120" w:type="dxa"/>
            </w:tcMar>
            <w:vAlign w:val="center"/>
          </w:tcPr>
          <w:p>
            <w:r>
              <w:rPr>
                <w:rFonts w:ascii="Calibri" w:hAnsi="Calibri"/>
                <w:b/>
                <w:i w:val="0"/>
                <w:color w:val="102A43"/>
                <w:sz w:val="17"/>
              </w:rPr>
              <w:t>Image transformations</w:t>
            </w:r>
          </w:p>
        </w:tc>
        <w:tc>
          <w:tcPr>
            <w:tcW w:type="dxa" w:w="6760"/>
            <w:tcMar>
              <w:top w:w="80" w:type="dxa"/>
              <w:start w:w="120" w:type="dxa"/>
              <w:bottom w:w="80" w:type="dxa"/>
              <w:end w:w="120" w:type="dxa"/>
            </w:tcMar>
            <w:vAlign w:val="center"/>
          </w:tcPr>
          <w:p>
            <w:r>
              <w:rPr>
                <w:rFonts w:ascii="Calibri" w:hAnsi="Calibri"/>
                <w:b w:val="0"/>
                <w:i w:val="0"/>
                <w:color w:val="1F2937"/>
                <w:sz w:val="17"/>
              </w:rPr>
              <w:t>max(0, unique origins − 100) ÷ 1,000 × $5</w:t>
            </w:r>
          </w:p>
        </w:tc>
      </w:tr>
    </w:tbl>
    <w:p>
      <w:pPr>
        <w:pStyle w:val="Heading2"/>
      </w:pPr>
      <w:r>
        <w:t>A.4 Storage formula</w:t>
      </w:r>
    </w:p>
    <w:p>
      <w:r>
        <w:rPr>
          <w:rFonts w:ascii="Calibri" w:hAnsi="Calibri"/>
          <w:b w:val="0"/>
          <w:i w:val="0"/>
          <w:color w:val="1F2937"/>
          <w:sz w:val="20"/>
        </w:rPr>
        <w:t>Storage GB = properties × images per property × MB per image ÷ 1,000. For 212,298 × 8 × 0.5 MB: 849.192 GB. Supabase storage overage = (849.192 − 100) × $0.0213 = $15.9577896, displayed $15.96/month.</w:t>
      </w:r>
    </w:p>
    <w:p>
      <w:pPr>
        <w:pStyle w:val="Heading2"/>
        <w:pageBreakBefore/>
      </w:pPr>
      <w:r>
        <w:t>A.5 Google Maps progressive PAYG</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500"/>
        <w:gridCol w:w="5860"/>
      </w:tblGrid>
      <w:tr>
        <w:trPr>
          <w:cantSplit/>
          <w:tblHeader w:val="true"/>
          <w:cantSplit/>
        </w:trPr>
        <w:tc>
          <w:tcPr>
            <w:tcW w:type="dxa" w:w="3500"/>
            <w:shd w:fill="102A43"/>
            <w:tcMar>
              <w:top w:w="80" w:type="dxa"/>
              <w:start w:w="120" w:type="dxa"/>
              <w:bottom w:w="80" w:type="dxa"/>
              <w:end w:w="120" w:type="dxa"/>
            </w:tcMar>
            <w:vAlign w:val="center"/>
          </w:tcPr>
          <w:p>
            <w:r>
              <w:rPr>
                <w:rFonts w:ascii="Calibri" w:hAnsi="Calibri"/>
                <w:b/>
                <w:i w:val="0"/>
                <w:color w:val="FFFFFF"/>
                <w:sz w:val="17"/>
              </w:rPr>
              <w:t>Monthly events</w:t>
            </w:r>
          </w:p>
        </w:tc>
        <w:tc>
          <w:tcPr>
            <w:tcW w:type="dxa" w:w="5860"/>
            <w:shd w:fill="102A43"/>
            <w:tcMar>
              <w:top w:w="80" w:type="dxa"/>
              <w:start w:w="120" w:type="dxa"/>
              <w:bottom w:w="80" w:type="dxa"/>
              <w:end w:w="120" w:type="dxa"/>
            </w:tcMar>
            <w:vAlign w:val="center"/>
          </w:tcPr>
          <w:p>
            <w:r>
              <w:rPr>
                <w:rFonts w:ascii="Calibri" w:hAnsi="Calibri"/>
                <w:b/>
                <w:i w:val="0"/>
                <w:color w:val="FFFFFF"/>
                <w:sz w:val="17"/>
              </w:rPr>
              <w:t>Dynamic Maps price per 1,000</w:t>
            </w:r>
          </w:p>
        </w:tc>
      </w:tr>
      <w:tr>
        <w:trPr>
          <w:cantSplit/>
        </w:trPr>
        <w:tc>
          <w:tcPr>
            <w:tcW w:type="dxa" w:w="3500"/>
            <w:tcMar>
              <w:top w:w="80" w:type="dxa"/>
              <w:start w:w="120" w:type="dxa"/>
              <w:bottom w:w="80" w:type="dxa"/>
              <w:end w:w="120" w:type="dxa"/>
            </w:tcMar>
            <w:vAlign w:val="center"/>
          </w:tcPr>
          <w:p>
            <w:r>
              <w:rPr>
                <w:rFonts w:ascii="Calibri" w:hAnsi="Calibri"/>
                <w:b/>
                <w:i w:val="0"/>
                <w:color w:val="102A43"/>
                <w:sz w:val="17"/>
              </w:rPr>
              <w:t>First 10,000</w:t>
            </w:r>
          </w:p>
        </w:tc>
        <w:tc>
          <w:tcPr>
            <w:tcW w:type="dxa" w:w="5860"/>
            <w:tcMar>
              <w:top w:w="80" w:type="dxa"/>
              <w:start w:w="120" w:type="dxa"/>
              <w:bottom w:w="80" w:type="dxa"/>
              <w:end w:w="120" w:type="dxa"/>
            </w:tcMar>
            <w:vAlign w:val="center"/>
          </w:tcPr>
          <w:p>
            <w:r>
              <w:rPr>
                <w:rFonts w:ascii="Calibri" w:hAnsi="Calibri"/>
                <w:b w:val="0"/>
                <w:i w:val="0"/>
                <w:color w:val="1F2937"/>
                <w:sz w:val="17"/>
              </w:rPr>
              <w:t>$0</w:t>
            </w:r>
          </w:p>
        </w:tc>
      </w:tr>
      <w:tr>
        <w:trPr>
          <w:cantSplit/>
        </w:trPr>
        <w:tc>
          <w:tcPr>
            <w:tcW w:type="dxa" w:w="3500"/>
            <w:shd w:fill="F8FAFC"/>
            <w:tcMar>
              <w:top w:w="80" w:type="dxa"/>
              <w:start w:w="120" w:type="dxa"/>
              <w:bottom w:w="80" w:type="dxa"/>
              <w:end w:w="120" w:type="dxa"/>
            </w:tcMar>
            <w:vAlign w:val="center"/>
          </w:tcPr>
          <w:p>
            <w:r>
              <w:rPr>
                <w:rFonts w:ascii="Calibri" w:hAnsi="Calibri"/>
                <w:b/>
                <w:i w:val="0"/>
                <w:color w:val="102A43"/>
                <w:sz w:val="17"/>
              </w:rPr>
              <w:t>10,001–100,000</w:t>
            </w:r>
          </w:p>
        </w:tc>
        <w:tc>
          <w:tcPr>
            <w:tcW w:type="dxa" w:w="5860"/>
            <w:shd w:fill="F8FAFC"/>
            <w:tcMar>
              <w:top w:w="80" w:type="dxa"/>
              <w:start w:w="120" w:type="dxa"/>
              <w:bottom w:w="80" w:type="dxa"/>
              <w:end w:w="120" w:type="dxa"/>
            </w:tcMar>
            <w:vAlign w:val="center"/>
          </w:tcPr>
          <w:p>
            <w:r>
              <w:rPr>
                <w:rFonts w:ascii="Calibri" w:hAnsi="Calibri"/>
                <w:b w:val="0"/>
                <w:i w:val="0"/>
                <w:color w:val="1F2937"/>
                <w:sz w:val="17"/>
              </w:rPr>
              <w:t>$7.00</w:t>
            </w:r>
          </w:p>
        </w:tc>
      </w:tr>
      <w:tr>
        <w:trPr>
          <w:cantSplit/>
        </w:trPr>
        <w:tc>
          <w:tcPr>
            <w:tcW w:type="dxa" w:w="3500"/>
            <w:tcMar>
              <w:top w:w="80" w:type="dxa"/>
              <w:start w:w="120" w:type="dxa"/>
              <w:bottom w:w="80" w:type="dxa"/>
              <w:end w:w="120" w:type="dxa"/>
            </w:tcMar>
            <w:vAlign w:val="center"/>
          </w:tcPr>
          <w:p>
            <w:r>
              <w:rPr>
                <w:rFonts w:ascii="Calibri" w:hAnsi="Calibri"/>
                <w:b/>
                <w:i w:val="0"/>
                <w:color w:val="102A43"/>
                <w:sz w:val="17"/>
              </w:rPr>
              <w:t>100,001–500,000</w:t>
            </w:r>
          </w:p>
        </w:tc>
        <w:tc>
          <w:tcPr>
            <w:tcW w:type="dxa" w:w="5860"/>
            <w:tcMar>
              <w:top w:w="80" w:type="dxa"/>
              <w:start w:w="120" w:type="dxa"/>
              <w:bottom w:w="80" w:type="dxa"/>
              <w:end w:w="120" w:type="dxa"/>
            </w:tcMar>
            <w:vAlign w:val="center"/>
          </w:tcPr>
          <w:p>
            <w:r>
              <w:rPr>
                <w:rFonts w:ascii="Calibri" w:hAnsi="Calibri"/>
                <w:b w:val="0"/>
                <w:i w:val="0"/>
                <w:color w:val="1F2937"/>
                <w:sz w:val="17"/>
              </w:rPr>
              <w:t>$5.60</w:t>
            </w:r>
          </w:p>
        </w:tc>
      </w:tr>
      <w:tr>
        <w:trPr>
          <w:cantSplit/>
        </w:trPr>
        <w:tc>
          <w:tcPr>
            <w:tcW w:type="dxa" w:w="3500"/>
            <w:shd w:fill="F8FAFC"/>
            <w:tcMar>
              <w:top w:w="80" w:type="dxa"/>
              <w:start w:w="120" w:type="dxa"/>
              <w:bottom w:w="80" w:type="dxa"/>
              <w:end w:w="120" w:type="dxa"/>
            </w:tcMar>
            <w:vAlign w:val="center"/>
          </w:tcPr>
          <w:p>
            <w:r>
              <w:rPr>
                <w:rFonts w:ascii="Calibri" w:hAnsi="Calibri"/>
                <w:b/>
                <w:i w:val="0"/>
                <w:color w:val="102A43"/>
                <w:sz w:val="17"/>
              </w:rPr>
              <w:t>500,001–1,000,000</w:t>
            </w:r>
          </w:p>
        </w:tc>
        <w:tc>
          <w:tcPr>
            <w:tcW w:type="dxa" w:w="5860"/>
            <w:shd w:fill="F8FAFC"/>
            <w:tcMar>
              <w:top w:w="80" w:type="dxa"/>
              <w:start w:w="120" w:type="dxa"/>
              <w:bottom w:w="80" w:type="dxa"/>
              <w:end w:w="120" w:type="dxa"/>
            </w:tcMar>
            <w:vAlign w:val="center"/>
          </w:tcPr>
          <w:p>
            <w:r>
              <w:rPr>
                <w:rFonts w:ascii="Calibri" w:hAnsi="Calibri"/>
                <w:b w:val="0"/>
                <w:i w:val="0"/>
                <w:color w:val="1F2937"/>
                <w:sz w:val="17"/>
              </w:rPr>
              <w:t>$4.20</w:t>
            </w:r>
          </w:p>
        </w:tc>
      </w:tr>
      <w:tr>
        <w:trPr>
          <w:cantSplit/>
        </w:trPr>
        <w:tc>
          <w:tcPr>
            <w:tcW w:type="dxa" w:w="3500"/>
            <w:tcMar>
              <w:top w:w="80" w:type="dxa"/>
              <w:start w:w="120" w:type="dxa"/>
              <w:bottom w:w="80" w:type="dxa"/>
              <w:end w:w="120" w:type="dxa"/>
            </w:tcMar>
            <w:vAlign w:val="center"/>
          </w:tcPr>
          <w:p>
            <w:r>
              <w:rPr>
                <w:rFonts w:ascii="Calibri" w:hAnsi="Calibri"/>
                <w:b/>
                <w:i w:val="0"/>
                <w:color w:val="102A43"/>
                <w:sz w:val="17"/>
              </w:rPr>
              <w:t>1,000,001–5,000,000</w:t>
            </w:r>
          </w:p>
        </w:tc>
        <w:tc>
          <w:tcPr>
            <w:tcW w:type="dxa" w:w="5860"/>
            <w:tcMar>
              <w:top w:w="80" w:type="dxa"/>
              <w:start w:w="120" w:type="dxa"/>
              <w:bottom w:w="80" w:type="dxa"/>
              <w:end w:w="120" w:type="dxa"/>
            </w:tcMar>
            <w:vAlign w:val="center"/>
          </w:tcPr>
          <w:p>
            <w:r>
              <w:rPr>
                <w:rFonts w:ascii="Calibri" w:hAnsi="Calibri"/>
                <w:b w:val="0"/>
                <w:i w:val="0"/>
                <w:color w:val="1F2937"/>
                <w:sz w:val="17"/>
              </w:rPr>
              <w:t>$2.10</w:t>
            </w:r>
          </w:p>
        </w:tc>
      </w:tr>
      <w:tr>
        <w:trPr>
          <w:cantSplit/>
        </w:trPr>
        <w:tc>
          <w:tcPr>
            <w:tcW w:type="dxa" w:w="3500"/>
            <w:shd w:fill="F8FAFC"/>
            <w:tcMar>
              <w:top w:w="80" w:type="dxa"/>
              <w:start w:w="120" w:type="dxa"/>
              <w:bottom w:w="80" w:type="dxa"/>
              <w:end w:w="120" w:type="dxa"/>
            </w:tcMar>
            <w:vAlign w:val="center"/>
          </w:tcPr>
          <w:p>
            <w:r>
              <w:rPr>
                <w:rFonts w:ascii="Calibri" w:hAnsi="Calibri"/>
                <w:b/>
                <w:i w:val="0"/>
                <w:color w:val="102A43"/>
                <w:sz w:val="17"/>
              </w:rPr>
              <w:t>Above 5,000,000</w:t>
            </w:r>
          </w:p>
        </w:tc>
        <w:tc>
          <w:tcPr>
            <w:tcW w:type="dxa" w:w="5860"/>
            <w:shd w:fill="F8FAFC"/>
            <w:tcMar>
              <w:top w:w="80" w:type="dxa"/>
              <w:start w:w="120" w:type="dxa"/>
              <w:bottom w:w="80" w:type="dxa"/>
              <w:end w:w="120" w:type="dxa"/>
            </w:tcMar>
            <w:vAlign w:val="center"/>
          </w:tcPr>
          <w:p>
            <w:r>
              <w:rPr>
                <w:rFonts w:ascii="Calibri" w:hAnsi="Calibri"/>
                <w:b w:val="0"/>
                <w:i w:val="0"/>
                <w:color w:val="1F2937"/>
                <w:sz w:val="17"/>
              </w:rPr>
              <w:t>$0.53</w:t>
            </w:r>
          </w:p>
        </w:tc>
      </w:tr>
    </w:tbl>
    <w:p>
      <w:r>
        <w:rPr>
          <w:rFonts w:ascii="Calibri" w:hAnsi="Calibri"/>
          <w:b w:val="0"/>
          <w:i w:val="0"/>
          <w:color w:val="1F2937"/>
          <w:sz w:val="20"/>
        </w:rPr>
        <w:t>At ten dynamic loads/user, PAYG examples are 1k users = 10k loads = $0; 5k = 50k = $280; 10k = 100k = $630; 20k = 200k = $1,190. Compare the current subscription products and included SKUs before purchase.</w:t>
      </w:r>
    </w:p>
    <w:p>
      <w:pPr>
        <w:pStyle w:val="Heading2"/>
      </w:pPr>
      <w:r>
        <w:t>A.6 Package optimiser</w:t>
      </w:r>
    </w:p>
    <w:p>
      <w:r>
        <w:rPr>
          <w:rFonts w:ascii="Calibri" w:hAnsi="Calibri"/>
          <w:b w:val="0"/>
          <w:i w:val="0"/>
          <w:color w:val="1F2937"/>
          <w:sz w:val="20"/>
        </w:rPr>
        <w:t>Prepaid packages are not simple per-message rates. The estimator uses an unbounded minimum-cost optimiser across annual demand and reports purchased capacity, used capacity, unused capacity, cash purchase and normalised monthly run-rate. If stacking/validity is not contractually confirmed, the result stays an assumption.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200"/>
        <w:gridCol w:w="2600"/>
        <w:gridCol w:w="2100"/>
        <w:gridCol w:w="2460"/>
      </w:tblGrid>
      <w:tr>
        <w:trPr>
          <w:cantSplit/>
          <w:tblHeader w:val="true"/>
          <w:cantSplit/>
        </w:trPr>
        <w:tc>
          <w:tcPr>
            <w:tcW w:type="dxa" w:w="2200"/>
            <w:shd w:fill="102A43"/>
            <w:tcMar>
              <w:top w:w="80" w:type="dxa"/>
              <w:start w:w="120" w:type="dxa"/>
              <w:bottom w:w="80" w:type="dxa"/>
              <w:end w:w="120" w:type="dxa"/>
            </w:tcMar>
            <w:vAlign w:val="center"/>
          </w:tcPr>
          <w:p>
            <w:r>
              <w:rPr>
                <w:rFonts w:ascii="Calibri" w:hAnsi="Calibri"/>
                <w:b/>
                <w:i w:val="0"/>
                <w:color w:val="FFFFFF"/>
                <w:sz w:val="16"/>
              </w:rPr>
              <w:t>OTP demand at 2/user/month</w:t>
            </w:r>
          </w:p>
        </w:tc>
        <w:tc>
          <w:tcPr>
            <w:tcW w:type="dxa" w:w="2600"/>
            <w:shd w:fill="102A43"/>
            <w:tcMar>
              <w:top w:w="80" w:type="dxa"/>
              <w:start w:w="120" w:type="dxa"/>
              <w:bottom w:w="80" w:type="dxa"/>
              <w:end w:w="120" w:type="dxa"/>
            </w:tcMar>
            <w:vAlign w:val="center"/>
          </w:tcPr>
          <w:p>
            <w:r>
              <w:rPr>
                <w:rFonts w:ascii="Calibri" w:hAnsi="Calibri"/>
                <w:b/>
                <w:i w:val="0"/>
                <w:color w:val="FFFFFF"/>
                <w:sz w:val="16"/>
              </w:rPr>
              <w:t>Optimal known Netgsm mix</w:t>
            </w:r>
          </w:p>
        </w:tc>
        <w:tc>
          <w:tcPr>
            <w:tcW w:type="dxa" w:w="2100"/>
            <w:shd w:fill="102A43"/>
            <w:tcMar>
              <w:top w:w="80" w:type="dxa"/>
              <w:start w:w="120" w:type="dxa"/>
              <w:bottom w:w="80" w:type="dxa"/>
              <w:end w:w="120" w:type="dxa"/>
            </w:tcMar>
            <w:vAlign w:val="center"/>
          </w:tcPr>
          <w:p>
            <w:r>
              <w:rPr>
                <w:rFonts w:ascii="Calibri" w:hAnsi="Calibri"/>
                <w:b/>
                <w:i w:val="0"/>
                <w:color w:val="FFFFFF"/>
                <w:sz w:val="16"/>
              </w:rPr>
              <w:t>Annual cash</w:t>
            </w:r>
          </w:p>
        </w:tc>
        <w:tc>
          <w:tcPr>
            <w:tcW w:type="dxa" w:w="2460"/>
            <w:shd w:fill="102A43"/>
            <w:tcMar>
              <w:top w:w="80" w:type="dxa"/>
              <w:start w:w="120" w:type="dxa"/>
              <w:bottom w:w="80" w:type="dxa"/>
              <w:end w:w="120" w:type="dxa"/>
            </w:tcMar>
            <w:vAlign w:val="center"/>
          </w:tcPr>
          <w:p>
            <w:r>
              <w:rPr>
                <w:rFonts w:ascii="Calibri" w:hAnsi="Calibri"/>
                <w:b/>
                <w:i w:val="0"/>
                <w:color w:val="FFFFFF"/>
                <w:sz w:val="16"/>
              </w:rPr>
              <w:t>Normalised/month</w:t>
            </w:r>
          </w:p>
        </w:tc>
      </w:tr>
      <w:tr>
        <w:trPr>
          <w:cantSplit/>
        </w:trPr>
        <w:tc>
          <w:tcPr>
            <w:tcW w:type="dxa" w:w="2200"/>
            <w:tcMar>
              <w:top w:w="80" w:type="dxa"/>
              <w:start w:w="120" w:type="dxa"/>
              <w:bottom w:w="80" w:type="dxa"/>
              <w:end w:w="120" w:type="dxa"/>
            </w:tcMar>
            <w:vAlign w:val="center"/>
          </w:tcPr>
          <w:p>
            <w:r>
              <w:rPr>
                <w:rFonts w:ascii="Calibri" w:hAnsi="Calibri"/>
                <w:b w:val="0"/>
                <w:i w:val="0"/>
                <w:color w:val="1F2937"/>
                <w:sz w:val="16"/>
              </w:rPr>
              <w:t>1,000 users = 24,000/year</w:t>
            </w:r>
          </w:p>
        </w:tc>
        <w:tc>
          <w:tcPr>
            <w:tcW w:type="dxa" w:w="2600"/>
            <w:tcMar>
              <w:top w:w="80" w:type="dxa"/>
              <w:start w:w="120" w:type="dxa"/>
              <w:bottom w:w="80" w:type="dxa"/>
              <w:end w:w="120" w:type="dxa"/>
            </w:tcMar>
            <w:vAlign w:val="center"/>
          </w:tcPr>
          <w:p>
            <w:r>
              <w:rPr>
                <w:rFonts w:ascii="Calibri" w:hAnsi="Calibri"/>
                <w:b w:val="0"/>
                <w:i w:val="0"/>
                <w:color w:val="1F2937"/>
                <w:sz w:val="16"/>
              </w:rPr>
              <w:t>2 × 10k + 4 × 1k</w:t>
            </w:r>
          </w:p>
        </w:tc>
        <w:tc>
          <w:tcPr>
            <w:tcW w:type="dxa" w:w="2100"/>
            <w:tcMar>
              <w:top w:w="80" w:type="dxa"/>
              <w:start w:w="120" w:type="dxa"/>
              <w:bottom w:w="80" w:type="dxa"/>
              <w:end w:w="120" w:type="dxa"/>
            </w:tcMar>
            <w:vAlign w:val="center"/>
          </w:tcPr>
          <w:p>
            <w:r>
              <w:rPr>
                <w:rFonts w:ascii="Calibri" w:hAnsi="Calibri"/>
                <w:b w:val="0"/>
                <w:i w:val="0"/>
                <w:color w:val="1F2937"/>
                <w:sz w:val="16"/>
              </w:rPr>
              <w:t>TRY 7,180</w:t>
            </w:r>
          </w:p>
        </w:tc>
        <w:tc>
          <w:tcPr>
            <w:tcW w:type="dxa" w:w="2460"/>
            <w:tcMar>
              <w:top w:w="80" w:type="dxa"/>
              <w:start w:w="120" w:type="dxa"/>
              <w:bottom w:w="80" w:type="dxa"/>
              <w:end w:w="120" w:type="dxa"/>
            </w:tcMar>
            <w:vAlign w:val="center"/>
          </w:tcPr>
          <w:p>
            <w:r>
              <w:rPr>
                <w:rFonts w:ascii="Calibri" w:hAnsi="Calibri"/>
                <w:b w:val="0"/>
                <w:i w:val="0"/>
                <w:color w:val="1F2937"/>
                <w:sz w:val="16"/>
              </w:rPr>
              <w:t>TRY 598.33</w:t>
            </w:r>
          </w:p>
        </w:tc>
      </w:tr>
      <w:tr>
        <w:trPr>
          <w:cantSplit/>
        </w:trPr>
        <w:tc>
          <w:tcPr>
            <w:tcW w:type="dxa" w:w="2200"/>
            <w:shd w:fill="F8FAFC"/>
            <w:tcMar>
              <w:top w:w="80" w:type="dxa"/>
              <w:start w:w="120" w:type="dxa"/>
              <w:bottom w:w="80" w:type="dxa"/>
              <w:end w:w="120" w:type="dxa"/>
            </w:tcMar>
            <w:vAlign w:val="center"/>
          </w:tcPr>
          <w:p>
            <w:r>
              <w:rPr>
                <w:rFonts w:ascii="Calibri" w:hAnsi="Calibri"/>
                <w:b w:val="0"/>
                <w:i w:val="0"/>
                <w:color w:val="1F2937"/>
                <w:sz w:val="16"/>
              </w:rPr>
              <w:t>5,000 users = 120,000/year</w:t>
            </w:r>
          </w:p>
        </w:tc>
        <w:tc>
          <w:tcPr>
            <w:tcW w:type="dxa" w:w="2600"/>
            <w:shd w:fill="F8FAFC"/>
            <w:tcMar>
              <w:top w:w="80" w:type="dxa"/>
              <w:start w:w="120" w:type="dxa"/>
              <w:bottom w:w="80" w:type="dxa"/>
              <w:end w:w="120" w:type="dxa"/>
            </w:tcMar>
            <w:vAlign w:val="center"/>
          </w:tcPr>
          <w:p>
            <w:r>
              <w:rPr>
                <w:rFonts w:ascii="Calibri" w:hAnsi="Calibri"/>
                <w:b w:val="0"/>
                <w:i w:val="0"/>
                <w:color w:val="1F2937"/>
                <w:sz w:val="16"/>
              </w:rPr>
              <w:t>12 × 10k</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TRY 33,480</w:t>
            </w:r>
          </w:p>
        </w:tc>
        <w:tc>
          <w:tcPr>
            <w:tcW w:type="dxa" w:w="2460"/>
            <w:shd w:fill="F8FAFC"/>
            <w:tcMar>
              <w:top w:w="80" w:type="dxa"/>
              <w:start w:w="120" w:type="dxa"/>
              <w:bottom w:w="80" w:type="dxa"/>
              <w:end w:w="120" w:type="dxa"/>
            </w:tcMar>
            <w:vAlign w:val="center"/>
          </w:tcPr>
          <w:p>
            <w:r>
              <w:rPr>
                <w:rFonts w:ascii="Calibri" w:hAnsi="Calibri"/>
                <w:b w:val="0"/>
                <w:i w:val="0"/>
                <w:color w:val="1F2937"/>
                <w:sz w:val="16"/>
              </w:rPr>
              <w:t>TRY 2,790</w:t>
            </w:r>
          </w:p>
        </w:tc>
      </w:tr>
      <w:tr>
        <w:trPr>
          <w:cantSplit/>
        </w:trPr>
        <w:tc>
          <w:tcPr>
            <w:tcW w:type="dxa" w:w="2200"/>
            <w:tcMar>
              <w:top w:w="80" w:type="dxa"/>
              <w:start w:w="120" w:type="dxa"/>
              <w:bottom w:w="80" w:type="dxa"/>
              <w:end w:w="120" w:type="dxa"/>
            </w:tcMar>
            <w:vAlign w:val="center"/>
          </w:tcPr>
          <w:p>
            <w:r>
              <w:rPr>
                <w:rFonts w:ascii="Calibri" w:hAnsi="Calibri"/>
                <w:b w:val="0"/>
                <w:i w:val="0"/>
                <w:color w:val="1F2937"/>
                <w:sz w:val="16"/>
              </w:rPr>
              <w:t>10,000 users = 240,000/year</w:t>
            </w:r>
          </w:p>
        </w:tc>
        <w:tc>
          <w:tcPr>
            <w:tcW w:type="dxa" w:w="2600"/>
            <w:tcMar>
              <w:top w:w="80" w:type="dxa"/>
              <w:start w:w="120" w:type="dxa"/>
              <w:bottom w:w="80" w:type="dxa"/>
              <w:end w:w="120" w:type="dxa"/>
            </w:tcMar>
            <w:vAlign w:val="center"/>
          </w:tcPr>
          <w:p>
            <w:r>
              <w:rPr>
                <w:rFonts w:ascii="Calibri" w:hAnsi="Calibri"/>
                <w:b w:val="0"/>
                <w:i w:val="0"/>
                <w:color w:val="1F2937"/>
                <w:sz w:val="16"/>
              </w:rPr>
              <w:t>24 × 10k</w:t>
            </w:r>
          </w:p>
        </w:tc>
        <w:tc>
          <w:tcPr>
            <w:tcW w:type="dxa" w:w="2100"/>
            <w:tcMar>
              <w:top w:w="80" w:type="dxa"/>
              <w:start w:w="120" w:type="dxa"/>
              <w:bottom w:w="80" w:type="dxa"/>
              <w:end w:w="120" w:type="dxa"/>
            </w:tcMar>
            <w:vAlign w:val="center"/>
          </w:tcPr>
          <w:p>
            <w:r>
              <w:rPr>
                <w:rFonts w:ascii="Calibri" w:hAnsi="Calibri"/>
                <w:b w:val="0"/>
                <w:i w:val="0"/>
                <w:color w:val="1F2937"/>
                <w:sz w:val="16"/>
              </w:rPr>
              <w:t>TRY 66,960</w:t>
            </w:r>
          </w:p>
        </w:tc>
        <w:tc>
          <w:tcPr>
            <w:tcW w:type="dxa" w:w="2460"/>
            <w:tcMar>
              <w:top w:w="80" w:type="dxa"/>
              <w:start w:w="120" w:type="dxa"/>
              <w:bottom w:w="80" w:type="dxa"/>
              <w:end w:w="120" w:type="dxa"/>
            </w:tcMar>
            <w:vAlign w:val="center"/>
          </w:tcPr>
          <w:p>
            <w:r>
              <w:rPr>
                <w:rFonts w:ascii="Calibri" w:hAnsi="Calibri"/>
                <w:b w:val="0"/>
                <w:i w:val="0"/>
                <w:color w:val="1F2937"/>
                <w:sz w:val="16"/>
              </w:rPr>
              <w:t>TRY 5,580</w:t>
            </w:r>
          </w:p>
        </w:tc>
      </w:tr>
    </w:tbl>
    <w:p>
      <w:pPr>
        <w:pStyle w:val="Heading2"/>
      </w:pPr>
      <w:r>
        <w:t>A.7 Annual, one-time and cash-flow treatment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200"/>
        <w:gridCol w:w="6160"/>
      </w:tblGrid>
      <w:tr>
        <w:trPr>
          <w:cantSplit/>
          <w:tblHeader w:val="true"/>
          <w:cantSplit/>
        </w:trPr>
        <w:tc>
          <w:tcPr>
            <w:tcW w:type="dxa" w:w="3200"/>
            <w:shd w:fill="102A43"/>
            <w:tcMar>
              <w:top w:w="80" w:type="dxa"/>
              <w:start w:w="120" w:type="dxa"/>
              <w:bottom w:w="80" w:type="dxa"/>
              <w:end w:w="120" w:type="dxa"/>
            </w:tcMar>
            <w:vAlign w:val="center"/>
          </w:tcPr>
          <w:p>
            <w:r>
              <w:rPr>
                <w:rFonts w:ascii="Calibri" w:hAnsi="Calibri"/>
                <w:b/>
                <w:i w:val="0"/>
                <w:color w:val="FFFFFF"/>
                <w:sz w:val="17"/>
              </w:rPr>
              <w:t>Output</w:t>
            </w:r>
          </w:p>
        </w:tc>
        <w:tc>
          <w:tcPr>
            <w:tcW w:type="dxa" w:w="6160"/>
            <w:shd w:fill="102A43"/>
            <w:tcMar>
              <w:top w:w="80" w:type="dxa"/>
              <w:start w:w="120" w:type="dxa"/>
              <w:bottom w:w="80" w:type="dxa"/>
              <w:end w:w="120" w:type="dxa"/>
            </w:tcMar>
            <w:vAlign w:val="center"/>
          </w:tcPr>
          <w:p>
            <w:r>
              <w:rPr>
                <w:rFonts w:ascii="Calibri" w:hAnsi="Calibri"/>
                <w:b/>
                <w:i w:val="0"/>
                <w:color w:val="FFFFFF"/>
                <w:sz w:val="17"/>
              </w:rPr>
              <w:t>Formula</w:t>
            </w:r>
          </w:p>
        </w:tc>
      </w:tr>
      <w:tr>
        <w:trPr>
          <w:cantSplit/>
        </w:trPr>
        <w:tc>
          <w:tcPr>
            <w:tcW w:type="dxa" w:w="3200"/>
            <w:tcMar>
              <w:top w:w="80" w:type="dxa"/>
              <w:start w:w="120" w:type="dxa"/>
              <w:bottom w:w="80" w:type="dxa"/>
              <w:end w:w="120" w:type="dxa"/>
            </w:tcMar>
            <w:vAlign w:val="center"/>
          </w:tcPr>
          <w:p>
            <w:r>
              <w:rPr>
                <w:rFonts w:ascii="Calibri" w:hAnsi="Calibri"/>
                <w:b/>
                <w:i w:val="0"/>
                <w:color w:val="102A43"/>
                <w:sz w:val="17"/>
              </w:rPr>
              <w:t>Normalised monthly run-rate</w:t>
            </w:r>
          </w:p>
        </w:tc>
        <w:tc>
          <w:tcPr>
            <w:tcW w:type="dxa" w:w="6160"/>
            <w:tcMar>
              <w:top w:w="80" w:type="dxa"/>
              <w:start w:w="120" w:type="dxa"/>
              <w:bottom w:w="80" w:type="dxa"/>
              <w:end w:w="120" w:type="dxa"/>
            </w:tcMar>
            <w:vAlign w:val="center"/>
          </w:tcPr>
          <w:p>
            <w:r>
              <w:rPr>
                <w:rFonts w:ascii="Calibri" w:hAnsi="Calibri"/>
                <w:b w:val="0"/>
                <w:i w:val="0"/>
                <w:color w:val="1F2937"/>
                <w:sz w:val="17"/>
              </w:rPr>
              <w:t>Monthly recurring + annual/prepaid cash costs ÷ 12</w:t>
            </w:r>
          </w:p>
        </w:tc>
      </w:tr>
      <w:tr>
        <w:trPr>
          <w:cantSplit/>
        </w:trPr>
        <w:tc>
          <w:tcPr>
            <w:tcW w:type="dxa" w:w="3200"/>
            <w:shd w:fill="F8FAFC"/>
            <w:tcMar>
              <w:top w:w="80" w:type="dxa"/>
              <w:start w:w="120" w:type="dxa"/>
              <w:bottom w:w="80" w:type="dxa"/>
              <w:end w:w="120" w:type="dxa"/>
            </w:tcMar>
            <w:vAlign w:val="center"/>
          </w:tcPr>
          <w:p>
            <w:r>
              <w:rPr>
                <w:rFonts w:ascii="Calibri" w:hAnsi="Calibri"/>
                <w:b/>
                <w:i w:val="0"/>
                <w:color w:val="102A43"/>
                <w:sz w:val="17"/>
              </w:rPr>
              <w:t>Month-one cash requirement</w:t>
            </w:r>
          </w:p>
        </w:tc>
        <w:tc>
          <w:tcPr>
            <w:tcW w:type="dxa" w:w="6160"/>
            <w:shd w:fill="F8FAFC"/>
            <w:tcMar>
              <w:top w:w="80" w:type="dxa"/>
              <w:start w:w="120" w:type="dxa"/>
              <w:bottom w:w="80" w:type="dxa"/>
              <w:end w:w="120" w:type="dxa"/>
            </w:tcMar>
            <w:vAlign w:val="center"/>
          </w:tcPr>
          <w:p>
            <w:r>
              <w:rPr>
                <w:rFonts w:ascii="Calibri" w:hAnsi="Calibri"/>
                <w:b w:val="0"/>
                <w:i w:val="0"/>
                <w:color w:val="1F2937"/>
                <w:sz w:val="17"/>
              </w:rPr>
              <w:t>Monthly recurring + prepaid/annual purchases due now + one-time setup</w:t>
            </w:r>
          </w:p>
        </w:tc>
      </w:tr>
      <w:tr>
        <w:trPr>
          <w:cantSplit/>
        </w:trPr>
        <w:tc>
          <w:tcPr>
            <w:tcW w:type="dxa" w:w="3200"/>
            <w:tcMar>
              <w:top w:w="80" w:type="dxa"/>
              <w:start w:w="120" w:type="dxa"/>
              <w:bottom w:w="80" w:type="dxa"/>
              <w:end w:w="120" w:type="dxa"/>
            </w:tcMar>
            <w:vAlign w:val="center"/>
          </w:tcPr>
          <w:p>
            <w:r>
              <w:rPr>
                <w:rFonts w:ascii="Calibri" w:hAnsi="Calibri"/>
                <w:b/>
                <w:i w:val="0"/>
                <w:color w:val="102A43"/>
                <w:sz w:val="17"/>
              </w:rPr>
              <w:t>Year-one known cost</w:t>
            </w:r>
          </w:p>
        </w:tc>
        <w:tc>
          <w:tcPr>
            <w:tcW w:type="dxa" w:w="6160"/>
            <w:tcMar>
              <w:top w:w="80" w:type="dxa"/>
              <w:start w:w="120" w:type="dxa"/>
              <w:bottom w:w="80" w:type="dxa"/>
              <w:end w:w="120" w:type="dxa"/>
            </w:tcMar>
            <w:vAlign w:val="center"/>
          </w:tcPr>
          <w:p>
            <w:r>
              <w:rPr>
                <w:rFonts w:ascii="Calibri" w:hAnsi="Calibri"/>
                <w:b w:val="0"/>
                <w:i w:val="0"/>
                <w:color w:val="1F2937"/>
                <w:sz w:val="17"/>
              </w:rPr>
              <w:t>12 × monthly recurring + annual/prepaid purchases + one-time setup</w:t>
            </w:r>
          </w:p>
        </w:tc>
      </w:tr>
      <w:tr>
        <w:trPr>
          <w:cantSplit/>
        </w:trPr>
        <w:tc>
          <w:tcPr>
            <w:tcW w:type="dxa" w:w="3200"/>
            <w:shd w:fill="F8FAFC"/>
            <w:tcMar>
              <w:top w:w="80" w:type="dxa"/>
              <w:start w:w="120" w:type="dxa"/>
              <w:bottom w:w="80" w:type="dxa"/>
              <w:end w:w="120" w:type="dxa"/>
            </w:tcMar>
            <w:vAlign w:val="center"/>
          </w:tcPr>
          <w:p>
            <w:r>
              <w:rPr>
                <w:rFonts w:ascii="Calibri" w:hAnsi="Calibri"/>
                <w:b/>
                <w:i w:val="0"/>
                <w:color w:val="102A43"/>
                <w:sz w:val="17"/>
              </w:rPr>
              <w:t>USD vendor estimate in TRY</w:t>
            </w:r>
          </w:p>
        </w:tc>
        <w:tc>
          <w:tcPr>
            <w:tcW w:type="dxa" w:w="6160"/>
            <w:shd w:fill="F8FAFC"/>
            <w:tcMar>
              <w:top w:w="80" w:type="dxa"/>
              <w:start w:w="120" w:type="dxa"/>
              <w:bottom w:w="80" w:type="dxa"/>
              <w:end w:w="120" w:type="dxa"/>
            </w:tcMar>
            <w:vAlign w:val="center"/>
          </w:tcPr>
          <w:p>
            <w:r>
              <w:rPr>
                <w:rFonts w:ascii="Calibri" w:hAnsi="Calibri"/>
                <w:b w:val="0"/>
                <w:i w:val="0"/>
                <w:color w:val="1F2937"/>
                <w:sz w:val="17"/>
              </w:rPr>
              <w:t>USD subtotal × dated FX rate</w:t>
            </w:r>
          </w:p>
        </w:tc>
      </w:tr>
      <w:tr>
        <w:trPr>
          <w:cantSplit/>
        </w:trPr>
        <w:tc>
          <w:tcPr>
            <w:tcW w:type="dxa" w:w="3200"/>
            <w:tcMar>
              <w:top w:w="80" w:type="dxa"/>
              <w:start w:w="120" w:type="dxa"/>
              <w:bottom w:w="80" w:type="dxa"/>
              <w:end w:w="120" w:type="dxa"/>
            </w:tcMar>
            <w:vAlign w:val="center"/>
          </w:tcPr>
          <w:p>
            <w:r>
              <w:rPr>
                <w:rFonts w:ascii="Calibri" w:hAnsi="Calibri"/>
                <w:b/>
                <w:i w:val="0"/>
                <w:color w:val="102A43"/>
                <w:sz w:val="17"/>
              </w:rPr>
              <w:t>FX-buffered management budget</w:t>
            </w:r>
          </w:p>
        </w:tc>
        <w:tc>
          <w:tcPr>
            <w:tcW w:type="dxa" w:w="6160"/>
            <w:tcMar>
              <w:top w:w="80" w:type="dxa"/>
              <w:start w:w="120" w:type="dxa"/>
              <w:bottom w:w="80" w:type="dxa"/>
              <w:end w:w="120" w:type="dxa"/>
            </w:tcMar>
            <w:vAlign w:val="center"/>
          </w:tcPr>
          <w:p>
            <w:r>
              <w:rPr>
                <w:rFonts w:ascii="Calibri" w:hAnsi="Calibri"/>
                <w:b w:val="0"/>
                <w:i w:val="0"/>
                <w:color w:val="1F2937"/>
                <w:sz w:val="17"/>
              </w:rPr>
              <w:t>USD subtotal × FX rate × (1 + selected buffer)</w:t>
            </w:r>
          </w:p>
        </w:tc>
      </w:tr>
      <w:tr>
        <w:trPr>
          <w:cantSplit/>
        </w:trPr>
        <w:tc>
          <w:tcPr>
            <w:tcW w:type="dxa" w:w="3200"/>
            <w:shd w:fill="F8FAFC"/>
            <w:tcMar>
              <w:top w:w="80" w:type="dxa"/>
              <w:start w:w="120" w:type="dxa"/>
              <w:bottom w:w="80" w:type="dxa"/>
              <w:end w:w="120" w:type="dxa"/>
            </w:tcMar>
            <w:vAlign w:val="center"/>
          </w:tcPr>
          <w:p>
            <w:r>
              <w:rPr>
                <w:rFonts w:ascii="Calibri" w:hAnsi="Calibri"/>
                <w:b/>
                <w:i w:val="0"/>
                <w:color w:val="102A43"/>
                <w:sz w:val="17"/>
              </w:rPr>
              <w:t>Known subtotal label</w:t>
            </w:r>
          </w:p>
        </w:tc>
        <w:tc>
          <w:tcPr>
            <w:tcW w:type="dxa" w:w="6160"/>
            <w:shd w:fill="F8FAFC"/>
            <w:tcMar>
              <w:top w:w="80" w:type="dxa"/>
              <w:start w:w="120" w:type="dxa"/>
              <w:bottom w:w="80" w:type="dxa"/>
              <w:end w:w="120" w:type="dxa"/>
            </w:tcMar>
            <w:vAlign w:val="center"/>
          </w:tcPr>
          <w:p>
            <w:r>
              <w:rPr>
                <w:rFonts w:ascii="Calibri" w:hAnsi="Calibri"/>
                <w:b w:val="0"/>
                <w:i w:val="0"/>
                <w:color w:val="1F2937"/>
                <w:sz w:val="17"/>
              </w:rPr>
              <w:t>Required whenever any enabled quote-only item remains blank</w:t>
            </w:r>
          </w:p>
        </w:tc>
      </w:tr>
    </w:tbl>
    <w:p>
      <w:pPr>
        <w:pStyle w:val="Heading2"/>
      </w:pPr>
      <w:r>
        <w:t>A.8 Standard regression values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000"/>
        <w:gridCol w:w="2100"/>
        <w:gridCol w:w="2100"/>
        <w:gridCol w:w="2160"/>
      </w:tblGrid>
      <w:tr>
        <w:trPr>
          <w:cantSplit/>
          <w:tblHeader w:val="true"/>
          <w:cantSplit/>
        </w:trPr>
        <w:tc>
          <w:tcPr>
            <w:tcW w:type="dxa" w:w="3000"/>
            <w:shd w:fill="102A43"/>
            <w:tcMar>
              <w:top w:w="80" w:type="dxa"/>
              <w:start w:w="120" w:type="dxa"/>
              <w:bottom w:w="80" w:type="dxa"/>
              <w:end w:w="120" w:type="dxa"/>
            </w:tcMar>
            <w:vAlign w:val="center"/>
          </w:tcPr>
          <w:p>
            <w:r>
              <w:rPr>
                <w:rFonts w:ascii="Calibri" w:hAnsi="Calibri"/>
                <w:b/>
                <w:i w:val="0"/>
                <w:color w:val="FFFFFF"/>
                <w:sz w:val="16"/>
              </w:rPr>
              <w:t>Test</w:t>
            </w:r>
          </w:p>
        </w:tc>
        <w:tc>
          <w:tcPr>
            <w:tcW w:type="dxa" w:w="2100"/>
            <w:shd w:fill="102A43"/>
            <w:tcMar>
              <w:top w:w="80" w:type="dxa"/>
              <w:start w:w="120" w:type="dxa"/>
              <w:bottom w:w="80" w:type="dxa"/>
              <w:end w:w="120" w:type="dxa"/>
            </w:tcMar>
            <w:vAlign w:val="center"/>
          </w:tcPr>
          <w:p>
            <w:r>
              <w:rPr>
                <w:rFonts w:ascii="Calibri" w:hAnsi="Calibri"/>
                <w:b/>
                <w:i w:val="0"/>
                <w:color w:val="FFFFFF"/>
                <w:sz w:val="16"/>
              </w:rPr>
              <w:t>1,000</w:t>
            </w:r>
          </w:p>
        </w:tc>
        <w:tc>
          <w:tcPr>
            <w:tcW w:type="dxa" w:w="2100"/>
            <w:shd w:fill="102A43"/>
            <w:tcMar>
              <w:top w:w="80" w:type="dxa"/>
              <w:start w:w="120" w:type="dxa"/>
              <w:bottom w:w="80" w:type="dxa"/>
              <w:end w:w="120" w:type="dxa"/>
            </w:tcMar>
            <w:vAlign w:val="center"/>
          </w:tcPr>
          <w:p>
            <w:r>
              <w:rPr>
                <w:rFonts w:ascii="Calibri" w:hAnsi="Calibri"/>
                <w:b/>
                <w:i w:val="0"/>
                <w:color w:val="FFFFFF"/>
                <w:sz w:val="16"/>
              </w:rPr>
              <w:t>5,000</w:t>
            </w:r>
          </w:p>
        </w:tc>
        <w:tc>
          <w:tcPr>
            <w:tcW w:type="dxa" w:w="2160"/>
            <w:shd w:fill="102A43"/>
            <w:tcMar>
              <w:top w:w="80" w:type="dxa"/>
              <w:start w:w="120" w:type="dxa"/>
              <w:bottom w:w="80" w:type="dxa"/>
              <w:end w:w="120" w:type="dxa"/>
            </w:tcMar>
            <w:vAlign w:val="center"/>
          </w:tcPr>
          <w:p>
            <w:r>
              <w:rPr>
                <w:rFonts w:ascii="Calibri" w:hAnsi="Calibri"/>
                <w:b/>
                <w:i w:val="0"/>
                <w:color w:val="FFFFFF"/>
                <w:sz w:val="16"/>
              </w:rPr>
              <w:t>10,000</w:t>
            </w:r>
          </w:p>
        </w:tc>
      </w:tr>
      <w:tr>
        <w:trPr>
          <w:cantSplit/>
        </w:trPr>
        <w:tc>
          <w:tcPr>
            <w:tcW w:type="dxa" w:w="3000"/>
            <w:tcMar>
              <w:top w:w="80" w:type="dxa"/>
              <w:start w:w="120" w:type="dxa"/>
              <w:bottom w:w="80" w:type="dxa"/>
              <w:end w:w="120" w:type="dxa"/>
            </w:tcMar>
            <w:vAlign w:val="center"/>
          </w:tcPr>
          <w:p>
            <w:r>
              <w:rPr>
                <w:rFonts w:ascii="Calibri" w:hAnsi="Calibri"/>
                <w:b/>
                <w:i w:val="0"/>
                <w:color w:val="102A43"/>
                <w:sz w:val="16"/>
              </w:rPr>
              <w:t>Platform excl. image storage/Twenty</w:t>
            </w:r>
          </w:p>
        </w:tc>
        <w:tc>
          <w:tcPr>
            <w:tcW w:type="dxa" w:w="2100"/>
            <w:tcMar>
              <w:top w:w="80" w:type="dxa"/>
              <w:start w:w="120" w:type="dxa"/>
              <w:bottom w:w="80" w:type="dxa"/>
              <w:end w:w="120" w:type="dxa"/>
            </w:tcMar>
            <w:vAlign w:val="center"/>
          </w:tcPr>
          <w:p>
            <w:r>
              <w:rPr>
                <w:rFonts w:ascii="Calibri" w:hAnsi="Calibri"/>
                <w:b w:val="0"/>
                <w:i w:val="0"/>
                <w:color w:val="1F2937"/>
                <w:sz w:val="16"/>
              </w:rPr>
              <w:t>$223.50</w:t>
            </w:r>
          </w:p>
        </w:tc>
        <w:tc>
          <w:tcPr>
            <w:tcW w:type="dxa" w:w="2100"/>
            <w:tcMar>
              <w:top w:w="80" w:type="dxa"/>
              <w:start w:w="120" w:type="dxa"/>
              <w:bottom w:w="80" w:type="dxa"/>
              <w:end w:w="120" w:type="dxa"/>
            </w:tcMar>
            <w:vAlign w:val="center"/>
          </w:tcPr>
          <w:p>
            <w:r>
              <w:rPr>
                <w:rFonts w:ascii="Calibri" w:hAnsi="Calibri"/>
                <w:b w:val="0"/>
                <w:i w:val="0"/>
                <w:color w:val="1F2937"/>
                <w:sz w:val="16"/>
              </w:rPr>
              <w:t>$411.00</w:t>
            </w:r>
          </w:p>
        </w:tc>
        <w:tc>
          <w:tcPr>
            <w:tcW w:type="dxa" w:w="2160"/>
            <w:tcMar>
              <w:top w:w="80" w:type="dxa"/>
              <w:start w:w="120" w:type="dxa"/>
              <w:bottom w:w="80" w:type="dxa"/>
              <w:end w:w="120" w:type="dxa"/>
            </w:tcMar>
            <w:vAlign w:val="center"/>
          </w:tcPr>
          <w:p>
            <w:r>
              <w:rPr>
                <w:rFonts w:ascii="Calibri" w:hAnsi="Calibri"/>
                <w:b w:val="0"/>
                <w:i w:val="0"/>
                <w:color w:val="1F2937"/>
                <w:sz w:val="16"/>
              </w:rPr>
              <w:t>$638.50</w:t>
            </w:r>
          </w:p>
        </w:tc>
      </w:tr>
      <w:tr>
        <w:trPr>
          <w:cantSplit/>
        </w:trPr>
        <w:tc>
          <w:tcPr>
            <w:tcW w:type="dxa" w:w="3000"/>
            <w:shd w:fill="F8FAFC"/>
            <w:tcMar>
              <w:top w:w="80" w:type="dxa"/>
              <w:start w:w="120" w:type="dxa"/>
              <w:bottom w:w="80" w:type="dxa"/>
              <w:end w:w="120" w:type="dxa"/>
            </w:tcMar>
            <w:vAlign w:val="center"/>
          </w:tcPr>
          <w:p>
            <w:r>
              <w:rPr>
                <w:rFonts w:ascii="Calibri" w:hAnsi="Calibri"/>
                <w:b/>
                <w:i w:val="0"/>
                <w:color w:val="102A43"/>
                <w:sz w:val="16"/>
              </w:rPr>
              <w:t>+ image storage</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$239.46</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$426.96</w:t>
            </w:r>
          </w:p>
        </w:tc>
        <w:tc>
          <w:tcPr>
            <w:tcW w:type="dxa" w:w="2160"/>
            <w:shd w:fill="F8FAFC"/>
            <w:tcMar>
              <w:top w:w="80" w:type="dxa"/>
              <w:start w:w="120" w:type="dxa"/>
              <w:bottom w:w="80" w:type="dxa"/>
              <w:end w:w="120" w:type="dxa"/>
            </w:tcMar>
            <w:vAlign w:val="center"/>
          </w:tcPr>
          <w:p>
            <w:r>
              <w:rPr>
                <w:rFonts w:ascii="Calibri" w:hAnsi="Calibri"/>
                <w:b w:val="0"/>
                <w:i w:val="0"/>
                <w:color w:val="1F2937"/>
                <w:sz w:val="16"/>
              </w:rPr>
              <w:t>$654.46</w:t>
            </w:r>
          </w:p>
        </w:tc>
      </w:tr>
      <w:tr>
        <w:trPr>
          <w:cantSplit/>
        </w:trPr>
        <w:tc>
          <w:tcPr>
            <w:tcW w:type="dxa" w:w="3000"/>
            <w:tcMar>
              <w:top w:w="80" w:type="dxa"/>
              <w:start w:w="120" w:type="dxa"/>
              <w:bottom w:w="80" w:type="dxa"/>
              <w:end w:w="120" w:type="dxa"/>
            </w:tcMar>
            <w:vAlign w:val="center"/>
          </w:tcPr>
          <w:p>
            <w:r>
              <w:rPr>
                <w:rFonts w:ascii="Calibri" w:hAnsi="Calibri"/>
                <w:b/>
                <w:i w:val="0"/>
                <w:color w:val="102A43"/>
                <w:sz w:val="16"/>
              </w:rPr>
              <w:t>+ Twenty Organization</w:t>
            </w:r>
          </w:p>
        </w:tc>
        <w:tc>
          <w:tcPr>
            <w:tcW w:type="dxa" w:w="2100"/>
            <w:tcMar>
              <w:top w:w="80" w:type="dxa"/>
              <w:start w:w="120" w:type="dxa"/>
              <w:bottom w:w="80" w:type="dxa"/>
              <w:end w:w="120" w:type="dxa"/>
            </w:tcMar>
            <w:vAlign w:val="center"/>
          </w:tcPr>
          <w:p>
            <w:r>
              <w:rPr>
                <w:rFonts w:ascii="Calibri" w:hAnsi="Calibri"/>
                <w:b w:val="0"/>
                <w:i w:val="0"/>
                <w:color w:val="1F2937"/>
                <w:sz w:val="16"/>
              </w:rPr>
              <w:t>$429.46</w:t>
            </w:r>
          </w:p>
        </w:tc>
        <w:tc>
          <w:tcPr>
            <w:tcW w:type="dxa" w:w="2100"/>
            <w:tcMar>
              <w:top w:w="80" w:type="dxa"/>
              <w:start w:w="120" w:type="dxa"/>
              <w:bottom w:w="80" w:type="dxa"/>
              <w:end w:w="120" w:type="dxa"/>
            </w:tcMar>
            <w:vAlign w:val="center"/>
          </w:tcPr>
          <w:p>
            <w:r>
              <w:rPr>
                <w:rFonts w:ascii="Calibri" w:hAnsi="Calibri"/>
                <w:b w:val="0"/>
                <w:i w:val="0"/>
                <w:color w:val="1F2937"/>
                <w:sz w:val="16"/>
              </w:rPr>
              <w:t>$901.96</w:t>
            </w:r>
          </w:p>
        </w:tc>
        <w:tc>
          <w:tcPr>
            <w:tcW w:type="dxa" w:w="2160"/>
            <w:tcMar>
              <w:top w:w="80" w:type="dxa"/>
              <w:start w:w="120" w:type="dxa"/>
              <w:bottom w:w="80" w:type="dxa"/>
              <w:end w:w="120" w:type="dxa"/>
            </w:tcMar>
            <w:vAlign w:val="center"/>
          </w:tcPr>
          <w:p>
            <w:r>
              <w:rPr>
                <w:rFonts w:ascii="Calibri" w:hAnsi="Calibri"/>
                <w:b w:val="0"/>
                <w:i w:val="0"/>
                <w:color w:val="1F2937"/>
                <w:sz w:val="16"/>
              </w:rPr>
              <w:t>$1,604.46</w:t>
            </w:r>
          </w:p>
        </w:tc>
      </w:tr>
      <w:tr>
        <w:trPr>
          <w:cantSplit/>
        </w:trPr>
        <w:tc>
          <w:tcPr>
            <w:tcW w:type="dxa" w:w="3000"/>
            <w:shd w:fill="F8FAFC"/>
            <w:tcMar>
              <w:top w:w="80" w:type="dxa"/>
              <w:start w:w="120" w:type="dxa"/>
              <w:bottom w:w="80" w:type="dxa"/>
              <w:end w:w="120" w:type="dxa"/>
            </w:tcMar>
            <w:vAlign w:val="center"/>
          </w:tcPr>
          <w:p>
            <w:r>
              <w:rPr>
                <w:rFonts w:ascii="Calibri" w:hAnsi="Calibri"/>
                <w:b/>
                <w:i w:val="0"/>
                <w:color w:val="102A43"/>
                <w:sz w:val="16"/>
              </w:rPr>
              <w:t>iyzico fee</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TRY 10,737.50</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TRY 53,687.50</w:t>
            </w:r>
          </w:p>
        </w:tc>
        <w:tc>
          <w:tcPr>
            <w:tcW w:type="dxa" w:w="2160"/>
            <w:shd w:fill="F8FAFC"/>
            <w:tcMar>
              <w:top w:w="80" w:type="dxa"/>
              <w:start w:w="120" w:type="dxa"/>
              <w:bottom w:w="80" w:type="dxa"/>
              <w:end w:w="120" w:type="dxa"/>
            </w:tcMar>
            <w:vAlign w:val="center"/>
          </w:tcPr>
          <w:p>
            <w:r>
              <w:rPr>
                <w:rFonts w:ascii="Calibri" w:hAnsi="Calibri"/>
                <w:b w:val="0"/>
                <w:i w:val="0"/>
                <w:color w:val="1F2937"/>
                <w:sz w:val="16"/>
              </w:rPr>
              <w:t>TRY 107,375.00</w:t>
            </w:r>
          </w:p>
        </w:tc>
      </w:tr>
      <w:tr>
        <w:trPr>
          <w:cantSplit/>
        </w:trPr>
        <w:tc>
          <w:tcPr>
            <w:tcW w:type="dxa" w:w="3000"/>
            <w:tcMar>
              <w:top w:w="80" w:type="dxa"/>
              <w:start w:w="120" w:type="dxa"/>
              <w:bottom w:w="80" w:type="dxa"/>
              <w:end w:w="120" w:type="dxa"/>
            </w:tcMar>
            <w:vAlign w:val="center"/>
          </w:tcPr>
          <w:p>
            <w:r>
              <w:rPr>
                <w:rFonts w:ascii="Calibri" w:hAnsi="Calibri"/>
                <w:b/>
                <w:i w:val="0"/>
                <w:color w:val="102A43"/>
                <w:sz w:val="16"/>
              </w:rPr>
              <w:t>Cached egress</w:t>
            </w:r>
          </w:p>
        </w:tc>
        <w:tc>
          <w:tcPr>
            <w:tcW w:type="dxa" w:w="2100"/>
            <w:tcMar>
              <w:top w:w="80" w:type="dxa"/>
              <w:start w:w="120" w:type="dxa"/>
              <w:bottom w:w="80" w:type="dxa"/>
              <w:end w:w="120" w:type="dxa"/>
            </w:tcMar>
            <w:vAlign w:val="center"/>
          </w:tcPr>
          <w:p>
            <w:r>
              <w:rPr>
                <w:rFonts w:ascii="Calibri" w:hAnsi="Calibri"/>
                <w:b w:val="0"/>
                <w:i w:val="0"/>
                <w:color w:val="1F2937"/>
                <w:sz w:val="16"/>
              </w:rPr>
              <w:t>$0.00</w:t>
            </w:r>
          </w:p>
        </w:tc>
        <w:tc>
          <w:tcPr>
            <w:tcW w:type="dxa" w:w="2100"/>
            <w:tcMar>
              <w:top w:w="80" w:type="dxa"/>
              <w:start w:w="120" w:type="dxa"/>
              <w:bottom w:w="80" w:type="dxa"/>
              <w:end w:w="120" w:type="dxa"/>
            </w:tcMar>
            <w:vAlign w:val="center"/>
          </w:tcPr>
          <w:p>
            <w:r>
              <w:rPr>
                <w:rFonts w:ascii="Calibri" w:hAnsi="Calibri"/>
                <w:b w:val="0"/>
                <w:i w:val="0"/>
                <w:color w:val="1F2937"/>
                <w:sz w:val="16"/>
              </w:rPr>
              <w:t>$7.50</w:t>
            </w:r>
          </w:p>
        </w:tc>
        <w:tc>
          <w:tcPr>
            <w:tcW w:type="dxa" w:w="2160"/>
            <w:tcMar>
              <w:top w:w="80" w:type="dxa"/>
              <w:start w:w="120" w:type="dxa"/>
              <w:bottom w:w="80" w:type="dxa"/>
              <w:end w:w="120" w:type="dxa"/>
            </w:tcMar>
            <w:vAlign w:val="center"/>
          </w:tcPr>
          <w:p>
            <w:r>
              <w:rPr>
                <w:rFonts w:ascii="Calibri" w:hAnsi="Calibri"/>
                <w:b w:val="0"/>
                <w:i w:val="0"/>
                <w:color w:val="1F2937"/>
                <w:sz w:val="16"/>
              </w:rPr>
              <w:t>$22.50</w:t>
            </w:r>
          </w:p>
        </w:tc>
      </w:tr>
      <w:tr>
        <w:trPr>
          <w:cantSplit/>
        </w:trPr>
        <w:tc>
          <w:tcPr>
            <w:tcW w:type="dxa" w:w="3000"/>
            <w:shd w:fill="F8FAFC"/>
            <w:tcMar>
              <w:top w:w="80" w:type="dxa"/>
              <w:start w:w="120" w:type="dxa"/>
              <w:bottom w:w="80" w:type="dxa"/>
              <w:end w:w="120" w:type="dxa"/>
            </w:tcMar>
            <w:vAlign w:val="center"/>
          </w:tcPr>
          <w:p>
            <w:r>
              <w:rPr>
                <w:rFonts w:ascii="Calibri" w:hAnsi="Calibri"/>
                <w:b/>
                <w:i w:val="0"/>
                <w:color w:val="102A43"/>
                <w:sz w:val="16"/>
              </w:rPr>
              <w:t>Dynamic Maps at 10/user</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$0.00</w:t>
            </w:r>
          </w:p>
        </w:tc>
        <w:tc>
          <w:tcPr>
            <w:tcW w:type="dxa" w:w="2100"/>
            <w:shd w:fill="F8FAFC"/>
            <w:tcMar>
              <w:top w:w="80" w:type="dxa"/>
              <w:start w:w="120" w:type="dxa"/>
              <w:bottom w:w="80" w:type="dxa"/>
              <w:end w:w="120" w:type="dxa"/>
            </w:tcMar>
            <w:vAlign w:val="center"/>
          </w:tcPr>
          <w:p>
            <w:r>
              <w:rPr>
                <w:rFonts w:ascii="Calibri" w:hAnsi="Calibri"/>
                <w:b w:val="0"/>
                <w:i w:val="0"/>
                <w:color w:val="1F2937"/>
                <w:sz w:val="16"/>
              </w:rPr>
              <w:t>$280.00</w:t>
            </w:r>
          </w:p>
        </w:tc>
        <w:tc>
          <w:tcPr>
            <w:tcW w:type="dxa" w:w="2160"/>
            <w:shd w:fill="F8FAFC"/>
            <w:tcMar>
              <w:top w:w="80" w:type="dxa"/>
              <w:start w:w="120" w:type="dxa"/>
              <w:bottom w:w="80" w:type="dxa"/>
              <w:end w:w="120" w:type="dxa"/>
            </w:tcMar>
            <w:vAlign w:val="center"/>
          </w:tcPr>
          <w:p>
            <w:r>
              <w:rPr>
                <w:rFonts w:ascii="Calibri" w:hAnsi="Calibri"/>
                <w:b w:val="0"/>
                <w:i w:val="0"/>
                <w:color w:val="1F2937"/>
                <w:sz w:val="16"/>
              </w:rPr>
              <w:t>$630.00</w:t>
            </w:r>
          </w:p>
        </w:tc>
      </w:tr>
    </w:tbl>
    <w:p>
      <w:bookmarkStart w:id="117" w:name="price-book"/>
      <w:pPr>
        <w:pStyle w:val="Heading1"/>
      </w:pPr>
      <w:r>
        <w:t>Appendix B — Provider price book</w:t>
      </w:r>
      <w:bookmarkEnd w:id="117"/>
    </w:p>
    <w:p>
      <w:r>
        <w:rPr>
          <w:rFonts w:ascii="Calibri" w:hAnsi="Calibri"/>
          <w:b w:val="0"/>
          <w:i w:val="0"/>
          <w:color w:val="1F2937"/>
          <w:sz w:val="20"/>
        </w:rPr>
        <w:t>The price book records the public planning signal only. Contracted terms, taxes, FX, eligibility, region and support can change the invoice. All entries were checked on 15 July 2026 unless marked quotation.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850"/>
        <w:gridCol w:w="2700"/>
        <w:gridCol w:w="2800"/>
        <w:gridCol w:w="1210"/>
      </w:tblGrid>
      <w:tr>
        <w:trPr>
          <w:cantSplit/>
          <w:tblHeader w:val="true"/>
          <w:cantSplit/>
        </w:trPr>
        <w:tc>
          <w:tcPr>
            <w:tcW w:type="dxa" w:w="1800"/>
            <w:shd w:fill="102A43"/>
            <w:tcMar>
              <w:top w:w="80" w:type="dxa"/>
              <w:start w:w="120" w:type="dxa"/>
              <w:bottom w:w="80" w:type="dxa"/>
              <w:end w:w="120" w:type="dxa"/>
            </w:tcMar>
            <w:vAlign w:val="center"/>
          </w:tcPr>
          <w:p>
            <w:r>
              <w:rPr>
                <w:rFonts w:ascii="Calibri" w:hAnsi="Calibri"/>
                <w:b/>
                <w:i w:val="0"/>
                <w:color w:val="FFFFFF"/>
                <w:sz w:val="15"/>
              </w:rPr>
              <w:t>Line</w:t>
            </w:r>
          </w:p>
        </w:tc>
        <w:tc>
          <w:tcPr>
            <w:tcW w:type="dxa" w:w="850"/>
            <w:shd w:fill="102A43"/>
            <w:tcMar>
              <w:top w:w="80" w:type="dxa"/>
              <w:start w:w="120" w:type="dxa"/>
              <w:bottom w:w="80" w:type="dxa"/>
              <w:end w:w="120" w:type="dxa"/>
            </w:tcMar>
            <w:vAlign w:val="center"/>
          </w:tcPr>
          <w:p>
            <w:r>
              <w:rPr>
                <w:rFonts w:ascii="Calibri" w:hAnsi="Calibri"/>
                <w:b/>
                <w:i w:val="0"/>
                <w:color w:val="FFFFFF"/>
                <w:sz w:val="15"/>
              </w:rPr>
              <w:t>Currency</w:t>
            </w:r>
          </w:p>
        </w:tc>
        <w:tc>
          <w:tcPr>
            <w:tcW w:type="dxa" w:w="2700"/>
            <w:shd w:fill="102A43"/>
            <w:tcMar>
              <w:top w:w="80" w:type="dxa"/>
              <w:start w:w="120" w:type="dxa"/>
              <w:bottom w:w="80" w:type="dxa"/>
              <w:end w:w="120" w:type="dxa"/>
            </w:tcMar>
            <w:vAlign w:val="center"/>
          </w:tcPr>
          <w:p>
            <w:r>
              <w:rPr>
                <w:rFonts w:ascii="Calibri" w:hAnsi="Calibri"/>
                <w:b/>
                <w:i w:val="0"/>
                <w:color w:val="FFFFFF"/>
                <w:sz w:val="15"/>
              </w:rPr>
              <w:t>Public signal</w:t>
            </w:r>
          </w:p>
        </w:tc>
        <w:tc>
          <w:tcPr>
            <w:tcW w:type="dxa" w:w="2800"/>
            <w:shd w:fill="102A43"/>
            <w:tcMar>
              <w:top w:w="80" w:type="dxa"/>
              <w:start w:w="120" w:type="dxa"/>
              <w:bottom w:w="80" w:type="dxa"/>
              <w:end w:w="120" w:type="dxa"/>
            </w:tcMar>
            <w:vAlign w:val="center"/>
          </w:tcPr>
          <w:p>
            <w:r>
              <w:rPr>
                <w:rFonts w:ascii="Calibri" w:hAnsi="Calibri"/>
                <w:b/>
                <w:i w:val="0"/>
                <w:color w:val="FFFFFF"/>
                <w:sz w:val="15"/>
              </w:rPr>
              <w:t>Status/tax</w:t>
            </w:r>
          </w:p>
        </w:tc>
        <w:tc>
          <w:tcPr>
            <w:tcW w:type="dxa" w:w="1210"/>
            <w:shd w:fill="102A43"/>
            <w:tcMar>
              <w:top w:w="80" w:type="dxa"/>
              <w:start w:w="120" w:type="dxa"/>
              <w:bottom w:w="80" w:type="dxa"/>
              <w:end w:w="120" w:type="dxa"/>
            </w:tcMar>
            <w:vAlign w:val="center"/>
          </w:tcPr>
          <w:p>
            <w:r>
              <w:rPr>
                <w:rFonts w:ascii="Calibri" w:hAnsi="Calibri"/>
                <w:b/>
                <w:i w:val="0"/>
                <w:color w:val="FFFFFF"/>
                <w:sz w:val="15"/>
              </w:rPr>
              <w:t>Source</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Vercel Pro</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$20/month; one deploying seat</w:t>
            </w:r>
          </w:p>
        </w:tc>
        <w:tc>
          <w:tcPr>
            <w:tcW w:type="dxa" w:w="2800"/>
            <w:tcMar>
              <w:top w:w="80" w:type="dxa"/>
              <w:start w:w="120" w:type="dxa"/>
              <w:bottom w:w="80" w:type="dxa"/>
              <w:end w:w="120" w:type="dxa"/>
            </w:tcMar>
            <w:vAlign w:val="center"/>
          </w:tcPr>
          <w:p>
            <w:r>
              <w:rPr>
                <w:rFonts w:ascii="Calibri" w:hAnsi="Calibri"/>
                <w:b w:val="0"/>
                <w:i w:val="0"/>
                <w:color w:val="1F2937"/>
                <w:sz w:val="15"/>
              </w:rPr>
              <w:t>Public; tax treatment unknown</w:t>
            </w:r>
          </w:p>
        </w:tc>
        <w:tc>
          <w:tcPr>
            <w:tcW w:type="dxa" w:w="1210"/>
            <w:tcMar>
              <w:top w:w="80" w:type="dxa"/>
              <w:start w:w="120" w:type="dxa"/>
              <w:bottom w:w="80" w:type="dxa"/>
              <w:end w:w="120" w:type="dxa"/>
            </w:tcMar>
            <w:vAlign w:val="center"/>
          </w:tcPr>
          <w:p>
            <w:r>
              <w:rPr>
                <w:rFonts w:ascii="Calibri" w:hAnsi="Calibri"/>
                <w:b w:val="0"/>
                <w:i w:val="0"/>
                <w:color w:val="1F2937"/>
                <w:sz w:val="15"/>
              </w:rPr>
              <w:t>S02</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Supabase Pro</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$25/month base; 100k MAU</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metered usage</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S01</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Supabase PITR</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$100/month</w:t>
            </w:r>
          </w:p>
        </w:tc>
        <w:tc>
          <w:tcPr>
            <w:tcW w:type="dxa" w:w="2800"/>
            <w:tcMar>
              <w:top w:w="80" w:type="dxa"/>
              <w:start w:w="120" w:type="dxa"/>
              <w:bottom w:w="80" w:type="dxa"/>
              <w:end w:w="120" w:type="dxa"/>
            </w:tcMar>
            <w:vAlign w:val="center"/>
          </w:tcPr>
          <w:p>
            <w:r>
              <w:rPr>
                <w:rFonts w:ascii="Calibri" w:hAnsi="Calibri"/>
                <w:b w:val="0"/>
                <w:i w:val="0"/>
                <w:color w:val="1F2937"/>
                <w:sz w:val="15"/>
              </w:rPr>
              <w:t>Public add-on</w:t>
            </w:r>
          </w:p>
        </w:tc>
        <w:tc>
          <w:tcPr>
            <w:tcW w:type="dxa" w:w="1210"/>
            <w:tcMar>
              <w:top w:w="80" w:type="dxa"/>
              <w:start w:w="120" w:type="dxa"/>
              <w:bottom w:w="80" w:type="dxa"/>
              <w:end w:w="120" w:type="dxa"/>
            </w:tcMar>
            <w:vAlign w:val="center"/>
          </w:tcPr>
          <w:p>
            <w:r>
              <w:rPr>
                <w:rFonts w:ascii="Calibri" w:hAnsi="Calibri"/>
                <w:b w:val="0"/>
                <w:i w:val="0"/>
                <w:color w:val="1F2937"/>
                <w:sz w:val="15"/>
              </w:rPr>
              <w:t>S01</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Twenty Pro</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$9/internal staff/month, annual</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S03</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Twenty Organization</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$19/internal staff/month, annual</w:t>
            </w:r>
          </w:p>
        </w:tc>
        <w:tc>
          <w:tcPr>
            <w:tcW w:type="dxa" w:w="2800"/>
            <w:tcMar>
              <w:top w:w="80" w:type="dxa"/>
              <w:start w:w="120" w:type="dxa"/>
              <w:bottom w:w="80" w:type="dxa"/>
              <w:end w:w="120" w:type="dxa"/>
            </w:tcMar>
            <w:vAlign w:val="center"/>
          </w:tcPr>
          <w:p>
            <w:r>
              <w:rPr>
                <w:rFonts w:ascii="Calibri" w:hAnsi="Calibri"/>
                <w:b w:val="0"/>
                <w:i w:val="0"/>
                <w:color w:val="1F2937"/>
                <w:sz w:val="15"/>
              </w:rPr>
              <w:t>Public</w:t>
            </w:r>
          </w:p>
        </w:tc>
        <w:tc>
          <w:tcPr>
            <w:tcW w:type="dxa" w:w="1210"/>
            <w:tcMar>
              <w:top w:w="80" w:type="dxa"/>
              <w:start w:w="120" w:type="dxa"/>
              <w:bottom w:w="80" w:type="dxa"/>
              <w:end w:w="120" w:type="dxa"/>
            </w:tcMar>
            <w:vAlign w:val="center"/>
          </w:tcPr>
          <w:p>
            <w:r>
              <w:rPr>
                <w:rFonts w:ascii="Calibri" w:hAnsi="Calibri"/>
                <w:b w:val="0"/>
                <w:i w:val="0"/>
                <w:color w:val="1F2937"/>
                <w:sz w:val="15"/>
              </w:rPr>
              <w:t>S03</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Resend Pro</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$20/50k; $35/100k</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overage applies</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S09</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Sentry Team</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$26/month planning reference</w:t>
            </w:r>
          </w:p>
        </w:tc>
        <w:tc>
          <w:tcPr>
            <w:tcW w:type="dxa" w:w="2800"/>
            <w:tcMar>
              <w:top w:w="80" w:type="dxa"/>
              <w:start w:w="120" w:type="dxa"/>
              <w:bottom w:w="80" w:type="dxa"/>
              <w:end w:w="120" w:type="dxa"/>
            </w:tcMar>
            <w:vAlign w:val="center"/>
          </w:tcPr>
          <w:p>
            <w:r>
              <w:rPr>
                <w:rFonts w:ascii="Calibri" w:hAnsi="Calibri"/>
                <w:b w:val="0"/>
                <w:i w:val="0"/>
                <w:color w:val="1F2937"/>
                <w:sz w:val="15"/>
              </w:rPr>
              <w:t>Public annual-billing reference</w:t>
            </w:r>
          </w:p>
        </w:tc>
        <w:tc>
          <w:tcPr>
            <w:tcW w:type="dxa" w:w="1210"/>
            <w:tcMar>
              <w:top w:w="80" w:type="dxa"/>
              <w:start w:w="120" w:type="dxa"/>
              <w:bottom w:w="80" w:type="dxa"/>
              <w:end w:w="120" w:type="dxa"/>
            </w:tcMar>
            <w:vAlign w:val="center"/>
          </w:tcPr>
          <w:p>
            <w:r>
              <w:rPr>
                <w:rFonts w:ascii="Calibri" w:hAnsi="Calibri"/>
                <w:b w:val="0"/>
                <w:i w:val="0"/>
                <w:color w:val="1F2937"/>
                <w:sz w:val="15"/>
              </w:rPr>
              <w:t>S10</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Google Maps PAYG</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First 10k free; $7/1k next tier</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progressive</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S07</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Google Maps Starter</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$100/50k combined calls</w:t>
            </w:r>
          </w:p>
        </w:tc>
        <w:tc>
          <w:tcPr>
            <w:tcW w:type="dxa" w:w="2800"/>
            <w:tcMar>
              <w:top w:w="80" w:type="dxa"/>
              <w:start w:w="120" w:type="dxa"/>
              <w:bottom w:w="80" w:type="dxa"/>
              <w:end w:w="120" w:type="dxa"/>
            </w:tcMar>
            <w:vAlign w:val="center"/>
          </w:tcPr>
          <w:p>
            <w:r>
              <w:rPr>
                <w:rFonts w:ascii="Calibri" w:hAnsi="Calibri"/>
                <w:b w:val="0"/>
                <w:i w:val="0"/>
                <w:color w:val="1F2937"/>
                <w:sz w:val="15"/>
              </w:rPr>
              <w:t>Public subscription; SKU check</w:t>
            </w:r>
          </w:p>
        </w:tc>
        <w:tc>
          <w:tcPr>
            <w:tcW w:type="dxa" w:w="1210"/>
            <w:tcMar>
              <w:top w:w="80" w:type="dxa"/>
              <w:start w:w="120" w:type="dxa"/>
              <w:bottom w:w="80" w:type="dxa"/>
              <w:end w:w="120" w:type="dxa"/>
            </w:tcMar>
            <w:vAlign w:val="center"/>
          </w:tcPr>
          <w:p>
            <w:r>
              <w:rPr>
                <w:rFonts w:ascii="Calibri" w:hAnsi="Calibri"/>
                <w:b w:val="0"/>
                <w:i w:val="0"/>
                <w:color w:val="1F2937"/>
                <w:sz w:val="15"/>
              </w:rPr>
              <w:t>S08</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OpenAI Luna</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$1/M input; $6/M output</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model rate</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S05</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OpenAI Terra</w:t>
            </w:r>
          </w:p>
        </w:tc>
        <w:tc>
          <w:tcPr>
            <w:tcW w:type="dxa" w:w="850"/>
            <w:tcMar>
              <w:top w:w="80" w:type="dxa"/>
              <w:start w:w="120" w:type="dxa"/>
              <w:bottom w:w="80" w:type="dxa"/>
              <w:end w:w="120" w:type="dxa"/>
            </w:tcMar>
            <w:vAlign w:val="center"/>
          </w:tcPr>
          <w:p>
            <w:r>
              <w:rPr>
                <w:rFonts w:ascii="Calibri" w:hAnsi="Calibri"/>
                <w:b w:val="0"/>
                <w:i w:val="0"/>
                <w:color w:val="1F2937"/>
                <w:sz w:val="15"/>
              </w:rPr>
              <w:t>USD</w:t>
            </w:r>
          </w:p>
        </w:tc>
        <w:tc>
          <w:tcPr>
            <w:tcW w:type="dxa" w:w="2700"/>
            <w:tcMar>
              <w:top w:w="80" w:type="dxa"/>
              <w:start w:w="120" w:type="dxa"/>
              <w:bottom w:w="80" w:type="dxa"/>
              <w:end w:w="120" w:type="dxa"/>
            </w:tcMar>
            <w:vAlign w:val="center"/>
          </w:tcPr>
          <w:p>
            <w:r>
              <w:rPr>
                <w:rFonts w:ascii="Calibri" w:hAnsi="Calibri"/>
                <w:b w:val="0"/>
                <w:i w:val="0"/>
                <w:color w:val="1F2937"/>
                <w:sz w:val="15"/>
              </w:rPr>
              <w:t>$2.50/M input; $15/M output</w:t>
            </w:r>
          </w:p>
        </w:tc>
        <w:tc>
          <w:tcPr>
            <w:tcW w:type="dxa" w:w="2800"/>
            <w:tcMar>
              <w:top w:w="80" w:type="dxa"/>
              <w:start w:w="120" w:type="dxa"/>
              <w:bottom w:w="80" w:type="dxa"/>
              <w:end w:w="120" w:type="dxa"/>
            </w:tcMar>
            <w:vAlign w:val="center"/>
          </w:tcPr>
          <w:p>
            <w:r>
              <w:rPr>
                <w:rFonts w:ascii="Calibri" w:hAnsi="Calibri"/>
                <w:b w:val="0"/>
                <w:i w:val="0"/>
                <w:color w:val="1F2937"/>
                <w:sz w:val="15"/>
              </w:rPr>
              <w:t>Public model rate</w:t>
            </w:r>
          </w:p>
        </w:tc>
        <w:tc>
          <w:tcPr>
            <w:tcW w:type="dxa" w:w="1210"/>
            <w:tcMar>
              <w:top w:w="80" w:type="dxa"/>
              <w:start w:w="120" w:type="dxa"/>
              <w:bottom w:w="80" w:type="dxa"/>
              <w:end w:w="120" w:type="dxa"/>
            </w:tcMar>
            <w:vAlign w:val="center"/>
          </w:tcPr>
          <w:p>
            <w:r>
              <w:rPr>
                <w:rFonts w:ascii="Calibri" w:hAnsi="Calibri"/>
                <w:b w:val="0"/>
                <w:i w:val="0"/>
                <w:color w:val="1F2937"/>
                <w:sz w:val="15"/>
              </w:rPr>
              <w:t>S05</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Cloudflare R2</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USD</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$0.015/GB-month; 10 GB free</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request/ops apply</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S11</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iyzico</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4.29% + TRY 0.25/success</w:t>
            </w:r>
          </w:p>
        </w:tc>
        <w:tc>
          <w:tcPr>
            <w:tcW w:type="dxa" w:w="2800"/>
            <w:tcMar>
              <w:top w:w="80" w:type="dxa"/>
              <w:start w:w="120" w:type="dxa"/>
              <w:bottom w:w="80" w:type="dxa"/>
              <w:end w:w="120" w:type="dxa"/>
            </w:tcMar>
            <w:vAlign w:val="center"/>
          </w:tcPr>
          <w:p>
            <w:r>
              <w:rPr>
                <w:rFonts w:ascii="Calibri" w:hAnsi="Calibri"/>
                <w:b w:val="0"/>
                <w:i w:val="0"/>
                <w:color w:val="1F2937"/>
                <w:sz w:val="15"/>
              </w:rPr>
              <w:t>Public offer; contract caveats</w:t>
            </w:r>
          </w:p>
        </w:tc>
        <w:tc>
          <w:tcPr>
            <w:tcW w:type="dxa" w:w="1210"/>
            <w:tcMar>
              <w:top w:w="80" w:type="dxa"/>
              <w:start w:w="120" w:type="dxa"/>
              <w:bottom w:w="80" w:type="dxa"/>
              <w:end w:w="120" w:type="dxa"/>
            </w:tcMar>
            <w:vAlign w:val="center"/>
          </w:tcPr>
          <w:p>
            <w:r>
              <w:rPr>
                <w:rFonts w:ascii="Calibri" w:hAnsi="Calibri"/>
                <w:b w:val="0"/>
                <w:i w:val="0"/>
                <w:color w:val="1F2937"/>
                <w:sz w:val="15"/>
              </w:rPr>
              <w:t>S12</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PayTR</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TRY</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Commission quotation</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No fixed setup/monthly/annual stated</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S13</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Sipay</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Commission quotation</w:t>
            </w:r>
          </w:p>
        </w:tc>
        <w:tc>
          <w:tcPr>
            <w:tcW w:type="dxa" w:w="2800"/>
            <w:tcMar>
              <w:top w:w="80" w:type="dxa"/>
              <w:start w:w="120" w:type="dxa"/>
              <w:bottom w:w="80" w:type="dxa"/>
              <w:end w:w="120" w:type="dxa"/>
            </w:tcMar>
            <w:vAlign w:val="center"/>
          </w:tcPr>
          <w:p>
            <w:r>
              <w:rPr>
                <w:rFonts w:ascii="Calibri" w:hAnsi="Calibri"/>
                <w:b w:val="0"/>
                <w:i w:val="0"/>
                <w:color w:val="1F2937"/>
                <w:sz w:val="15"/>
              </w:rPr>
              <w:t>No fixed setup/monthly/annual stated</w:t>
            </w:r>
          </w:p>
        </w:tc>
        <w:tc>
          <w:tcPr>
            <w:tcW w:type="dxa" w:w="1210"/>
            <w:tcMar>
              <w:top w:w="80" w:type="dxa"/>
              <w:start w:w="120" w:type="dxa"/>
              <w:bottom w:w="80" w:type="dxa"/>
              <w:end w:w="120" w:type="dxa"/>
            </w:tcMar>
            <w:vAlign w:val="center"/>
          </w:tcPr>
          <w:p>
            <w:r>
              <w:rPr>
                <w:rFonts w:ascii="Calibri" w:hAnsi="Calibri"/>
                <w:b w:val="0"/>
                <w:i w:val="0"/>
                <w:color w:val="1F2937"/>
                <w:sz w:val="15"/>
              </w:rPr>
              <w:t>S14</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Netgsm OTP</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TRY</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1k 400; 5k 1,625; 10k 2,790</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Taxes included; validity stated</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S16</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İleti Merkezi</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1k 359; 5k 1,049; 10k 1,599</w:t>
            </w:r>
          </w:p>
        </w:tc>
        <w:tc>
          <w:tcPr>
            <w:tcW w:type="dxa" w:w="2800"/>
            <w:tcMar>
              <w:top w:w="80" w:type="dxa"/>
              <w:start w:w="120" w:type="dxa"/>
              <w:bottom w:w="80" w:type="dxa"/>
              <w:end w:w="120" w:type="dxa"/>
            </w:tcMar>
            <w:vAlign w:val="center"/>
          </w:tcPr>
          <w:p>
            <w:r>
              <w:rPr>
                <w:rFonts w:ascii="Calibri" w:hAnsi="Calibri"/>
                <w:b w:val="0"/>
                <w:i w:val="0"/>
                <w:color w:val="1F2937"/>
                <w:sz w:val="15"/>
              </w:rPr>
              <w:t>Taxes included</w:t>
            </w:r>
          </w:p>
        </w:tc>
        <w:tc>
          <w:tcPr>
            <w:tcW w:type="dxa" w:w="1210"/>
            <w:tcMar>
              <w:top w:w="80" w:type="dxa"/>
              <w:start w:w="120" w:type="dxa"/>
              <w:bottom w:w="80" w:type="dxa"/>
              <w:end w:w="120" w:type="dxa"/>
            </w:tcMar>
            <w:vAlign w:val="center"/>
          </w:tcPr>
          <w:p>
            <w:r>
              <w:rPr>
                <w:rFonts w:ascii="Calibri" w:hAnsi="Calibri"/>
                <w:b w:val="0"/>
                <w:i w:val="0"/>
                <w:color w:val="1F2937"/>
                <w:sz w:val="15"/>
              </w:rPr>
              <w:t>S18</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SenderTR</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TRY</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10k 250 + VAT; 100k 1,900 + VAT</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Public; deliverability pilot</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S19</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Paraşüt activation</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1,800 + VAT incl. 120 credits</w:t>
            </w:r>
          </w:p>
        </w:tc>
        <w:tc>
          <w:tcPr>
            <w:tcW w:type="dxa" w:w="2800"/>
            <w:tcMar>
              <w:top w:w="80" w:type="dxa"/>
              <w:start w:w="120" w:type="dxa"/>
              <w:bottom w:w="80" w:type="dxa"/>
              <w:end w:w="120" w:type="dxa"/>
            </w:tcMar>
            <w:vAlign w:val="center"/>
          </w:tcPr>
          <w:p>
            <w:r>
              <w:rPr>
                <w:rFonts w:ascii="Calibri" w:hAnsi="Calibri"/>
                <w:b w:val="0"/>
                <w:i w:val="0"/>
                <w:color w:val="1F2937"/>
                <w:sz w:val="15"/>
              </w:rPr>
              <w:t>Optional integrator</w:t>
            </w:r>
          </w:p>
        </w:tc>
        <w:tc>
          <w:tcPr>
            <w:tcW w:type="dxa" w:w="1210"/>
            <w:tcMar>
              <w:top w:w="80" w:type="dxa"/>
              <w:start w:w="120" w:type="dxa"/>
              <w:bottom w:w="80" w:type="dxa"/>
              <w:end w:w="120" w:type="dxa"/>
            </w:tcMar>
            <w:vAlign w:val="center"/>
          </w:tcPr>
          <w:p>
            <w:r>
              <w:rPr>
                <w:rFonts w:ascii="Calibri" w:hAnsi="Calibri"/>
                <w:b w:val="0"/>
                <w:i w:val="0"/>
                <w:color w:val="1F2937"/>
                <w:sz w:val="15"/>
              </w:rPr>
              <w:t>S20</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Paraşüt 200 credits</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TRY</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660 + VAT</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Optional integrator</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S20</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Netgsm e-sign</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2,990 / 3 years / signer</w:t>
            </w:r>
          </w:p>
        </w:tc>
        <w:tc>
          <w:tcPr>
            <w:tcW w:type="dxa" w:w="2800"/>
            <w:tcMar>
              <w:top w:w="80" w:type="dxa"/>
              <w:start w:w="120" w:type="dxa"/>
              <w:bottom w:w="80" w:type="dxa"/>
              <w:end w:w="120" w:type="dxa"/>
            </w:tcMar>
            <w:vAlign w:val="center"/>
          </w:tcPr>
          <w:p>
            <w:r>
              <w:rPr>
                <w:rFonts w:ascii="Calibri" w:hAnsi="Calibri"/>
                <w:b w:val="0"/>
                <w:i w:val="0"/>
                <w:color w:val="1F2937"/>
                <w:sz w:val="15"/>
              </w:rPr>
              <w:t>VAT included</w:t>
            </w:r>
          </w:p>
        </w:tc>
        <w:tc>
          <w:tcPr>
            <w:tcW w:type="dxa" w:w="1210"/>
            <w:tcMar>
              <w:top w:w="80" w:type="dxa"/>
              <w:start w:w="120" w:type="dxa"/>
              <w:bottom w:w="80" w:type="dxa"/>
              <w:end w:w="120" w:type="dxa"/>
            </w:tcMar>
            <w:vAlign w:val="center"/>
          </w:tcPr>
          <w:p>
            <w:r>
              <w:rPr>
                <w:rFonts w:ascii="Calibri" w:hAnsi="Calibri"/>
                <w:b w:val="0"/>
                <w:i w:val="0"/>
                <w:color w:val="1F2937"/>
                <w:sz w:val="15"/>
              </w:rPr>
              <w:t>S21</w:t>
            </w:r>
          </w:p>
        </w:tc>
      </w:tr>
      <w:tr>
        <w:trPr>
          <w:cantSplit/>
        </w:trPr>
        <w:tc>
          <w:tcPr>
            <w:tcW w:type="dxa" w:w="1800"/>
            <w:shd w:fill="F8FAFC"/>
            <w:tcMar>
              <w:top w:w="80" w:type="dxa"/>
              <w:start w:w="120" w:type="dxa"/>
              <w:bottom w:w="80" w:type="dxa"/>
              <w:end w:w="120" w:type="dxa"/>
            </w:tcMar>
            <w:vAlign w:val="center"/>
          </w:tcPr>
          <w:p>
            <w:r>
              <w:rPr>
                <w:rFonts w:ascii="Calibri" w:hAnsi="Calibri"/>
                <w:b/>
                <w:i w:val="0"/>
                <w:color w:val="102A43"/>
                <w:sz w:val="15"/>
              </w:rPr>
              <w:t>TTYS authorisation certificate</w:t>
            </w:r>
          </w:p>
        </w:tc>
        <w:tc>
          <w:tcPr>
            <w:tcW w:type="dxa" w:w="850"/>
            <w:shd w:fill="F8FAFC"/>
            <w:tcMar>
              <w:top w:w="80" w:type="dxa"/>
              <w:start w:w="120" w:type="dxa"/>
              <w:bottom w:w="80" w:type="dxa"/>
              <w:end w:w="120" w:type="dxa"/>
            </w:tcMar>
            <w:vAlign w:val="center"/>
          </w:tcPr>
          <w:p>
            <w:r>
              <w:rPr>
                <w:rFonts w:ascii="Calibri" w:hAnsi="Calibri"/>
                <w:b w:val="0"/>
                <w:i w:val="0"/>
                <w:color w:val="1F2937"/>
                <w:sz w:val="15"/>
              </w:rPr>
              <w:t>TRY</w:t>
            </w:r>
          </w:p>
        </w:tc>
        <w:tc>
          <w:tcPr>
            <w:tcW w:type="dxa" w:w="2700"/>
            <w:shd w:fill="F8FAFC"/>
            <w:tcMar>
              <w:top w:w="80" w:type="dxa"/>
              <w:start w:w="120" w:type="dxa"/>
              <w:bottom w:w="80" w:type="dxa"/>
              <w:end w:w="120" w:type="dxa"/>
            </w:tcMar>
            <w:vAlign w:val="center"/>
          </w:tcPr>
          <w:p>
            <w:r>
              <w:rPr>
                <w:rFonts w:ascii="Calibri" w:hAnsi="Calibri"/>
                <w:b w:val="0"/>
                <w:i w:val="0"/>
                <w:color w:val="1F2937"/>
                <w:sz w:val="15"/>
              </w:rPr>
              <w:t>20,000/year; 40,000 qualifying metro</w:t>
            </w:r>
          </w:p>
        </w:tc>
        <w:tc>
          <w:tcPr>
            <w:tcW w:type="dxa" w:w="2800"/>
            <w:shd w:fill="F8FAFC"/>
            <w:tcMar>
              <w:top w:w="80" w:type="dxa"/>
              <w:start w:w="120" w:type="dxa"/>
              <w:bottom w:w="80" w:type="dxa"/>
              <w:end w:w="120" w:type="dxa"/>
            </w:tcMar>
            <w:vAlign w:val="center"/>
          </w:tcPr>
          <w:p>
            <w:r>
              <w:rPr>
                <w:rFonts w:ascii="Calibri" w:hAnsi="Calibri"/>
                <w:b w:val="0"/>
                <w:i w:val="0"/>
                <w:color w:val="1F2937"/>
                <w:sz w:val="15"/>
              </w:rPr>
              <w:t>Statutory; per relevant certificate</w:t>
            </w:r>
          </w:p>
        </w:tc>
        <w:tc>
          <w:tcPr>
            <w:tcW w:type="dxa" w:w="1210"/>
            <w:shd w:fill="F8FAFC"/>
            <w:tcMar>
              <w:top w:w="80" w:type="dxa"/>
              <w:start w:w="120" w:type="dxa"/>
              <w:bottom w:w="80" w:type="dxa"/>
              <w:end w:w="120" w:type="dxa"/>
            </w:tcMar>
            <w:vAlign w:val="center"/>
          </w:tcPr>
          <w:p>
            <w:r>
              <w:rPr>
                <w:rFonts w:ascii="Calibri" w:hAnsi="Calibri"/>
                <w:b w:val="0"/>
                <w:i w:val="0"/>
                <w:color w:val="1F2937"/>
                <w:sz w:val="15"/>
              </w:rPr>
              <w:t>S36</w:t>
            </w:r>
          </w:p>
        </w:tc>
      </w:tr>
      <w:tr>
        <w:trPr>
          <w:cantSplit/>
        </w:trPr>
        <w:tc>
          <w:tcPr>
            <w:tcW w:type="dxa" w:w="1800"/>
            <w:tcMar>
              <w:top w:w="80" w:type="dxa"/>
              <w:start w:w="120" w:type="dxa"/>
              <w:bottom w:w="80" w:type="dxa"/>
              <w:end w:w="120" w:type="dxa"/>
            </w:tcMar>
            <w:vAlign w:val="center"/>
          </w:tcPr>
          <w:p>
            <w:r>
              <w:rPr>
                <w:rFonts w:ascii="Calibri" w:hAnsi="Calibri"/>
                <w:b/>
                <w:i w:val="0"/>
                <w:color w:val="102A43"/>
                <w:sz w:val="15"/>
              </w:rPr>
              <w:t>.com.tr</w:t>
            </w:r>
          </w:p>
        </w:tc>
        <w:tc>
          <w:tcPr>
            <w:tcW w:type="dxa" w:w="850"/>
            <w:tcMar>
              <w:top w:w="80" w:type="dxa"/>
              <w:start w:w="120" w:type="dxa"/>
              <w:bottom w:w="80" w:type="dxa"/>
              <w:end w:w="120" w:type="dxa"/>
            </w:tcMar>
            <w:vAlign w:val="center"/>
          </w:tcPr>
          <w:p>
            <w:r>
              <w:rPr>
                <w:rFonts w:ascii="Calibri" w:hAnsi="Calibri"/>
                <w:b w:val="0"/>
                <w:i w:val="0"/>
                <w:color w:val="1F2937"/>
                <w:sz w:val="15"/>
              </w:rPr>
              <w:t>TRY</w:t>
            </w:r>
          </w:p>
        </w:tc>
        <w:tc>
          <w:tcPr>
            <w:tcW w:type="dxa" w:w="2700"/>
            <w:tcMar>
              <w:top w:w="80" w:type="dxa"/>
              <w:start w:w="120" w:type="dxa"/>
              <w:bottom w:w="80" w:type="dxa"/>
              <w:end w:w="120" w:type="dxa"/>
            </w:tcMar>
            <w:vAlign w:val="center"/>
          </w:tcPr>
          <w:p>
            <w:r>
              <w:rPr>
                <w:rFonts w:ascii="Calibri" w:hAnsi="Calibri"/>
                <w:b w:val="0"/>
                <w:i w:val="0"/>
                <w:color w:val="1F2937"/>
                <w:sz w:val="15"/>
              </w:rPr>
              <w:t>109 + VAT registration; 189 + VAT renewal</w:t>
            </w:r>
          </w:p>
        </w:tc>
        <w:tc>
          <w:tcPr>
            <w:tcW w:type="dxa" w:w="2800"/>
            <w:tcMar>
              <w:top w:w="80" w:type="dxa"/>
              <w:start w:w="120" w:type="dxa"/>
              <w:bottom w:w="80" w:type="dxa"/>
              <w:end w:w="120" w:type="dxa"/>
            </w:tcMar>
            <w:vAlign w:val="center"/>
          </w:tcPr>
          <w:p>
            <w:r>
              <w:rPr>
                <w:rFonts w:ascii="Calibri" w:hAnsi="Calibri"/>
                <w:b w:val="0"/>
                <w:i w:val="0"/>
                <w:color w:val="1F2937"/>
                <w:sz w:val="15"/>
              </w:rPr>
              <w:t>Public reference</w:t>
            </w:r>
          </w:p>
        </w:tc>
        <w:tc>
          <w:tcPr>
            <w:tcW w:type="dxa" w:w="1210"/>
            <w:tcMar>
              <w:top w:w="80" w:type="dxa"/>
              <w:start w:w="120" w:type="dxa"/>
              <w:bottom w:w="80" w:type="dxa"/>
              <w:end w:w="120" w:type="dxa"/>
            </w:tcMar>
            <w:vAlign w:val="center"/>
          </w:tcPr>
          <w:p>
            <w:r>
              <w:rPr>
                <w:rFonts w:ascii="Calibri" w:hAnsi="Calibri"/>
                <w:b w:val="0"/>
                <w:i w:val="0"/>
                <w:color w:val="1F2937"/>
                <w:sz w:val="15"/>
              </w:rPr>
              <w:t>S40</w:t>
            </w:r>
          </w:p>
        </w:tc>
      </w:tr>
    </w:tbl>
    <w:p>
      <w:bookmarkStart w:id="118" w:name="verification"/>
      <w:pPr>
        <w:pStyle w:val="Heading1"/>
      </w:pPr>
      <w:r>
        <w:t>Appendix C — Source and verification register</w:t>
      </w:r>
      <w:bookmarkEnd w:id="118"/>
    </w:p>
    <w:p>
      <w:pPr>
        <w:pStyle w:val="ExecutiveLead"/>
      </w:pPr>
      <w:r>
        <w:rPr>
          <w:rFonts w:ascii="Calibri" w:hAnsi="Calibri"/>
          <w:b w:val="0"/>
          <w:i w:val="0"/>
          <w:color w:val="1F2937"/>
          <w:sz w:val="20"/>
        </w:rPr>
        <w:t>Verification used two layers: repository traceability against the BRD/PRD/TRD/provider/security documents, and independent re-checking of high-risk current prices and Turkish official sources. 'Verified' means a supporting source was found; it is not absolute truth or entity-specific legal advice. Search may miss newly changed, paywalled or contract-only information, and the same underlying model can repeat reasoning errors. Plausible/quote items can still be wrong until a human owner obtains written evidence.</w:t>
      </w:r>
    </w:p>
    <w:p>
      <w:pPr>
        <w:pStyle w:val="Heading2"/>
      </w:pPr>
      <w:r>
        <w:t>C.1 High-impact claim audit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300"/>
        <w:gridCol w:w="2000"/>
        <w:gridCol w:w="4060"/>
      </w:tblGrid>
      <w:tr>
        <w:trPr>
          <w:cantSplit/>
          <w:tblHeader w:val="true"/>
          <w:cantSplit/>
        </w:trPr>
        <w:tc>
          <w:tcPr>
            <w:tcW w:type="dxa" w:w="3300"/>
            <w:shd w:fill="102A43"/>
            <w:tcMar>
              <w:top w:w="80" w:type="dxa"/>
              <w:start w:w="120" w:type="dxa"/>
              <w:bottom w:w="80" w:type="dxa"/>
              <w:end w:w="120" w:type="dxa"/>
            </w:tcMar>
            <w:vAlign w:val="center"/>
          </w:tcPr>
          <w:p>
            <w:r>
              <w:rPr>
                <w:rFonts w:ascii="Calibri" w:hAnsi="Calibri"/>
                <w:b/>
                <w:i w:val="0"/>
                <w:color w:val="FFFFFF"/>
                <w:sz w:val="15"/>
              </w:rPr>
              <w:t>Claim</w:t>
            </w:r>
          </w:p>
        </w:tc>
        <w:tc>
          <w:tcPr>
            <w:tcW w:type="dxa" w:w="2000"/>
            <w:shd w:fill="102A43"/>
            <w:tcMar>
              <w:top w:w="80" w:type="dxa"/>
              <w:start w:w="120" w:type="dxa"/>
              <w:bottom w:w="80" w:type="dxa"/>
              <w:end w:w="120" w:type="dxa"/>
            </w:tcMar>
            <w:vAlign w:val="center"/>
          </w:tcPr>
          <w:p>
            <w:r>
              <w:rPr>
                <w:rFonts w:ascii="Calibri" w:hAnsi="Calibri"/>
                <w:b/>
                <w:i w:val="0"/>
                <w:color w:val="FFFFFF"/>
                <w:sz w:val="15"/>
              </w:rPr>
              <w:t>Result</w:t>
            </w:r>
          </w:p>
        </w:tc>
        <w:tc>
          <w:tcPr>
            <w:tcW w:type="dxa" w:w="4060"/>
            <w:shd w:fill="102A43"/>
            <w:tcMar>
              <w:top w:w="80" w:type="dxa"/>
              <w:start w:w="120" w:type="dxa"/>
              <w:bottom w:w="80" w:type="dxa"/>
              <w:end w:w="120" w:type="dxa"/>
            </w:tcMar>
            <w:vAlign w:val="center"/>
          </w:tcPr>
          <w:p>
            <w:r>
              <w:rPr>
                <w:rFonts w:ascii="Calibri" w:hAnsi="Calibri"/>
                <w:b/>
                <w:i w:val="0"/>
                <w:color w:val="FFFFFF"/>
                <w:sz w:val="15"/>
              </w:rPr>
              <w:t>Management qualification</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Supabase/Vercel scale by user count</w:t>
            </w:r>
          </w:p>
        </w:tc>
        <w:tc>
          <w:tcPr>
            <w:tcW w:type="dxa" w:w="2000"/>
            <w:tcMar>
              <w:top w:w="80" w:type="dxa"/>
              <w:start w:w="120" w:type="dxa"/>
              <w:bottom w:w="80" w:type="dxa"/>
              <w:end w:w="120" w:type="dxa"/>
            </w:tcMar>
            <w:vAlign w:val="center"/>
          </w:tcPr>
          <w:p>
            <w:r>
              <w:rPr>
                <w:rFonts w:ascii="Calibri" w:hAnsi="Calibri"/>
                <w:b w:val="0"/>
                <w:i w:val="0"/>
                <w:color w:val="1F2937"/>
                <w:sz w:val="15"/>
              </w:rPr>
              <w:t>Verified with correction</w:t>
            </w:r>
          </w:p>
        </w:tc>
        <w:tc>
          <w:tcPr>
            <w:tcW w:type="dxa" w:w="4060"/>
            <w:tcMar>
              <w:top w:w="80" w:type="dxa"/>
              <w:start w:w="120" w:type="dxa"/>
              <w:bottom w:w="80" w:type="dxa"/>
              <w:end w:w="120" w:type="dxa"/>
            </w:tcMar>
            <w:vAlign w:val="center"/>
          </w:tcPr>
          <w:p>
            <w:r>
              <w:rPr>
                <w:rFonts w:ascii="Calibri" w:hAnsi="Calibri"/>
                <w:b w:val="0"/>
                <w:i w:val="0"/>
                <w:color w:val="1F2937"/>
                <w:sz w:val="15"/>
              </w:rPr>
              <w:t>1k/5k/10k do not directly trigger MAU/user tariffs; capacity follows load and allowances.</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iyzico 4.29% + TRY 0.25</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Verified</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Contract determines instalments, settlement, foreign cards, refunds, chargebacks and taxes.</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PayTR/Sipay numeric rate</w:t>
            </w:r>
          </w:p>
        </w:tc>
        <w:tc>
          <w:tcPr>
            <w:tcW w:type="dxa" w:w="2000"/>
            <w:tcMar>
              <w:top w:w="80" w:type="dxa"/>
              <w:start w:w="120" w:type="dxa"/>
              <w:bottom w:w="80" w:type="dxa"/>
              <w:end w:w="120" w:type="dxa"/>
            </w:tcMar>
            <w:vAlign w:val="center"/>
          </w:tcPr>
          <w:p>
            <w:r>
              <w:rPr>
                <w:rFonts w:ascii="Calibri" w:hAnsi="Calibri"/>
                <w:b w:val="0"/>
                <w:i w:val="0"/>
                <w:color w:val="1F2937"/>
                <w:sz w:val="15"/>
              </w:rPr>
              <w:t>Quote required</w:t>
            </w:r>
          </w:p>
        </w:tc>
        <w:tc>
          <w:tcPr>
            <w:tcW w:type="dxa" w:w="4060"/>
            <w:tcMar>
              <w:top w:w="80" w:type="dxa"/>
              <w:start w:w="120" w:type="dxa"/>
              <w:bottom w:w="80" w:type="dxa"/>
              <w:end w:w="120" w:type="dxa"/>
            </w:tcMar>
            <w:vAlign w:val="center"/>
          </w:tcPr>
          <w:p>
            <w:r>
              <w:rPr>
                <w:rFonts w:ascii="Calibri" w:hAnsi="Calibri"/>
                <w:b w:val="0"/>
                <w:i w:val="0"/>
                <w:color w:val="1F2937"/>
                <w:sz w:val="15"/>
              </w:rPr>
              <w:t>No verified universal commission was used.</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Param launch shortlist</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Not safe</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TCMB footnote records unsettled permissions/court-stay history; exclude pending written confirmation.</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KVKK foreign cloud</w:t>
            </w:r>
          </w:p>
        </w:tc>
        <w:tc>
          <w:tcPr>
            <w:tcW w:type="dxa" w:w="2000"/>
            <w:tcMar>
              <w:top w:w="80" w:type="dxa"/>
              <w:start w:w="120" w:type="dxa"/>
              <w:bottom w:w="80" w:type="dxa"/>
              <w:end w:w="120" w:type="dxa"/>
            </w:tcMar>
            <w:vAlign w:val="center"/>
          </w:tcPr>
          <w:p>
            <w:r>
              <w:rPr>
                <w:rFonts w:ascii="Calibri" w:hAnsi="Calibri"/>
                <w:b w:val="0"/>
                <w:i w:val="0"/>
                <w:color w:val="1F2937"/>
                <w:sz w:val="15"/>
              </w:rPr>
              <w:t>Verified</w:t>
            </w:r>
          </w:p>
        </w:tc>
        <w:tc>
          <w:tcPr>
            <w:tcW w:type="dxa" w:w="4060"/>
            <w:tcMar>
              <w:top w:w="80" w:type="dxa"/>
              <w:start w:w="120" w:type="dxa"/>
              <w:bottom w:w="80" w:type="dxa"/>
              <w:end w:w="120" w:type="dxa"/>
            </w:tcMar>
            <w:vAlign w:val="center"/>
          </w:tcPr>
          <w:p>
            <w:r>
              <w:rPr>
                <w:rFonts w:ascii="Calibri" w:hAnsi="Calibri"/>
                <w:b w:val="0"/>
                <w:i w:val="0"/>
                <w:color w:val="1F2937"/>
                <w:sz w:val="15"/>
              </w:rPr>
              <w:t>No adequacy destination currently designated; use valid mechanism and entity-specific legal review.</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SCC five-business-day notice</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Verified</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Correct template, signatures, authority and translations required.</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VERBİS 50 employees / TRY 100m</w:t>
            </w:r>
          </w:p>
        </w:tc>
        <w:tc>
          <w:tcPr>
            <w:tcW w:type="dxa" w:w="2000"/>
            <w:tcMar>
              <w:top w:w="80" w:type="dxa"/>
              <w:start w:w="120" w:type="dxa"/>
              <w:bottom w:w="80" w:type="dxa"/>
              <w:end w:w="120" w:type="dxa"/>
            </w:tcMar>
            <w:vAlign w:val="center"/>
          </w:tcPr>
          <w:p>
            <w:r>
              <w:rPr>
                <w:rFonts w:ascii="Calibri" w:hAnsi="Calibri"/>
                <w:b w:val="0"/>
                <w:i w:val="0"/>
                <w:color w:val="1F2937"/>
                <w:sz w:val="15"/>
              </w:rPr>
              <w:t>Verified with qualification</w:t>
            </w:r>
          </w:p>
        </w:tc>
        <w:tc>
          <w:tcPr>
            <w:tcW w:type="dxa" w:w="4060"/>
            <w:tcMar>
              <w:top w:w="80" w:type="dxa"/>
              <w:start w:w="120" w:type="dxa"/>
              <w:bottom w:w="80" w:type="dxa"/>
              <w:end w:w="120" w:type="dxa"/>
            </w:tcMar>
            <w:vAlign w:val="center"/>
          </w:tcPr>
          <w:p>
            <w:r>
              <w:rPr>
                <w:rFonts w:ascii="Calibri" w:hAnsi="Calibri"/>
                <w:b w:val="0"/>
                <w:i w:val="0"/>
                <w:color w:val="1F2937"/>
                <w:sz w:val="15"/>
              </w:rPr>
              <w:t>Both-below exemption for ordinary main activity; other thresholds/exemptions exist.</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EİDS includes social/WhatsApp</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Verified</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Share verified listing link; authority does not replace brokerage agreements.</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TTYS TRY 20k/40k</w:t>
            </w:r>
          </w:p>
        </w:tc>
        <w:tc>
          <w:tcPr>
            <w:tcW w:type="dxa" w:w="2000"/>
            <w:tcMar>
              <w:top w:w="80" w:type="dxa"/>
              <w:start w:w="120" w:type="dxa"/>
              <w:bottom w:w="80" w:type="dxa"/>
              <w:end w:w="120" w:type="dxa"/>
            </w:tcMar>
            <w:vAlign w:val="center"/>
          </w:tcPr>
          <w:p>
            <w:r>
              <w:rPr>
                <w:rFonts w:ascii="Calibri" w:hAnsi="Calibri"/>
                <w:b w:val="0"/>
                <w:i w:val="0"/>
                <w:color w:val="1F2937"/>
                <w:sz w:val="15"/>
              </w:rPr>
              <w:t>Verified with correction</w:t>
            </w:r>
          </w:p>
        </w:tc>
        <w:tc>
          <w:tcPr>
            <w:tcW w:type="dxa" w:w="4060"/>
            <w:tcMar>
              <w:top w:w="80" w:type="dxa"/>
              <w:start w:w="120" w:type="dxa"/>
              <w:bottom w:w="80" w:type="dxa"/>
              <w:end w:w="120" w:type="dxa"/>
            </w:tcMar>
            <w:vAlign w:val="center"/>
          </w:tcPr>
          <w:p>
            <w:r>
              <w:rPr>
                <w:rFonts w:ascii="Calibri" w:hAnsi="Calibri"/>
                <w:b w:val="0"/>
                <w:i w:val="0"/>
                <w:color w:val="1F2937"/>
                <w:sz w:val="15"/>
              </w:rPr>
              <w:t>Per relevant authorisation certificate; confirm certificate/location count.</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Secure Payment start 1 Oct 2026</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Verified</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Ordinary Virtual POS is not statutory compliance; tariff/spec pending.</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e-Arşiv regardless of amount</w:t>
            </w:r>
          </w:p>
        </w:tc>
        <w:tc>
          <w:tcPr>
            <w:tcW w:type="dxa" w:w="2000"/>
            <w:tcMar>
              <w:top w:w="80" w:type="dxa"/>
              <w:start w:w="120" w:type="dxa"/>
              <w:bottom w:w="80" w:type="dxa"/>
              <w:end w:w="120" w:type="dxa"/>
            </w:tcMar>
            <w:vAlign w:val="center"/>
          </w:tcPr>
          <w:p>
            <w:r>
              <w:rPr>
                <w:rFonts w:ascii="Calibri" w:hAnsi="Calibri"/>
                <w:b w:val="0"/>
                <w:i w:val="0"/>
                <w:color w:val="1F2937"/>
                <w:sz w:val="15"/>
              </w:rPr>
              <w:t>Verified with qualification</w:t>
            </w:r>
          </w:p>
        </w:tc>
        <w:tc>
          <w:tcPr>
            <w:tcW w:type="dxa" w:w="4060"/>
            <w:tcMar>
              <w:top w:w="80" w:type="dxa"/>
              <w:start w:w="120" w:type="dxa"/>
              <w:bottom w:w="80" w:type="dxa"/>
              <w:end w:w="120" w:type="dxa"/>
            </w:tcMar>
            <w:vAlign w:val="center"/>
          </w:tcPr>
          <w:p>
            <w:r>
              <w:rPr>
                <w:rFonts w:ascii="Calibri" w:hAnsi="Calibri"/>
                <w:b w:val="0"/>
                <w:i w:val="0"/>
                <w:color w:val="1F2937"/>
                <w:sz w:val="15"/>
              </w:rPr>
              <w:t>Applies to covered invoices under current consolidated rule and exceptions.</w:t>
            </w:r>
          </w:p>
        </w:tc>
      </w:tr>
      <w:tr>
        <w:trPr>
          <w:cantSplit/>
        </w:trPr>
        <w:tc>
          <w:tcPr>
            <w:tcW w:type="dxa" w:w="3300"/>
            <w:shd w:fill="F8FAFC"/>
            <w:tcMar>
              <w:top w:w="80" w:type="dxa"/>
              <w:start w:w="120" w:type="dxa"/>
              <w:bottom w:w="80" w:type="dxa"/>
              <w:end w:w="120" w:type="dxa"/>
            </w:tcMar>
            <w:vAlign w:val="center"/>
          </w:tcPr>
          <w:p>
            <w:r>
              <w:rPr>
                <w:rFonts w:ascii="Calibri" w:hAnsi="Calibri"/>
                <w:b/>
                <w:i w:val="0"/>
                <w:color w:val="102A43"/>
                <w:sz w:val="15"/>
              </w:rPr>
              <w:t>Paid e-invoice integrator mandatory</w:t>
            </w:r>
          </w:p>
        </w:tc>
        <w:tc>
          <w:tcPr>
            <w:tcW w:type="dxa" w:w="2000"/>
            <w:shd w:fill="F8FAFC"/>
            <w:tcMar>
              <w:top w:w="80" w:type="dxa"/>
              <w:start w:w="120" w:type="dxa"/>
              <w:bottom w:w="80" w:type="dxa"/>
              <w:end w:w="120" w:type="dxa"/>
            </w:tcMar>
            <w:vAlign w:val="center"/>
          </w:tcPr>
          <w:p>
            <w:r>
              <w:rPr>
                <w:rFonts w:ascii="Calibri" w:hAnsi="Calibri"/>
                <w:b w:val="0"/>
                <w:i w:val="0"/>
                <w:color w:val="1F2937"/>
                <w:sz w:val="15"/>
              </w:rPr>
              <w:t>Corrected / not supported</w:t>
            </w:r>
          </w:p>
        </w:tc>
        <w:tc>
          <w:tcPr>
            <w:tcW w:type="dxa" w:w="4060"/>
            <w:shd w:fill="F8FAFC"/>
            <w:tcMar>
              <w:top w:w="80" w:type="dxa"/>
              <w:start w:w="120" w:type="dxa"/>
              <w:bottom w:w="80" w:type="dxa"/>
              <w:end w:w="120" w:type="dxa"/>
            </w:tcMar>
            <w:vAlign w:val="center"/>
          </w:tcPr>
          <w:p>
            <w:r>
              <w:rPr>
                <w:rFonts w:ascii="Calibri" w:hAnsi="Calibri"/>
                <w:b w:val="0"/>
                <w:i w:val="0"/>
                <w:color w:val="1F2937"/>
                <w:sz w:val="15"/>
              </w:rPr>
              <w:t>GİB Portal, authorised integrator and direct integration are allowed routes.</w:t>
            </w:r>
          </w:p>
        </w:tc>
      </w:tr>
      <w:tr>
        <w:trPr>
          <w:cantSplit/>
        </w:trPr>
        <w:tc>
          <w:tcPr>
            <w:tcW w:type="dxa" w:w="3300"/>
            <w:tcMar>
              <w:top w:w="80" w:type="dxa"/>
              <w:start w:w="120" w:type="dxa"/>
              <w:bottom w:w="80" w:type="dxa"/>
              <w:end w:w="120" w:type="dxa"/>
            </w:tcMar>
            <w:vAlign w:val="center"/>
          </w:tcPr>
          <w:p>
            <w:r>
              <w:rPr>
                <w:rFonts w:ascii="Calibri" w:hAnsi="Calibri"/>
                <w:b/>
                <w:i w:val="0"/>
                <w:color w:val="102A43"/>
                <w:sz w:val="15"/>
              </w:rPr>
              <w:t>USD/TRY 47.0098</w:t>
            </w:r>
          </w:p>
        </w:tc>
        <w:tc>
          <w:tcPr>
            <w:tcW w:type="dxa" w:w="2000"/>
            <w:tcMar>
              <w:top w:w="80" w:type="dxa"/>
              <w:start w:w="120" w:type="dxa"/>
              <w:bottom w:w="80" w:type="dxa"/>
              <w:end w:w="120" w:type="dxa"/>
            </w:tcMar>
            <w:vAlign w:val="center"/>
          </w:tcPr>
          <w:p>
            <w:r>
              <w:rPr>
                <w:rFonts w:ascii="Calibri" w:hAnsi="Calibri"/>
                <w:b w:val="0"/>
                <w:i w:val="0"/>
                <w:color w:val="1F2937"/>
                <w:sz w:val="15"/>
              </w:rPr>
              <w:t>Verified reference</w:t>
            </w:r>
          </w:p>
        </w:tc>
        <w:tc>
          <w:tcPr>
            <w:tcW w:type="dxa" w:w="4060"/>
            <w:tcMar>
              <w:top w:w="80" w:type="dxa"/>
              <w:start w:w="120" w:type="dxa"/>
              <w:bottom w:w="80" w:type="dxa"/>
              <w:end w:w="120" w:type="dxa"/>
            </w:tcMar>
            <w:vAlign w:val="center"/>
          </w:tcPr>
          <w:p>
            <w:r>
              <w:rPr>
                <w:rFonts w:ascii="Calibri" w:hAnsi="Calibri"/>
                <w:b w:val="0"/>
                <w:i w:val="0"/>
                <w:color w:val="1F2937"/>
                <w:sz w:val="15"/>
              </w:rPr>
              <w:t>14 July rate published 15 July; editable planning rate only.</w:t>
            </w:r>
          </w:p>
        </w:tc>
      </w:tr>
    </w:tbl>
    <w:p>
      <w:pPr>
        <w:pStyle w:val="Heading2"/>
      </w:pPr>
      <w:r>
        <w:t>C.2 Source register</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650"/>
        <w:gridCol w:w="3300"/>
        <w:gridCol w:w="3650"/>
        <w:gridCol w:w="1760"/>
      </w:tblGrid>
      <w:tr>
        <w:trPr>
          <w:cantSplit/>
          <w:tblHeader w:val="true"/>
        </w:trPr>
        <w:tc>
          <w:tcPr>
            <w:tcW w:type="dxa" w:w="650"/>
            <w:shd w:fill="102A43"/>
            <w:tcMar>
              <w:top w:w="80" w:type="dxa"/>
              <w:start w:w="120" w:type="dxa"/>
              <w:bottom w:w="80" w:type="dxa"/>
              <w:end w:w="120" w:type="dxa"/>
            </w:tcMar>
            <w:vAlign w:val="center"/>
          </w:tcPr>
          <w:p>
            <w:r>
              <w:rPr>
                <w:rFonts w:ascii="Calibri" w:hAnsi="Calibri"/>
                <w:b/>
                <w:i w:val="0"/>
                <w:color w:val="FFFFFF"/>
                <w:sz w:val="15"/>
              </w:rPr>
              <w:t>ID</w:t>
            </w:r>
          </w:p>
        </w:tc>
        <w:tc>
          <w:tcPr>
            <w:tcW w:type="dxa" w:w="3300"/>
            <w:shd w:fill="102A43"/>
            <w:tcMar>
              <w:top w:w="80" w:type="dxa"/>
              <w:start w:w="120" w:type="dxa"/>
              <w:bottom w:w="80" w:type="dxa"/>
              <w:end w:w="120" w:type="dxa"/>
            </w:tcMar>
            <w:vAlign w:val="center"/>
          </w:tcPr>
          <w:p>
            <w:r>
              <w:rPr>
                <w:rFonts w:ascii="Calibri" w:hAnsi="Calibri"/>
                <w:b/>
                <w:i w:val="0"/>
                <w:color w:val="FFFFFF"/>
                <w:sz w:val="15"/>
              </w:rPr>
              <w:t>Source</w:t>
            </w:r>
          </w:p>
        </w:tc>
        <w:tc>
          <w:tcPr>
            <w:tcW w:type="dxa" w:w="3650"/>
            <w:shd w:fill="102A43"/>
            <w:tcMar>
              <w:top w:w="80" w:type="dxa"/>
              <w:start w:w="120" w:type="dxa"/>
              <w:bottom w:w="80" w:type="dxa"/>
              <w:end w:w="120" w:type="dxa"/>
            </w:tcMar>
            <w:vAlign w:val="center"/>
          </w:tcPr>
          <w:p>
            <w:r>
              <w:rPr>
                <w:rFonts w:ascii="Calibri" w:hAnsi="Calibri"/>
                <w:b/>
                <w:i w:val="0"/>
                <w:color w:val="FFFFFF"/>
                <w:sz w:val="15"/>
              </w:rPr>
              <w:t>Used for</w:t>
            </w:r>
          </w:p>
        </w:tc>
        <w:tc>
          <w:tcPr>
            <w:tcW w:type="dxa" w:w="1760"/>
            <w:shd w:fill="102A43"/>
            <w:tcMar>
              <w:top w:w="80" w:type="dxa"/>
              <w:start w:w="120" w:type="dxa"/>
              <w:bottom w:w="80" w:type="dxa"/>
              <w:end w:w="120" w:type="dxa"/>
            </w:tcMar>
            <w:vAlign w:val="center"/>
          </w:tcPr>
          <w:p>
            <w:r>
              <w:rPr>
                <w:rFonts w:ascii="Calibri" w:hAnsi="Calibri"/>
                <w:b/>
                <w:i w:val="0"/>
                <w:color w:val="FFFFFF"/>
                <w:sz w:val="15"/>
              </w:rPr>
              <w:t>Status</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S01</w:t>
            </w:r>
          </w:p>
        </w:tc>
        <w:tc>
          <w:tcPr>
            <w:tcW w:type="dxa" w:w="3300"/>
            <w:tcMar>
              <w:top w:w="80" w:type="dxa"/>
              <w:start w:w="120" w:type="dxa"/>
              <w:bottom w:w="80" w:type="dxa"/>
              <w:end w:w="120" w:type="dxa"/>
            </w:tcMar>
            <w:vAlign w:val="center"/>
          </w:tcPr>
          <w:p>
            <w:hyperlink r:id="rId12">
              <w:r>
                <w:rPr>
                  <w:color w:val="2E74B5"/>
                  <w:u w:val="single"/>
                </w:rPr>
                <w:t>Supabase —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Pro allowances, compute, storage, egress, PITR</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S02</w:t>
            </w:r>
          </w:p>
        </w:tc>
        <w:tc>
          <w:tcPr>
            <w:tcW w:type="dxa" w:w="3300"/>
            <w:shd w:fill="F8FAFC"/>
            <w:tcMar>
              <w:top w:w="80" w:type="dxa"/>
              <w:start w:w="120" w:type="dxa"/>
              <w:bottom w:w="80" w:type="dxa"/>
              <w:end w:w="120" w:type="dxa"/>
            </w:tcMar>
            <w:vAlign w:val="center"/>
          </w:tcPr>
          <w:p>
            <w:hyperlink r:id="rId13">
              <w:r>
                <w:rPr>
                  <w:color w:val="2E74B5"/>
                  <w:u w:val="single"/>
                </w:rPr>
                <w:t>Vercel — Pro plan documentation</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Pro fee, deploying seats, included usage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S03</w:t>
            </w:r>
          </w:p>
        </w:tc>
        <w:tc>
          <w:tcPr>
            <w:tcW w:type="dxa" w:w="3300"/>
            <w:tcMar>
              <w:top w:w="80" w:type="dxa"/>
              <w:start w:w="120" w:type="dxa"/>
              <w:bottom w:w="80" w:type="dxa"/>
              <w:end w:w="120" w:type="dxa"/>
            </w:tcMar>
            <w:vAlign w:val="center"/>
          </w:tcPr>
          <w:p>
            <w:hyperlink r:id="rId14">
              <w:r>
                <w:rPr>
                  <w:color w:val="2E74B5"/>
                  <w:u w:val="single"/>
                </w:rPr>
                <w:t>Twenty —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Cloud Pro and Organization staff-seat prices</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S04</w:t>
            </w:r>
          </w:p>
        </w:tc>
        <w:tc>
          <w:tcPr>
            <w:tcW w:type="dxa" w:w="3300"/>
            <w:shd w:fill="F8FAFC"/>
            <w:tcMar>
              <w:top w:w="80" w:type="dxa"/>
              <w:start w:w="120" w:type="dxa"/>
              <w:bottom w:w="80" w:type="dxa"/>
              <w:end w:w="120" w:type="dxa"/>
            </w:tcMar>
            <w:vAlign w:val="center"/>
          </w:tcPr>
          <w:p>
            <w:hyperlink r:id="rId50">
              <w:r>
                <w:rPr>
                  <w:color w:val="2E74B5"/>
                  <w:u w:val="single"/>
                </w:rPr>
                <w:t>Twenty — Billing documentation</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Plan capabilities and self-host caveat</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S05</w:t>
            </w:r>
          </w:p>
        </w:tc>
        <w:tc>
          <w:tcPr>
            <w:tcW w:type="dxa" w:w="3300"/>
            <w:tcMar>
              <w:top w:w="80" w:type="dxa"/>
              <w:start w:w="120" w:type="dxa"/>
              <w:bottom w:w="80" w:type="dxa"/>
              <w:end w:w="120" w:type="dxa"/>
            </w:tcMar>
            <w:vAlign w:val="center"/>
          </w:tcPr>
          <w:p>
            <w:hyperlink r:id="rId15">
              <w:r>
                <w:rPr>
                  <w:color w:val="2E74B5"/>
                  <w:u w:val="single"/>
                </w:rPr>
                <w:t>OpenAI — Model catalogue</w:t>
              </w:r>
            </w:hyperlink>
          </w:p>
        </w:tc>
        <w:tc>
          <w:tcPr>
            <w:tcW w:type="dxa" w:w="3650"/>
            <w:tcMar>
              <w:top w:w="80" w:type="dxa"/>
              <w:start w:w="120" w:type="dxa"/>
              <w:bottom w:w="80" w:type="dxa"/>
              <w:end w:w="120" w:type="dxa"/>
            </w:tcMar>
            <w:vAlign w:val="center"/>
          </w:tcPr>
          <w:p>
            <w:r>
              <w:rPr>
                <w:rFonts w:ascii="Calibri" w:hAnsi="Calibri"/>
                <w:b w:val="0"/>
                <w:i w:val="0"/>
                <w:color w:val="1F2937"/>
                <w:sz w:val="14"/>
              </w:rPr>
              <w:t>Luna, Terra and Sol token prices</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S06</w:t>
            </w:r>
          </w:p>
        </w:tc>
        <w:tc>
          <w:tcPr>
            <w:tcW w:type="dxa" w:w="3300"/>
            <w:shd w:fill="F8FAFC"/>
            <w:tcMar>
              <w:top w:w="80" w:type="dxa"/>
              <w:start w:w="120" w:type="dxa"/>
              <w:bottom w:w="80" w:type="dxa"/>
              <w:end w:w="120" w:type="dxa"/>
            </w:tcMar>
            <w:vAlign w:val="center"/>
          </w:tcPr>
          <w:p>
            <w:hyperlink r:id="rId48">
              <w:r>
                <w:rPr>
                  <w:color w:val="2E74B5"/>
                  <w:u w:val="single"/>
                </w:rPr>
                <w:t>OpenAI — API data usage policies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Training and abuse-monitoring baseline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S07</w:t>
            </w:r>
          </w:p>
        </w:tc>
        <w:tc>
          <w:tcPr>
            <w:tcW w:type="dxa" w:w="3300"/>
            <w:tcMar>
              <w:top w:w="80" w:type="dxa"/>
              <w:start w:w="120" w:type="dxa"/>
              <w:bottom w:w="80" w:type="dxa"/>
              <w:end w:w="120" w:type="dxa"/>
            </w:tcMar>
            <w:vAlign w:val="center"/>
          </w:tcPr>
          <w:p>
            <w:hyperlink r:id="rId16">
              <w:r>
                <w:rPr>
                  <w:color w:val="2E74B5"/>
                  <w:u w:val="single"/>
                </w:rPr>
                <w:t>Google — Maps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PAYG map/geocoding/autocomplete prices</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S08</w:t>
            </w:r>
          </w:p>
        </w:tc>
        <w:tc>
          <w:tcPr>
            <w:tcW w:type="dxa" w:w="3300"/>
            <w:shd w:fill="F8FAFC"/>
            <w:tcMar>
              <w:top w:w="80" w:type="dxa"/>
              <w:start w:w="120" w:type="dxa"/>
              <w:bottom w:w="80" w:type="dxa"/>
              <w:end w:w="120" w:type="dxa"/>
            </w:tcMar>
            <w:vAlign w:val="center"/>
          </w:tcPr>
          <w:p>
            <w:hyperlink r:id="rId22">
              <w:r>
                <w:rPr>
                  <w:color w:val="2E74B5"/>
                  <w:u w:val="single"/>
                </w:rPr>
                <w:t>Google — Maps pricing overview</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Subscription options and billing model</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S09</w:t>
            </w:r>
          </w:p>
        </w:tc>
        <w:tc>
          <w:tcPr>
            <w:tcW w:type="dxa" w:w="3300"/>
            <w:tcMar>
              <w:top w:w="80" w:type="dxa"/>
              <w:start w:w="120" w:type="dxa"/>
              <w:bottom w:w="80" w:type="dxa"/>
              <w:end w:w="120" w:type="dxa"/>
            </w:tcMar>
            <w:vAlign w:val="center"/>
          </w:tcPr>
          <w:p>
            <w:hyperlink r:id="rId23">
              <w:r>
                <w:rPr>
                  <w:color w:val="2E74B5"/>
                  <w:u w:val="single"/>
                </w:rPr>
                <w:t>Resend —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Transactional email plans and overage</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S10</w:t>
            </w:r>
          </w:p>
        </w:tc>
        <w:tc>
          <w:tcPr>
            <w:tcW w:type="dxa" w:w="3300"/>
            <w:shd w:fill="F8FAFC"/>
            <w:tcMar>
              <w:top w:w="80" w:type="dxa"/>
              <w:start w:w="120" w:type="dxa"/>
              <w:bottom w:w="80" w:type="dxa"/>
              <w:end w:w="120" w:type="dxa"/>
            </w:tcMar>
            <w:vAlign w:val="center"/>
          </w:tcPr>
          <w:p>
            <w:hyperlink r:id="rId49">
              <w:r>
                <w:rPr>
                  <w:color w:val="2E74B5"/>
                  <w:u w:val="single"/>
                </w:rPr>
                <w:t>Sentry — Pricing</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Error monitoring Team and Business planning prices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S11</w:t>
            </w:r>
          </w:p>
        </w:tc>
        <w:tc>
          <w:tcPr>
            <w:tcW w:type="dxa" w:w="3300"/>
            <w:tcMar>
              <w:top w:w="80" w:type="dxa"/>
              <w:start w:w="120" w:type="dxa"/>
              <w:bottom w:w="80" w:type="dxa"/>
              <w:end w:w="120" w:type="dxa"/>
            </w:tcMar>
            <w:vAlign w:val="center"/>
          </w:tcPr>
          <w:p>
            <w:hyperlink r:id="rId26">
              <w:r>
                <w:rPr>
                  <w:color w:val="2E74B5"/>
                  <w:u w:val="single"/>
                </w:rPr>
                <w:t>Cloudflare — R2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S3-compatible object storage alternative</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S12</w:t>
            </w:r>
          </w:p>
        </w:tc>
        <w:tc>
          <w:tcPr>
            <w:tcW w:type="dxa" w:w="3300"/>
            <w:shd w:fill="F8FAFC"/>
            <w:tcMar>
              <w:top w:w="80" w:type="dxa"/>
              <w:start w:w="120" w:type="dxa"/>
              <w:bottom w:w="80" w:type="dxa"/>
              <w:end w:w="120" w:type="dxa"/>
            </w:tcMar>
            <w:vAlign w:val="center"/>
          </w:tcPr>
          <w:p>
            <w:hyperlink r:id="rId17">
              <w:r>
                <w:rPr>
                  <w:color w:val="2E74B5"/>
                  <w:u w:val="single"/>
                </w:rPr>
                <w:t>iyzico — Virtual POS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Public virtual POS transaction rate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S13</w:t>
            </w:r>
          </w:p>
        </w:tc>
        <w:tc>
          <w:tcPr>
            <w:tcW w:type="dxa" w:w="3300"/>
            <w:tcMar>
              <w:top w:w="80" w:type="dxa"/>
              <w:start w:w="120" w:type="dxa"/>
              <w:bottom w:w="80" w:type="dxa"/>
              <w:end w:w="120" w:type="dxa"/>
            </w:tcMar>
            <w:vAlign w:val="center"/>
          </w:tcPr>
          <w:p>
            <w:hyperlink r:id="rId27">
              <w:r>
                <w:rPr>
                  <w:color w:val="2E74B5"/>
                  <w:u w:val="single"/>
                </w:rPr>
                <w:t>PayTR — Virtual POS</w:t>
              </w:r>
            </w:hyperlink>
          </w:p>
        </w:tc>
        <w:tc>
          <w:tcPr>
            <w:tcW w:type="dxa" w:w="3650"/>
            <w:tcMar>
              <w:top w:w="80" w:type="dxa"/>
              <w:start w:w="120" w:type="dxa"/>
              <w:bottom w:w="80" w:type="dxa"/>
              <w:end w:w="120" w:type="dxa"/>
            </w:tcMar>
            <w:vAlign w:val="center"/>
          </w:tcPr>
          <w:p>
            <w:r>
              <w:rPr>
                <w:rFonts w:ascii="Calibri" w:hAnsi="Calibri"/>
                <w:b w:val="0"/>
                <w:i w:val="0"/>
                <w:color w:val="1F2937"/>
                <w:sz w:val="14"/>
              </w:rPr>
              <w:t>No fixed fees; commission by quotation</w:t>
            </w:r>
          </w:p>
        </w:tc>
        <w:tc>
          <w:tcPr>
            <w:tcW w:type="dxa" w:w="1760"/>
            <w:tcMar>
              <w:top w:w="80" w:type="dxa"/>
              <w:start w:w="120" w:type="dxa"/>
              <w:bottom w:w="80" w:type="dxa"/>
              <w:end w:w="120" w:type="dxa"/>
            </w:tcMar>
            <w:vAlign w:val="center"/>
          </w:tcPr>
          <w:p>
            <w:r>
              <w:rPr>
                <w:rFonts w:ascii="Calibri" w:hAnsi="Calibri"/>
                <w:b w:val="0"/>
                <w:i w:val="0"/>
                <w:color w:val="1F2937"/>
                <w:sz w:val="14"/>
              </w:rPr>
              <w:t>Partly verified / quote</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S14</w:t>
            </w:r>
          </w:p>
        </w:tc>
        <w:tc>
          <w:tcPr>
            <w:tcW w:type="dxa" w:w="3300"/>
            <w:shd w:fill="F8FAFC"/>
            <w:tcMar>
              <w:top w:w="80" w:type="dxa"/>
              <w:start w:w="120" w:type="dxa"/>
              <w:bottom w:w="80" w:type="dxa"/>
              <w:end w:w="120" w:type="dxa"/>
            </w:tcMar>
            <w:vAlign w:val="center"/>
          </w:tcPr>
          <w:p>
            <w:hyperlink r:id="rId28">
              <w:r>
                <w:rPr>
                  <w:color w:val="2E74B5"/>
                  <w:u w:val="single"/>
                </w:rPr>
                <w:t>Sipay — Virtual POS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No fixed fees; commission by quotation</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Partly verified / quote</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S15</w:t>
            </w:r>
          </w:p>
        </w:tc>
        <w:tc>
          <w:tcPr>
            <w:tcW w:type="dxa" w:w="3300"/>
            <w:tcMar>
              <w:top w:w="80" w:type="dxa"/>
              <w:start w:w="120" w:type="dxa"/>
              <w:bottom w:w="80" w:type="dxa"/>
              <w:end w:w="120" w:type="dxa"/>
            </w:tcMar>
            <w:vAlign w:val="center"/>
          </w:tcPr>
          <w:p>
            <w:hyperlink r:id="rId29">
              <w:r>
                <w:rPr>
                  <w:color w:val="2E74B5"/>
                  <w:u w:val="single"/>
                </w:rPr>
                <w:t>TCMB — Electronic-money institutions</w:t>
              </w:r>
            </w:hyperlink>
          </w:p>
        </w:tc>
        <w:tc>
          <w:tcPr>
            <w:tcW w:type="dxa" w:w="3650"/>
            <w:tcMar>
              <w:top w:w="80" w:type="dxa"/>
              <w:start w:w="120" w:type="dxa"/>
              <w:bottom w:w="80" w:type="dxa"/>
              <w:end w:w="120" w:type="dxa"/>
            </w:tcMar>
            <w:vAlign w:val="center"/>
          </w:tcPr>
          <w:p>
            <w:r>
              <w:rPr>
                <w:rFonts w:ascii="Calibri" w:hAnsi="Calibri"/>
                <w:b w:val="0"/>
                <w:i w:val="0"/>
                <w:color w:val="1F2937"/>
                <w:sz w:val="14"/>
              </w:rPr>
              <w:t>Provider authorisation status and Param caveat</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S16</w:t>
            </w:r>
          </w:p>
        </w:tc>
        <w:tc>
          <w:tcPr>
            <w:tcW w:type="dxa" w:w="3300"/>
            <w:shd w:fill="F8FAFC"/>
            <w:tcMar>
              <w:top w:w="80" w:type="dxa"/>
              <w:start w:w="120" w:type="dxa"/>
              <w:bottom w:w="80" w:type="dxa"/>
              <w:end w:w="120" w:type="dxa"/>
            </w:tcMar>
            <w:vAlign w:val="center"/>
          </w:tcPr>
          <w:p>
            <w:hyperlink r:id="rId18">
              <w:r>
                <w:rPr>
                  <w:color w:val="2E74B5"/>
                  <w:u w:val="single"/>
                </w:rPr>
                <w:t>Netgsm — OTP SMS pricing</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Prepaid Turkish OTP SMS packages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S17</w:t>
            </w:r>
          </w:p>
        </w:tc>
        <w:tc>
          <w:tcPr>
            <w:tcW w:type="dxa" w:w="3300"/>
            <w:tcMar>
              <w:top w:w="80" w:type="dxa"/>
              <w:start w:w="120" w:type="dxa"/>
              <w:bottom w:w="80" w:type="dxa"/>
              <w:end w:w="120" w:type="dxa"/>
            </w:tcMar>
            <w:vAlign w:val="center"/>
          </w:tcPr>
          <w:p>
            <w:hyperlink r:id="rId51">
              <w:r>
                <w:rPr>
                  <w:color w:val="2E74B5"/>
                  <w:u w:val="single"/>
                </w:rPr>
                <w:t>Turkcell — Digital messaging services</w:t>
              </w:r>
            </w:hyperlink>
          </w:p>
        </w:tc>
        <w:tc>
          <w:tcPr>
            <w:tcW w:type="dxa" w:w="3650"/>
            <w:tcMar>
              <w:top w:w="80" w:type="dxa"/>
              <w:start w:w="120" w:type="dxa"/>
              <w:bottom w:w="80" w:type="dxa"/>
              <w:end w:w="120" w:type="dxa"/>
            </w:tcMar>
            <w:vAlign w:val="center"/>
          </w:tcPr>
          <w:p>
            <w:r>
              <w:rPr>
                <w:rFonts w:ascii="Calibri" w:hAnsi="Calibri"/>
                <w:b w:val="0"/>
                <w:i w:val="0"/>
                <w:color w:val="1F2937"/>
                <w:sz w:val="14"/>
              </w:rPr>
              <w:t>Bulk SMS package reference</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S18</w:t>
            </w:r>
          </w:p>
        </w:tc>
        <w:tc>
          <w:tcPr>
            <w:tcW w:type="dxa" w:w="3300"/>
            <w:shd w:fill="F8FAFC"/>
            <w:tcMar>
              <w:top w:w="80" w:type="dxa"/>
              <w:start w:w="120" w:type="dxa"/>
              <w:bottom w:w="80" w:type="dxa"/>
              <w:end w:w="120" w:type="dxa"/>
            </w:tcMar>
            <w:vAlign w:val="center"/>
          </w:tcPr>
          <w:p>
            <w:hyperlink r:id="rId30">
              <w:r>
                <w:rPr>
                  <w:color w:val="2E74B5"/>
                  <w:u w:val="single"/>
                </w:rPr>
                <w:t>İleti Merkezi — Bulk SMS pricing</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Notification SMS packages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S19</w:t>
            </w:r>
          </w:p>
        </w:tc>
        <w:tc>
          <w:tcPr>
            <w:tcW w:type="dxa" w:w="3300"/>
            <w:tcMar>
              <w:top w:w="80" w:type="dxa"/>
              <w:start w:w="120" w:type="dxa"/>
              <w:bottom w:w="80" w:type="dxa"/>
              <w:end w:w="120" w:type="dxa"/>
            </w:tcMar>
            <w:vAlign w:val="center"/>
          </w:tcPr>
          <w:p>
            <w:hyperlink r:id="rId31">
              <w:r>
                <w:rPr>
                  <w:color w:val="2E74B5"/>
                  <w:u w:val="single"/>
                </w:rPr>
                <w:t>SenderTR — Email pricing</w:t>
              </w:r>
            </w:hyperlink>
          </w:p>
        </w:tc>
        <w:tc>
          <w:tcPr>
            <w:tcW w:type="dxa" w:w="3650"/>
            <w:tcMar>
              <w:top w:w="80" w:type="dxa"/>
              <w:start w:w="120" w:type="dxa"/>
              <w:bottom w:w="80" w:type="dxa"/>
              <w:end w:w="120" w:type="dxa"/>
            </w:tcMar>
            <w:vAlign w:val="center"/>
          </w:tcPr>
          <w:p>
            <w:r>
              <w:rPr>
                <w:rFonts w:ascii="Calibri" w:hAnsi="Calibri"/>
                <w:b w:val="0"/>
                <w:i w:val="0"/>
                <w:color w:val="1F2937"/>
                <w:sz w:val="14"/>
              </w:rPr>
              <w:t>Turkish transactional/bulk email planning alternative</w:t>
            </w:r>
          </w:p>
        </w:tc>
        <w:tc>
          <w:tcPr>
            <w:tcW w:type="dxa" w:w="1760"/>
            <w:tcMar>
              <w:top w:w="80" w:type="dxa"/>
              <w:start w:w="120" w:type="dxa"/>
              <w:bottom w:w="80" w:type="dxa"/>
              <w:end w:w="120" w:type="dxa"/>
            </w:tcMar>
            <w:vAlign w:val="center"/>
          </w:tcPr>
          <w:p>
            <w:r>
              <w:rPr>
                <w:rFonts w:ascii="Calibri" w:hAnsi="Calibri"/>
                <w:b w:val="0"/>
                <w:i w:val="0"/>
                <w:color w:val="1F2937"/>
                <w:sz w:val="14"/>
              </w:rPr>
              <w:t>Public price / pilot required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S20</w:t>
            </w:r>
          </w:p>
        </w:tc>
        <w:tc>
          <w:tcPr>
            <w:tcW w:type="dxa" w:w="3300"/>
            <w:shd w:fill="F8FAFC"/>
            <w:tcMar>
              <w:top w:w="80" w:type="dxa"/>
              <w:start w:w="120" w:type="dxa"/>
              <w:bottom w:w="80" w:type="dxa"/>
              <w:end w:w="120" w:type="dxa"/>
            </w:tcMar>
            <w:vAlign w:val="center"/>
          </w:tcPr>
          <w:p>
            <w:hyperlink r:id="rId24">
              <w:r>
                <w:rPr>
                  <w:color w:val="2E74B5"/>
                  <w:u w:val="single"/>
                </w:rPr>
                <w:t>Paraşüt — e-Fatura</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Optional private-integrator activation and credit packs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S21</w:t>
            </w:r>
          </w:p>
        </w:tc>
        <w:tc>
          <w:tcPr>
            <w:tcW w:type="dxa" w:w="3300"/>
            <w:tcMar>
              <w:top w:w="80" w:type="dxa"/>
              <w:start w:w="120" w:type="dxa"/>
              <w:bottom w:w="80" w:type="dxa"/>
              <w:end w:w="120" w:type="dxa"/>
            </w:tcMar>
            <w:vAlign w:val="center"/>
          </w:tcPr>
          <w:p>
            <w:hyperlink r:id="rId25">
              <w:r>
                <w:rPr>
                  <w:color w:val="2E74B5"/>
                  <w:u w:val="single"/>
                </w:rPr>
                <w:t>Netgsm — e-Signature</w:t>
              </w:r>
            </w:hyperlink>
          </w:p>
        </w:tc>
        <w:tc>
          <w:tcPr>
            <w:tcW w:type="dxa" w:w="3650"/>
            <w:tcMar>
              <w:top w:w="80" w:type="dxa"/>
              <w:start w:w="120" w:type="dxa"/>
              <w:bottom w:w="80" w:type="dxa"/>
              <w:end w:w="120" w:type="dxa"/>
            </w:tcMar>
            <w:vAlign w:val="center"/>
          </w:tcPr>
          <w:p>
            <w:r>
              <w:rPr>
                <w:rFonts w:ascii="Calibri" w:hAnsi="Calibri"/>
                <w:b w:val="0"/>
                <w:i w:val="0"/>
                <w:color w:val="1F2937"/>
                <w:sz w:val="14"/>
              </w:rPr>
              <w:t>Qualified e-signature certificate planning price</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S22</w:t>
            </w:r>
          </w:p>
        </w:tc>
        <w:tc>
          <w:tcPr>
            <w:tcW w:type="dxa" w:w="3300"/>
            <w:shd w:fill="F8FAFC"/>
            <w:tcMar>
              <w:top w:w="80" w:type="dxa"/>
              <w:start w:w="120" w:type="dxa"/>
              <w:bottom w:w="80" w:type="dxa"/>
              <w:end w:w="120" w:type="dxa"/>
            </w:tcMar>
            <w:vAlign w:val="center"/>
          </w:tcPr>
          <w:p>
            <w:hyperlink r:id="rId32">
              <w:r>
                <w:rPr>
                  <w:color w:val="2E74B5"/>
                  <w:u w:val="single"/>
                </w:rPr>
                <w:t>BTK — KEP providers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Authorised KEP provider register</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 / price quote</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S23</w:t>
            </w:r>
          </w:p>
        </w:tc>
        <w:tc>
          <w:tcPr>
            <w:tcW w:type="dxa" w:w="3300"/>
            <w:tcMar>
              <w:top w:w="80" w:type="dxa"/>
              <w:start w:w="120" w:type="dxa"/>
              <w:bottom w:w="80" w:type="dxa"/>
              <w:end w:w="120" w:type="dxa"/>
            </w:tcMar>
            <w:vAlign w:val="center"/>
          </w:tcPr>
          <w:p>
            <w:hyperlink r:id="rId33">
              <w:r>
                <w:rPr>
                  <w:color w:val="2E74B5"/>
                  <w:u w:val="single"/>
                </w:rPr>
                <w:t>GİB — e-Belge portal</w:t>
              </w:r>
            </w:hyperlink>
          </w:p>
        </w:tc>
        <w:tc>
          <w:tcPr>
            <w:tcW w:type="dxa" w:w="3650"/>
            <w:tcMar>
              <w:top w:w="80" w:type="dxa"/>
              <w:start w:w="120" w:type="dxa"/>
              <w:bottom w:w="80" w:type="dxa"/>
              <w:end w:w="120" w:type="dxa"/>
            </w:tcMar>
            <w:vAlign w:val="center"/>
          </w:tcPr>
          <w:p>
            <w:r>
              <w:rPr>
                <w:rFonts w:ascii="Calibri" w:hAnsi="Calibri"/>
                <w:b w:val="0"/>
                <w:i w:val="0"/>
                <w:color w:val="1F2937"/>
                <w:sz w:val="14"/>
              </w:rPr>
              <w:t>Authorised e-document ecosystem</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S24</w:t>
            </w:r>
          </w:p>
        </w:tc>
        <w:tc>
          <w:tcPr>
            <w:tcW w:type="dxa" w:w="3300"/>
            <w:shd w:fill="F8FAFC"/>
            <w:tcMar>
              <w:top w:w="80" w:type="dxa"/>
              <w:start w:w="120" w:type="dxa"/>
              <w:bottom w:w="80" w:type="dxa"/>
              <w:end w:w="120" w:type="dxa"/>
            </w:tcMar>
            <w:vAlign w:val="center"/>
          </w:tcPr>
          <w:p>
            <w:hyperlink r:id="rId34">
              <w:r>
                <w:rPr>
                  <w:color w:val="2E74B5"/>
                  <w:u w:val="single"/>
                </w:rPr>
                <w:t>GİB — Current consolidated VUK 509</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e-Fatura thresholds and permitted connection routes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S25</w:t>
            </w:r>
          </w:p>
        </w:tc>
        <w:tc>
          <w:tcPr>
            <w:tcW w:type="dxa" w:w="3300"/>
            <w:tcMar>
              <w:top w:w="80" w:type="dxa"/>
              <w:start w:w="120" w:type="dxa"/>
              <w:bottom w:w="80" w:type="dxa"/>
              <w:end w:w="120" w:type="dxa"/>
            </w:tcMar>
            <w:vAlign w:val="center"/>
          </w:tcPr>
          <w:p>
            <w:hyperlink r:id="rId38">
              <w:r>
                <w:rPr>
                  <w:color w:val="2E74B5"/>
                  <w:u w:val="single"/>
                </w:rPr>
                <w:t>GİB — VUK Communiqué amendment</w:t>
              </w:r>
            </w:hyperlink>
          </w:p>
        </w:tc>
        <w:tc>
          <w:tcPr>
            <w:tcW w:type="dxa" w:w="3650"/>
            <w:tcMar>
              <w:top w:w="80" w:type="dxa"/>
              <w:start w:w="120" w:type="dxa"/>
              <w:bottom w:w="80" w:type="dxa"/>
              <w:end w:w="120" w:type="dxa"/>
            </w:tcMar>
            <w:vAlign w:val="center"/>
          </w:tcPr>
          <w:p>
            <w:r>
              <w:rPr>
                <w:rFonts w:ascii="Calibri" w:hAnsi="Calibri"/>
                <w:b w:val="0"/>
                <w:i w:val="0"/>
                <w:color w:val="1F2937"/>
                <w:sz w:val="14"/>
              </w:rPr>
              <w:t>e-Arşiv rule effective 1 January 2026</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S26</w:t>
            </w:r>
          </w:p>
        </w:tc>
        <w:tc>
          <w:tcPr>
            <w:tcW w:type="dxa" w:w="3300"/>
            <w:shd w:fill="F8FAFC"/>
            <w:tcMar>
              <w:top w:w="80" w:type="dxa"/>
              <w:start w:w="120" w:type="dxa"/>
              <w:bottom w:w="80" w:type="dxa"/>
              <w:end w:w="120" w:type="dxa"/>
            </w:tcMar>
            <w:vAlign w:val="center"/>
          </w:tcPr>
          <w:p>
            <w:hyperlink r:id="rId39">
              <w:r>
                <w:rPr>
                  <w:color w:val="2E74B5"/>
                  <w:u w:val="single"/>
                </w:rPr>
                <w:t>KVKK — Cross-border transfers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No adequacy decision; transfer mechanisms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S27</w:t>
            </w:r>
          </w:p>
        </w:tc>
        <w:tc>
          <w:tcPr>
            <w:tcW w:type="dxa" w:w="3300"/>
            <w:tcMar>
              <w:top w:w="80" w:type="dxa"/>
              <w:start w:w="120" w:type="dxa"/>
              <w:bottom w:w="80" w:type="dxa"/>
              <w:end w:w="120" w:type="dxa"/>
            </w:tcMar>
            <w:vAlign w:val="center"/>
          </w:tcPr>
          <w:p>
            <w:hyperlink r:id="rId40">
              <w:r>
                <w:rPr>
                  <w:color w:val="2E74B5"/>
                  <w:u w:val="single"/>
                </w:rPr>
                <w:t>KVKK — SCC guidance</w:t>
              </w:r>
            </w:hyperlink>
          </w:p>
        </w:tc>
        <w:tc>
          <w:tcPr>
            <w:tcW w:type="dxa" w:w="3650"/>
            <w:tcMar>
              <w:top w:w="80" w:type="dxa"/>
              <w:start w:w="120" w:type="dxa"/>
              <w:bottom w:w="80" w:type="dxa"/>
              <w:end w:w="120" w:type="dxa"/>
            </w:tcMar>
            <w:vAlign w:val="center"/>
          </w:tcPr>
          <w:p>
            <w:r>
              <w:rPr>
                <w:rFonts w:ascii="Calibri" w:hAnsi="Calibri"/>
                <w:b w:val="0"/>
                <w:i w:val="0"/>
                <w:color w:val="1F2937"/>
                <w:sz w:val="14"/>
              </w:rPr>
              <w:t>Five-business-day SCC notification and execution guidance</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S28</w:t>
            </w:r>
          </w:p>
        </w:tc>
        <w:tc>
          <w:tcPr>
            <w:tcW w:type="dxa" w:w="3300"/>
            <w:shd w:fill="F8FAFC"/>
            <w:tcMar>
              <w:top w:w="80" w:type="dxa"/>
              <w:start w:w="120" w:type="dxa"/>
              <w:bottom w:w="80" w:type="dxa"/>
              <w:end w:w="120" w:type="dxa"/>
            </w:tcMar>
            <w:vAlign w:val="center"/>
          </w:tcPr>
          <w:p>
            <w:hyperlink r:id="rId41">
              <w:r>
                <w:rPr>
                  <w:color w:val="2E74B5"/>
                  <w:u w:val="single"/>
                </w:rPr>
                <w:t>KVKK — VERBİS announcement</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Ordinary-business exemption thresholds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S29</w:t>
            </w:r>
          </w:p>
        </w:tc>
        <w:tc>
          <w:tcPr>
            <w:tcW w:type="dxa" w:w="3300"/>
            <w:tcMar>
              <w:top w:w="80" w:type="dxa"/>
              <w:start w:w="120" w:type="dxa"/>
              <w:bottom w:w="80" w:type="dxa"/>
              <w:end w:w="120" w:type="dxa"/>
            </w:tcMar>
            <w:vAlign w:val="center"/>
          </w:tcPr>
          <w:p>
            <w:hyperlink r:id="rId42">
              <w:r>
                <w:rPr>
                  <w:color w:val="2E74B5"/>
                  <w:u w:val="single"/>
                </w:rPr>
                <w:t>KVKK — Data breach notification</w:t>
              </w:r>
            </w:hyperlink>
          </w:p>
        </w:tc>
        <w:tc>
          <w:tcPr>
            <w:tcW w:type="dxa" w:w="3650"/>
            <w:tcMar>
              <w:top w:w="80" w:type="dxa"/>
              <w:start w:w="120" w:type="dxa"/>
              <w:bottom w:w="80" w:type="dxa"/>
              <w:end w:w="120" w:type="dxa"/>
            </w:tcMar>
            <w:vAlign w:val="center"/>
          </w:tcPr>
          <w:p>
            <w:r>
              <w:rPr>
                <w:rFonts w:ascii="Calibri" w:hAnsi="Calibri"/>
                <w:b w:val="0"/>
                <w:i w:val="0"/>
                <w:color w:val="1F2937"/>
                <w:sz w:val="14"/>
              </w:rPr>
              <w:t>72-hour breach notification expectation</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S30</w:t>
            </w:r>
          </w:p>
        </w:tc>
        <w:tc>
          <w:tcPr>
            <w:tcW w:type="dxa" w:w="3300"/>
            <w:shd w:fill="F8FAFC"/>
            <w:tcMar>
              <w:top w:w="80" w:type="dxa"/>
              <w:start w:w="120" w:type="dxa"/>
              <w:bottom w:w="80" w:type="dxa"/>
              <w:end w:w="120" w:type="dxa"/>
            </w:tcMar>
            <w:vAlign w:val="center"/>
          </w:tcPr>
          <w:p>
            <w:hyperlink r:id="rId43">
              <w:r>
                <w:rPr>
                  <w:color w:val="2E74B5"/>
                  <w:u w:val="single"/>
                </w:rPr>
                <w:t>KVKK — Cookie guidance</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Cookie consent and transparency baseline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S31</w:t>
            </w:r>
          </w:p>
        </w:tc>
        <w:tc>
          <w:tcPr>
            <w:tcW w:type="dxa" w:w="3300"/>
            <w:tcMar>
              <w:top w:w="80" w:type="dxa"/>
              <w:start w:w="120" w:type="dxa"/>
              <w:bottom w:w="80" w:type="dxa"/>
              <w:end w:w="120" w:type="dxa"/>
            </w:tcMar>
            <w:vAlign w:val="center"/>
          </w:tcPr>
          <w:p>
            <w:hyperlink r:id="rId44">
              <w:r>
                <w:rPr>
                  <w:color w:val="2E74B5"/>
                  <w:u w:val="single"/>
                </w:rPr>
                <w:t>KVKK — AI recommendations</w:t>
              </w:r>
            </w:hyperlink>
          </w:p>
        </w:tc>
        <w:tc>
          <w:tcPr>
            <w:tcW w:type="dxa" w:w="3650"/>
            <w:tcMar>
              <w:top w:w="80" w:type="dxa"/>
              <w:start w:w="120" w:type="dxa"/>
              <w:bottom w:w="80" w:type="dxa"/>
              <w:end w:w="120" w:type="dxa"/>
            </w:tcMar>
            <w:vAlign w:val="center"/>
          </w:tcPr>
          <w:p>
            <w:r>
              <w:rPr>
                <w:rFonts w:ascii="Calibri" w:hAnsi="Calibri"/>
                <w:b w:val="0"/>
                <w:i w:val="0"/>
                <w:color w:val="1F2937"/>
                <w:sz w:val="14"/>
              </w:rPr>
              <w:t>Privacy expectations for AI systems</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S32</w:t>
            </w:r>
          </w:p>
        </w:tc>
        <w:tc>
          <w:tcPr>
            <w:tcW w:type="dxa" w:w="3300"/>
            <w:shd w:fill="F8FAFC"/>
            <w:tcMar>
              <w:top w:w="80" w:type="dxa"/>
              <w:start w:w="120" w:type="dxa"/>
              <w:bottom w:w="80" w:type="dxa"/>
              <w:end w:w="120" w:type="dxa"/>
            </w:tcMar>
            <w:vAlign w:val="center"/>
          </w:tcPr>
          <w:p>
            <w:hyperlink r:id="rId45">
              <w:r>
                <w:rPr>
                  <w:color w:val="2E74B5"/>
                  <w:u w:val="single"/>
                </w:rPr>
                <w:t>KVKK — 2026 administrative fines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2026 risk exposure ranges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S33</w:t>
            </w:r>
          </w:p>
        </w:tc>
        <w:tc>
          <w:tcPr>
            <w:tcW w:type="dxa" w:w="3300"/>
            <w:tcMar>
              <w:top w:w="80" w:type="dxa"/>
              <w:start w:w="120" w:type="dxa"/>
              <w:bottom w:w="80" w:type="dxa"/>
              <w:end w:w="120" w:type="dxa"/>
            </w:tcMar>
            <w:vAlign w:val="center"/>
          </w:tcPr>
          <w:p>
            <w:hyperlink r:id="rId35">
              <w:r>
                <w:rPr>
                  <w:color w:val="2E74B5"/>
                  <w:u w:val="single"/>
                </w:rPr>
                <w:t>İYS — Official service</w:t>
              </w:r>
            </w:hyperlink>
          </w:p>
        </w:tc>
        <w:tc>
          <w:tcPr>
            <w:tcW w:type="dxa" w:w="3650"/>
            <w:tcMar>
              <w:top w:w="80" w:type="dxa"/>
              <w:start w:w="120" w:type="dxa"/>
              <w:bottom w:w="80" w:type="dxa"/>
              <w:end w:w="120" w:type="dxa"/>
            </w:tcMar>
            <w:vAlign w:val="center"/>
          </w:tcPr>
          <w:p>
            <w:r>
              <w:rPr>
                <w:rFonts w:ascii="Calibri" w:hAnsi="Calibri"/>
                <w:b w:val="0"/>
                <w:i w:val="0"/>
                <w:color w:val="1F2937"/>
                <w:sz w:val="14"/>
              </w:rPr>
              <w:t>Commercial-message permission and rejection management</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S34</w:t>
            </w:r>
          </w:p>
        </w:tc>
        <w:tc>
          <w:tcPr>
            <w:tcW w:type="dxa" w:w="3300"/>
            <w:shd w:fill="F8FAFC"/>
            <w:tcMar>
              <w:top w:w="80" w:type="dxa"/>
              <w:start w:w="120" w:type="dxa"/>
              <w:bottom w:w="80" w:type="dxa"/>
              <w:end w:w="120" w:type="dxa"/>
            </w:tcMar>
            <w:vAlign w:val="center"/>
          </w:tcPr>
          <w:p>
            <w:hyperlink r:id="rId36">
              <w:r>
                <w:rPr>
                  <w:color w:val="2E74B5"/>
                  <w:u w:val="single"/>
                </w:rPr>
                <w:t>Ministry of Trade — EİDS enforcement notice</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Property listing identity/authority verification</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S35</w:t>
            </w:r>
          </w:p>
        </w:tc>
        <w:tc>
          <w:tcPr>
            <w:tcW w:type="dxa" w:w="3300"/>
            <w:tcMar>
              <w:top w:w="80" w:type="dxa"/>
              <w:start w:w="120" w:type="dxa"/>
              <w:bottom w:w="80" w:type="dxa"/>
              <w:end w:w="120" w:type="dxa"/>
            </w:tcMar>
            <w:vAlign w:val="center"/>
          </w:tcPr>
          <w:p>
            <w:hyperlink r:id="rId46">
              <w:r>
                <w:rPr>
                  <w:color w:val="2E74B5"/>
                  <w:u w:val="single"/>
                </w:rPr>
                <w:t>Ministry of Trade — EİDS service</w:t>
              </w:r>
            </w:hyperlink>
          </w:p>
        </w:tc>
        <w:tc>
          <w:tcPr>
            <w:tcW w:type="dxa" w:w="3650"/>
            <w:tcMar>
              <w:top w:w="80" w:type="dxa"/>
              <w:start w:w="120" w:type="dxa"/>
              <w:bottom w:w="80" w:type="dxa"/>
              <w:end w:w="120" w:type="dxa"/>
            </w:tcMar>
            <w:vAlign w:val="center"/>
          </w:tcPr>
          <w:p>
            <w:r>
              <w:rPr>
                <w:rFonts w:ascii="Calibri" w:hAnsi="Calibri"/>
                <w:b w:val="0"/>
                <w:i w:val="0"/>
                <w:color w:val="1F2937"/>
                <w:sz w:val="14"/>
              </w:rPr>
              <w:t>Official EİDS access point</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S36</w:t>
            </w:r>
          </w:p>
        </w:tc>
        <w:tc>
          <w:tcPr>
            <w:tcW w:type="dxa" w:w="3300"/>
            <w:shd w:fill="F8FAFC"/>
            <w:tcMar>
              <w:top w:w="80" w:type="dxa"/>
              <w:start w:w="120" w:type="dxa"/>
              <w:bottom w:w="80" w:type="dxa"/>
              <w:end w:w="120" w:type="dxa"/>
            </w:tcMar>
            <w:vAlign w:val="center"/>
          </w:tcPr>
          <w:p>
            <w:hyperlink r:id="rId19">
              <w:r>
                <w:rPr>
                  <w:color w:val="2E74B5"/>
                  <w:u w:val="single"/>
                </w:rPr>
                <w:t>Ministry of Trade — Annual authorisation-certificate charge</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TRY 20,000 / 40,000 statutory fee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S37</w:t>
            </w:r>
          </w:p>
        </w:tc>
        <w:tc>
          <w:tcPr>
            <w:tcW w:type="dxa" w:w="3300"/>
            <w:tcMar>
              <w:top w:w="80" w:type="dxa"/>
              <w:start w:w="120" w:type="dxa"/>
              <w:bottom w:w="80" w:type="dxa"/>
              <w:end w:w="120" w:type="dxa"/>
            </w:tcMar>
            <w:vAlign w:val="center"/>
          </w:tcPr>
          <w:p>
            <w:hyperlink r:id="rId37">
              <w:r>
                <w:rPr>
                  <w:color w:val="2E74B5"/>
                  <w:u w:val="single"/>
                </w:rPr>
                <w:t>Ministry of Trade — Secure Property Payment System postponement</w:t>
              </w:r>
            </w:hyperlink>
          </w:p>
        </w:tc>
        <w:tc>
          <w:tcPr>
            <w:tcW w:type="dxa" w:w="3650"/>
            <w:tcMar>
              <w:top w:w="80" w:type="dxa"/>
              <w:start w:w="120" w:type="dxa"/>
              <w:bottom w:w="80" w:type="dxa"/>
              <w:end w:w="120" w:type="dxa"/>
            </w:tcMar>
            <w:vAlign w:val="center"/>
          </w:tcPr>
          <w:p>
            <w:r>
              <w:rPr>
                <w:rFonts w:ascii="Calibri" w:hAnsi="Calibri"/>
                <w:b w:val="0"/>
                <w:i w:val="0"/>
                <w:color w:val="1F2937"/>
                <w:sz w:val="14"/>
              </w:rPr>
              <w:t>Mandatory start date 1 October 2026</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S38</w:t>
            </w:r>
          </w:p>
        </w:tc>
        <w:tc>
          <w:tcPr>
            <w:tcW w:type="dxa" w:w="3300"/>
            <w:shd w:fill="F8FAFC"/>
            <w:tcMar>
              <w:top w:w="80" w:type="dxa"/>
              <w:start w:w="120" w:type="dxa"/>
              <w:bottom w:w="80" w:type="dxa"/>
              <w:end w:w="120" w:type="dxa"/>
            </w:tcMar>
            <w:vAlign w:val="center"/>
          </w:tcPr>
          <w:p>
            <w:hyperlink r:id="rId47">
              <w:r>
                <w:rPr>
                  <w:color w:val="2E74B5"/>
                  <w:u w:val="single"/>
                </w:rPr>
                <w:t>MASAK — Obliged parties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AML obligations and sector relevance</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 framework / counsel check</w:t>
            </w:r>
          </w:p>
        </w:tc>
      </w:tr>
      <w:tr>
        <w:trPr>
          <w:cantSplit/>
        </w:trPr>
        <w:tc>
          <w:tcPr>
            <w:tcW w:type="dxa" w:w="650"/>
            <w:tcMar>
              <w:top w:w="80" w:type="dxa"/>
              <w:start w:w="120" w:type="dxa"/>
              <w:bottom w:w="80" w:type="dxa"/>
              <w:end w:w="120" w:type="dxa"/>
            </w:tcMar>
            <w:vAlign w:val="center"/>
          </w:tcPr>
          <w:p>
            <w:r>
              <w:rPr>
                <w:rFonts w:ascii="Calibri" w:hAnsi="Calibri"/>
                <w:b/>
                <w:i w:val="0"/>
                <w:color w:val="102A43"/>
                <w:sz w:val="14"/>
              </w:rPr>
              <w:t>S39</w:t>
            </w:r>
          </w:p>
        </w:tc>
        <w:tc>
          <w:tcPr>
            <w:tcW w:type="dxa" w:w="3300"/>
            <w:tcMar>
              <w:top w:w="80" w:type="dxa"/>
              <w:start w:w="120" w:type="dxa"/>
              <w:bottom w:w="80" w:type="dxa"/>
              <w:end w:w="120" w:type="dxa"/>
            </w:tcMar>
            <w:vAlign w:val="center"/>
          </w:tcPr>
          <w:p>
            <w:hyperlink r:id="rId20">
              <w:r>
                <w:rPr>
                  <w:color w:val="2E74B5"/>
                  <w:u w:val="single"/>
                </w:rPr>
                <w:t>e-Devlet / TCMB — Foreign-exchange rates</w:t>
              </w:r>
            </w:hyperlink>
          </w:p>
        </w:tc>
        <w:tc>
          <w:tcPr>
            <w:tcW w:type="dxa" w:w="3650"/>
            <w:tcMar>
              <w:top w:w="80" w:type="dxa"/>
              <w:start w:w="120" w:type="dxa"/>
              <w:bottom w:w="80" w:type="dxa"/>
              <w:end w:w="120" w:type="dxa"/>
            </w:tcMar>
            <w:vAlign w:val="center"/>
          </w:tcPr>
          <w:p>
            <w:r>
              <w:rPr>
                <w:rFonts w:ascii="Calibri" w:hAnsi="Calibri"/>
                <w:b w:val="0"/>
                <w:i w:val="0"/>
                <w:color w:val="1F2937"/>
                <w:sz w:val="14"/>
              </w:rPr>
              <w:t>USD selling rate 47.0098 TRY for 14 July, published 15 July 2026</w:t>
            </w:r>
          </w:p>
        </w:tc>
        <w:tc>
          <w:tcPr>
            <w:tcW w:type="dxa" w:w="1760"/>
            <w:tcMar>
              <w:top w:w="80" w:type="dxa"/>
              <w:start w:w="120" w:type="dxa"/>
              <w:bottom w:w="80" w:type="dxa"/>
              <w:end w:w="120" w:type="dxa"/>
            </w:tcMar>
            <w:vAlign w:val="center"/>
          </w:tcPr>
          <w:p>
            <w:r>
              <w:rPr>
                <w:rFonts w:ascii="Calibri" w:hAnsi="Calibri"/>
                <w:b w:val="0"/>
                <w:i w:val="0"/>
                <w:color w:val="1F2937"/>
                <w:sz w:val="14"/>
              </w:rPr>
              <w:t>Verified</w:t>
            </w:r>
          </w:p>
        </w:tc>
      </w:tr>
      <w:tr>
        <w:trPr>
          <w:cantSplit/>
        </w:trPr>
        <w:tc>
          <w:tcPr>
            <w:tcW w:type="dxa" w:w="650"/>
            <w:shd w:fill="F8FAFC"/>
            <w:tcMar>
              <w:top w:w="80" w:type="dxa"/>
              <w:start w:w="120" w:type="dxa"/>
              <w:bottom w:w="80" w:type="dxa"/>
              <w:end w:w="120" w:type="dxa"/>
            </w:tcMar>
            <w:vAlign w:val="center"/>
          </w:tcPr>
          <w:p>
            <w:r>
              <w:rPr>
                <w:rFonts w:ascii="Calibri" w:hAnsi="Calibri"/>
                <w:b/>
                <w:i w:val="0"/>
                <w:color w:val="102A43"/>
                <w:sz w:val="14"/>
              </w:rPr>
              <w:t>S40</w:t>
            </w:r>
          </w:p>
        </w:tc>
        <w:tc>
          <w:tcPr>
            <w:tcW w:type="dxa" w:w="3300"/>
            <w:shd w:fill="F8FAFC"/>
            <w:tcMar>
              <w:top w:w="80" w:type="dxa"/>
              <w:start w:w="120" w:type="dxa"/>
              <w:bottom w:w="80" w:type="dxa"/>
              <w:end w:w="120" w:type="dxa"/>
            </w:tcMar>
            <w:vAlign w:val="center"/>
          </w:tcPr>
          <w:p>
            <w:hyperlink r:id="rId52">
              <w:r>
                <w:rPr>
                  <w:color w:val="2E74B5"/>
                  <w:u w:val="single"/>
                </w:rPr>
                <w:t>METUnic — Domain prices</w:t>
              </w:r>
            </w:hyperlink>
          </w:p>
        </w:tc>
        <w:tc>
          <w:tcPr>
            <w:tcW w:type="dxa" w:w="3650"/>
            <w:shd w:fill="F8FAFC"/>
            <w:tcMar>
              <w:top w:w="80" w:type="dxa"/>
              <w:start w:w="120" w:type="dxa"/>
              <w:bottom w:w="80" w:type="dxa"/>
              <w:end w:w="120" w:type="dxa"/>
            </w:tcMar>
            <w:vAlign w:val="center"/>
          </w:tcPr>
          <w:p>
            <w:r>
              <w:rPr>
                <w:rFonts w:ascii="Calibri" w:hAnsi="Calibri"/>
                <w:b w:val="0"/>
                <w:i w:val="0"/>
                <w:color w:val="1F2937"/>
                <w:sz w:val="14"/>
              </w:rPr>
              <w:t>.com.tr registration and renewal planning prices</w:t>
            </w:r>
          </w:p>
        </w:tc>
        <w:tc>
          <w:tcPr>
            <w:tcW w:type="dxa" w:w="1760"/>
            <w:shd w:fill="F8FAFC"/>
            <w:tcMar>
              <w:top w:w="80" w:type="dxa"/>
              <w:start w:w="120" w:type="dxa"/>
              <w:bottom w:w="80" w:type="dxa"/>
              <w:end w:w="120" w:type="dxa"/>
            </w:tcMar>
            <w:vAlign w:val="center"/>
          </w:tcPr>
          <w:p>
            <w:r>
              <w:rPr>
                <w:rFonts w:ascii="Calibri" w:hAnsi="Calibri"/>
                <w:b w:val="0"/>
                <w:i w:val="0"/>
                <w:color w:val="1F2937"/>
                <w:sz w:val="14"/>
              </w:rPr>
              <w:t>Verified</w:t>
            </w:r>
          </w:p>
        </w:tc>
      </w:tr>
    </w:tbl>
    <w:p>
      <w:pPr>
        <w:pStyle w:val="Heading2"/>
      </w:pPr>
      <w:r>
        <w:t>C.3 Verification limitations and required human checks</w:t>
      </w:r>
    </w:p>
    <w:p>
      <w:pPr>
        <w:pStyle w:val="ListBullet"/>
        <w:spacing w:after="80"/>
        <w:ind w:left="720" w:hanging="360"/>
      </w:pPr>
      <w:r>
        <w:rPr>
          <w:rFonts w:ascii="Calibri" w:hAnsi="Calibri"/>
          <w:b w:val="0"/>
          <w:i w:val="0"/>
          <w:color w:val="1F2937"/>
          <w:sz w:val="20"/>
        </w:rPr>
        <w:t>This pack accelerates human verification; it does not replace Turkish counsel, accountant, procurement or security review.</w:t>
      </w:r>
    </w:p>
    <w:p>
      <w:pPr>
        <w:pStyle w:val="ListBullet"/>
        <w:spacing w:after="80"/>
        <w:ind w:left="720" w:hanging="360"/>
      </w:pPr>
      <w:r>
        <w:rPr>
          <w:rFonts w:ascii="Calibri" w:hAnsi="Calibri"/>
          <w:b w:val="0"/>
          <w:i w:val="0"/>
          <w:color w:val="1F2937"/>
          <w:sz w:val="20"/>
        </w:rPr>
        <w:t>Public web pages may change immediately after the check date or show prices that differ by account, region, volume or tax status.</w:t>
      </w:r>
    </w:p>
    <w:p>
      <w:pPr>
        <w:pStyle w:val="ListBullet"/>
        <w:spacing w:after="80"/>
        <w:ind w:left="720" w:hanging="360"/>
      </w:pPr>
      <w:r>
        <w:rPr>
          <w:rFonts w:ascii="Calibri" w:hAnsi="Calibri"/>
          <w:b w:val="0"/>
          <w:i w:val="0"/>
          <w:color w:val="1F2937"/>
          <w:sz w:val="20"/>
        </w:rPr>
        <w:t>The verification process uses the same underlying language-model family and may repeat an interpretation error.</w:t>
      </w:r>
    </w:p>
    <w:p>
      <w:pPr>
        <w:pStyle w:val="ListBullet"/>
        <w:spacing w:after="80"/>
        <w:ind w:left="720" w:hanging="360"/>
      </w:pPr>
      <w:r>
        <w:rPr>
          <w:rFonts w:ascii="Calibri" w:hAnsi="Calibri"/>
          <w:b w:val="0"/>
          <w:i w:val="0"/>
          <w:color w:val="1F2937"/>
          <w:sz w:val="20"/>
        </w:rPr>
        <w:t>A source supporting a claim does not prove that the rule applies to Ataberk's precise legal entity or transaction.</w:t>
      </w:r>
    </w:p>
    <w:p>
      <w:pPr>
        <w:pStyle w:val="ListBullet"/>
        <w:spacing w:after="80"/>
        <w:ind w:left="720" w:hanging="360"/>
      </w:pPr>
      <w:r>
        <w:rPr>
          <w:rFonts w:ascii="Calibri" w:hAnsi="Calibri"/>
          <w:b w:val="0"/>
          <w:i w:val="0"/>
          <w:color w:val="1F2937"/>
          <w:sz w:val="20"/>
        </w:rPr>
        <w:t>Contract-only items remain unresolved until signed quotations and terms are entered into the decision log.</w:t>
      </w:r>
    </w:p>
    <w:p>
      <w:pPr>
        <w:pStyle w:val="ListBullet"/>
        <w:spacing w:after="80"/>
        <w:ind w:left="720" w:hanging="360"/>
      </w:pPr>
      <w:r>
        <w:rPr>
          <w:rFonts w:ascii="Calibri" w:hAnsi="Calibri"/>
          <w:b w:val="0"/>
          <w:i w:val="0"/>
          <w:color w:val="1F2937"/>
          <w:sz w:val="20"/>
        </w:rPr>
        <w:t>Before contract or launch, re-check every regulatory date, provider authorisation, fee, tax, DPA/subprocessor list and technical allowance.</w:t>
      </w:r>
    </w:p>
    <w:p>
      <w:bookmarkStart w:id="119" w:name="glossary"/>
      <w:pPr>
        <w:pStyle w:val="Heading1"/>
      </w:pPr>
      <w:r>
        <w:t>Appendix D — Glossary</w:t>
      </w:r>
      <w:bookmarkEnd w:id="119"/>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200"/>
        <w:gridCol w:w="7160"/>
      </w:tblGrid>
      <w:tr>
        <w:trPr>
          <w:cantSplit/>
          <w:tblHeader w:val="true"/>
          <w:cantSplit/>
        </w:trPr>
        <w:tc>
          <w:tcPr>
            <w:tcW w:type="dxa" w:w="2200"/>
            <w:shd w:fill="102A43"/>
            <w:tcMar>
              <w:top w:w="80" w:type="dxa"/>
              <w:start w:w="120" w:type="dxa"/>
              <w:bottom w:w="80" w:type="dxa"/>
              <w:end w:w="120" w:type="dxa"/>
            </w:tcMar>
            <w:vAlign w:val="center"/>
          </w:tcPr>
          <w:p>
            <w:r>
              <w:rPr>
                <w:rFonts w:ascii="Calibri" w:hAnsi="Calibri"/>
                <w:b/>
                <w:i w:val="0"/>
                <w:color w:val="FFFFFF"/>
                <w:sz w:val="17"/>
              </w:rPr>
              <w:t>Term</w:t>
            </w:r>
          </w:p>
        </w:tc>
        <w:tc>
          <w:tcPr>
            <w:tcW w:type="dxa" w:w="7160"/>
            <w:shd w:fill="102A43"/>
            <w:tcMar>
              <w:top w:w="80" w:type="dxa"/>
              <w:start w:w="120" w:type="dxa"/>
              <w:bottom w:w="80" w:type="dxa"/>
              <w:end w:w="120" w:type="dxa"/>
            </w:tcMar>
            <w:vAlign w:val="center"/>
          </w:tcPr>
          <w:p>
            <w:r>
              <w:rPr>
                <w:rFonts w:ascii="Calibri" w:hAnsi="Calibri"/>
                <w:b/>
                <w:i w:val="0"/>
                <w:color w:val="FFFFFF"/>
                <w:sz w:val="17"/>
              </w:rPr>
              <w:t>Simple meaning</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MAU</w:t>
            </w:r>
          </w:p>
        </w:tc>
        <w:tc>
          <w:tcPr>
            <w:tcW w:type="dxa" w:w="7160"/>
            <w:tcMar>
              <w:top w:w="80" w:type="dxa"/>
              <w:start w:w="120" w:type="dxa"/>
              <w:bottom w:w="80" w:type="dxa"/>
              <w:end w:w="120" w:type="dxa"/>
            </w:tcMar>
            <w:vAlign w:val="center"/>
          </w:tcPr>
          <w:p>
            <w:r>
              <w:rPr>
                <w:rFonts w:ascii="Calibri" w:hAnsi="Calibri"/>
                <w:b w:val="0"/>
                <w:i w:val="0"/>
                <w:color w:val="1F2937"/>
                <w:sz w:val="17"/>
              </w:rPr>
              <w:t>Monthly active users — people who actually use the service in a month, not all registered accounts.</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GMV</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Gross merchandise value — the total money processed before provider fees, refunds and tax.</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RLS</w:t>
            </w:r>
          </w:p>
        </w:tc>
        <w:tc>
          <w:tcPr>
            <w:tcW w:type="dxa" w:w="7160"/>
            <w:tcMar>
              <w:top w:w="80" w:type="dxa"/>
              <w:start w:w="120" w:type="dxa"/>
              <w:bottom w:w="80" w:type="dxa"/>
              <w:end w:w="120" w:type="dxa"/>
            </w:tcMar>
            <w:vAlign w:val="center"/>
          </w:tcPr>
          <w:p>
            <w:r>
              <w:rPr>
                <w:rFonts w:ascii="Calibri" w:hAnsi="Calibri"/>
                <w:b w:val="0"/>
                <w:i w:val="0"/>
                <w:color w:val="1F2937"/>
                <w:sz w:val="17"/>
              </w:rPr>
              <w:t>Row-level security — database rules that decide which records each user may see or change.</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RBAC</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Role-based access control — permissions assigned according to job/role.</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SCC</w:t>
            </w:r>
          </w:p>
        </w:tc>
        <w:tc>
          <w:tcPr>
            <w:tcW w:type="dxa" w:w="7160"/>
            <w:tcMar>
              <w:top w:w="80" w:type="dxa"/>
              <w:start w:w="120" w:type="dxa"/>
              <w:bottom w:w="80" w:type="dxa"/>
              <w:end w:w="120" w:type="dxa"/>
            </w:tcMar>
            <w:vAlign w:val="center"/>
          </w:tcPr>
          <w:p>
            <w:r>
              <w:rPr>
                <w:rFonts w:ascii="Calibri" w:hAnsi="Calibri"/>
                <w:b w:val="0"/>
                <w:i w:val="0"/>
                <w:color w:val="1F2937"/>
                <w:sz w:val="17"/>
              </w:rPr>
              <w:t>Standard contractual clauses used as a safeguard for certain cross-border personal-data transfers.</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VERBİS</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Turkish Data Controllers Registry.</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İYS</w:t>
            </w:r>
          </w:p>
        </w:tc>
        <w:tc>
          <w:tcPr>
            <w:tcW w:type="dxa" w:w="7160"/>
            <w:tcMar>
              <w:top w:w="80" w:type="dxa"/>
              <w:start w:w="120" w:type="dxa"/>
              <w:bottom w:w="80" w:type="dxa"/>
              <w:end w:w="120" w:type="dxa"/>
            </w:tcMar>
            <w:vAlign w:val="center"/>
          </w:tcPr>
          <w:p>
            <w:r>
              <w:rPr>
                <w:rFonts w:ascii="Calibri" w:hAnsi="Calibri"/>
                <w:b w:val="0"/>
                <w:i w:val="0"/>
                <w:color w:val="1F2937"/>
                <w:sz w:val="17"/>
              </w:rPr>
              <w:t>Commercial Electronic Message Management System for permissions and rejections.</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EİDS</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Electronic Advertisement Verification System for identity and property-listing authority.</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TTYS</w:t>
            </w:r>
          </w:p>
        </w:tc>
        <w:tc>
          <w:tcPr>
            <w:tcW w:type="dxa" w:w="7160"/>
            <w:tcMar>
              <w:top w:w="80" w:type="dxa"/>
              <w:start w:w="120" w:type="dxa"/>
              <w:bottom w:w="80" w:type="dxa"/>
              <w:end w:w="120" w:type="dxa"/>
            </w:tcMar>
            <w:vAlign w:val="center"/>
          </w:tcPr>
          <w:p>
            <w:r>
              <w:rPr>
                <w:rFonts w:ascii="Calibri" w:hAnsi="Calibri"/>
                <w:b w:val="0"/>
                <w:i w:val="0"/>
                <w:color w:val="1F2937"/>
                <w:sz w:val="17"/>
              </w:rPr>
              <w:t>Real Estate Trade Information System / authorisation administration context.</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KEP</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Registered electronic mail with evidential/legal delivery characteristics.</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PITR</w:t>
            </w:r>
          </w:p>
        </w:tc>
        <w:tc>
          <w:tcPr>
            <w:tcW w:type="dxa" w:w="7160"/>
            <w:tcMar>
              <w:top w:w="80" w:type="dxa"/>
              <w:start w:w="120" w:type="dxa"/>
              <w:bottom w:w="80" w:type="dxa"/>
              <w:end w:w="120" w:type="dxa"/>
            </w:tcMar>
            <w:vAlign w:val="center"/>
          </w:tcPr>
          <w:p>
            <w:r>
              <w:rPr>
                <w:rFonts w:ascii="Calibri" w:hAnsi="Calibri"/>
                <w:b w:val="0"/>
                <w:i w:val="0"/>
                <w:color w:val="1F2937"/>
                <w:sz w:val="17"/>
              </w:rPr>
              <w:t>Point-in-time recovery — restoring a database to a recent time before an incident.</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RTO/RPO</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How quickly service must recover / how much recent data loss is acceptable.</w:t>
            </w:r>
          </w:p>
        </w:tc>
      </w:tr>
      <w:tr>
        <w:trPr>
          <w:cantSplit/>
        </w:trPr>
        <w:tc>
          <w:tcPr>
            <w:tcW w:type="dxa" w:w="2200"/>
            <w:tcMar>
              <w:top w:w="80" w:type="dxa"/>
              <w:start w:w="120" w:type="dxa"/>
              <w:bottom w:w="80" w:type="dxa"/>
              <w:end w:w="120" w:type="dxa"/>
            </w:tcMar>
            <w:vAlign w:val="center"/>
          </w:tcPr>
          <w:p>
            <w:r>
              <w:rPr>
                <w:rFonts w:ascii="Calibri" w:hAnsi="Calibri"/>
                <w:b/>
                <w:i w:val="0"/>
                <w:color w:val="102A43"/>
                <w:sz w:val="17"/>
              </w:rPr>
              <w:t>Idempotency</w:t>
            </w:r>
          </w:p>
        </w:tc>
        <w:tc>
          <w:tcPr>
            <w:tcW w:type="dxa" w:w="7160"/>
            <w:tcMar>
              <w:top w:w="80" w:type="dxa"/>
              <w:start w:w="120" w:type="dxa"/>
              <w:bottom w:w="80" w:type="dxa"/>
              <w:end w:w="120" w:type="dxa"/>
            </w:tcMar>
            <w:vAlign w:val="center"/>
          </w:tcPr>
          <w:p>
            <w:r>
              <w:rPr>
                <w:rFonts w:ascii="Calibri" w:hAnsi="Calibri"/>
                <w:b w:val="0"/>
                <w:i w:val="0"/>
                <w:color w:val="1F2937"/>
                <w:sz w:val="17"/>
              </w:rPr>
              <w:t>A safety property ensuring the same provider event cannot create the same money/action twice.</w:t>
            </w:r>
          </w:p>
        </w:tc>
      </w:tr>
      <w:tr>
        <w:trPr>
          <w:cantSplit/>
        </w:trPr>
        <w:tc>
          <w:tcPr>
            <w:tcW w:type="dxa" w:w="2200"/>
            <w:shd w:fill="F8FAFC"/>
            <w:tcMar>
              <w:top w:w="80" w:type="dxa"/>
              <w:start w:w="120" w:type="dxa"/>
              <w:bottom w:w="80" w:type="dxa"/>
              <w:end w:w="120" w:type="dxa"/>
            </w:tcMar>
            <w:vAlign w:val="center"/>
          </w:tcPr>
          <w:p>
            <w:r>
              <w:rPr>
                <w:rFonts w:ascii="Calibri" w:hAnsi="Calibri"/>
                <w:b/>
                <w:i w:val="0"/>
                <w:color w:val="102A43"/>
                <w:sz w:val="17"/>
              </w:rPr>
              <w:t>Known subtotal</w:t>
            </w:r>
          </w:p>
        </w:tc>
        <w:tc>
          <w:tcPr>
            <w:tcW w:type="dxa" w:w="7160"/>
            <w:shd w:fill="F8FAFC"/>
            <w:tcMar>
              <w:top w:w="80" w:type="dxa"/>
              <w:start w:w="120" w:type="dxa"/>
              <w:bottom w:w="80" w:type="dxa"/>
              <w:end w:w="120" w:type="dxa"/>
            </w:tcMar>
            <w:vAlign w:val="center"/>
          </w:tcPr>
          <w:p>
            <w:r>
              <w:rPr>
                <w:rFonts w:ascii="Calibri" w:hAnsi="Calibri"/>
                <w:b w:val="0"/>
                <w:i w:val="0"/>
                <w:color w:val="1F2937"/>
                <w:sz w:val="17"/>
              </w:rPr>
              <w:t>The sum of priced items only; it is incomplete while quotations remain.</w:t>
            </w:r>
          </w:p>
        </w:tc>
      </w:tr>
    </w:tbl>
    <w:p>
      <w:r>
        <w:br w:type="page"/>
      </w:r>
    </w:p>
    <w:p>
      <w:pPr>
        <w:spacing w:before="3200"/>
        <w:jc w:val="center"/>
      </w:pPr>
      <w:r>
        <w:rPr>
          <w:rFonts w:ascii="Calibri" w:hAnsi="Calibri"/>
          <w:b/>
          <w:i w:val="0"/>
          <w:color w:val="0F766E"/>
          <w:sz w:val="28"/>
        </w:rPr>
        <w:t>END OF MANAGEMENT DECISION PACK</w:t>
      </w:r>
    </w:p>
    <w:p>
      <w:pPr>
        <w:jc w:val="center"/>
      </w:pPr>
      <w:r>
        <w:rPr>
          <w:rFonts w:ascii="Calibri" w:hAnsi="Calibri"/>
          <w:b w:val="0"/>
          <w:i w:val="0"/>
          <w:color w:val="5B6673"/>
          <w:sz w:val="20"/>
        </w:rPr>
        <w:t>Re-check prices, regulations, provider authorisations and entity-specific applicability before procurement or production launch.</w:t>
      </w:r>
    </w:p>
    <w:p>
      <w:pPr>
        <w:jc w:val="center"/>
      </w:pPr>
      <w:r>
        <w:rPr>
          <w:rFonts w:ascii="Calibri" w:hAnsi="Calibri"/>
          <w:b/>
          <w:i w:val="0"/>
          <w:color w:val="102A43"/>
          <w:sz w:val="18"/>
        </w:rPr>
        <w:t>Baseline: 15 July 2026 • STRICTLY CONFIDENTIAL</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673"/>
        <w:sz w:val="16"/>
      </w:rPr>
      <w:t xml:space="preserve">STRICTLY CONFIDENTIAL  •  15 July 2026  •  Page </w:t>
    </w:r>
    <w:r>
      <w:fldChar w:fldCharType="begin"/>
      <w:instrText xml:space="preserve">PAGE</w:instrText>
      <w:fldChar w:fldCharType="end"/>
    </w:r>
    <w:r>
      <w:rPr>
        <w:rFonts w:ascii="Calibri" w:hAnsi="Calibri"/>
        <w:b w:val="0"/>
        <w:i w:val="0"/>
        <w:color w:val="5B6673"/>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0F766E"/>
      </w:pBdr>
    </w:pPr>
    <w:r>
      <w:rPr>
        <w:rFonts w:ascii="Calibri" w:hAnsi="Calibri"/>
        <w:b/>
        <w:i w:val="0"/>
        <w:color w:val="102A43"/>
        <w:sz w:val="17"/>
      </w:rPr>
      <w:t>1Çatı  |  External Integrations, Compliance &amp; Scale Cost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80" w:after="160"/>
    </w:pPr>
    <w:rPr>
      <w:rFonts w:ascii="Calibri" w:hAnsi="Calibri"/>
      <w:i/>
      <w:color w:val="5B6673"/>
      <w:sz w:val="17"/>
    </w:rPr>
  </w:style>
  <w:style w:type="paragraph" w:customStyle="1" w:styleId="ExecutiveLead">
    <w:name w:val="Executive Lead"/>
    <w:pPr>
      <w:spacing w:after="200" w:line="283" w:lineRule="auto"/>
    </w:pPr>
    <w:rPr>
      <w:rFonts w:ascii="Calibri" w:hAnsi="Calibri"/>
      <w:color w:val="102A4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abase.com/pricing" TargetMode="External"/><Relationship Id="rId13" Type="http://schemas.openxmlformats.org/officeDocument/2006/relationships/hyperlink" Target="https://vercel.com/docs/plans/pro-plan" TargetMode="External"/><Relationship Id="rId14" Type="http://schemas.openxmlformats.org/officeDocument/2006/relationships/hyperlink" Target="https://twenty.com/pricing" TargetMode="External"/><Relationship Id="rId15" Type="http://schemas.openxmlformats.org/officeDocument/2006/relationships/hyperlink" Target="https://developers.openai.com/api/docs/models" TargetMode="External"/><Relationship Id="rId16" Type="http://schemas.openxmlformats.org/officeDocument/2006/relationships/hyperlink" Target="https://developers.google.com/maps/billing-and-pricing/pricing" TargetMode="External"/><Relationship Id="rId17" Type="http://schemas.openxmlformats.org/officeDocument/2006/relationships/hyperlink" Target="https://www.iyzico.com/isim-icin/sanal-pos" TargetMode="External"/><Relationship Id="rId18" Type="http://schemas.openxmlformats.org/officeDocument/2006/relationships/hyperlink" Target="https://www.netgsm.com.tr/fiyatlar/otp-sms" TargetMode="External"/><Relationship Id="rId19" Type="http://schemas.openxmlformats.org/officeDocument/2006/relationships/hyperlink" Target="https://trabzon.ticaret.gov.tr/haberler/yetki-belgelerinde-yillik-harc-uygulamasi-basladi" TargetMode="External"/><Relationship Id="rId20" Type="http://schemas.openxmlformats.org/officeDocument/2006/relationships/hyperlink" Target="https://www.turkiye.gov.tr/doviz-kurlari" TargetMode="External"/><Relationship Id="rId21" Type="http://schemas.openxmlformats.org/officeDocument/2006/relationships/image" Target="media/image2.png"/><Relationship Id="rId22" Type="http://schemas.openxmlformats.org/officeDocument/2006/relationships/hyperlink" Target="https://developers.google.com/maps/billing-and-pricing/overview" TargetMode="External"/><Relationship Id="rId23" Type="http://schemas.openxmlformats.org/officeDocument/2006/relationships/hyperlink" Target="https://resend.com/pricing" TargetMode="External"/><Relationship Id="rId24" Type="http://schemas.openxmlformats.org/officeDocument/2006/relationships/hyperlink" Target="https://www.parasut.com/e-fatura" TargetMode="External"/><Relationship Id="rId25" Type="http://schemas.openxmlformats.org/officeDocument/2006/relationships/hyperlink" Target="https://www.netgsm.com.tr/dijital-servisler/e-imza" TargetMode="External"/><Relationship Id="rId26" Type="http://schemas.openxmlformats.org/officeDocument/2006/relationships/hyperlink" Target="https://developers.cloudflare.com/r2/pricing/" TargetMode="External"/><Relationship Id="rId27" Type="http://schemas.openxmlformats.org/officeDocument/2006/relationships/hyperlink" Target="https://www.paytr.com/paytr-sanal-pos" TargetMode="External"/><Relationship Id="rId28" Type="http://schemas.openxmlformats.org/officeDocument/2006/relationships/hyperlink" Target="https://sipay.com.tr/odeme-cozumleri/online-odeme-cozumleri/sanal-pos/" TargetMode="External"/><Relationship Id="rId29" Type="http://schemas.openxmlformats.org/officeDocument/2006/relationships/hyperlink" Target="https://www.tcmb.gov.tr/wps/wcm/connect/TR/TCMB%20TR/Main%20Menu/Temel%20Faaliyetler/Odeme%20Hizmetleri/Elektronik%20Para%20Kuruluslari" TargetMode="External"/><Relationship Id="rId30" Type="http://schemas.openxmlformats.org/officeDocument/2006/relationships/hyperlink" Target="https://www.iletimerkezi.com/toplu-sms-fiyatlari" TargetMode="External"/><Relationship Id="rId31" Type="http://schemas.openxmlformats.org/officeDocument/2006/relationships/hyperlink" Target="https://sendertr.com/" TargetMode="External"/><Relationship Id="rId32" Type="http://schemas.openxmlformats.org/officeDocument/2006/relationships/hyperlink" Target="https://www.btk.gov.tr/kayitli-elektronik-posta-hizmet-saglayicilar" TargetMode="External"/><Relationship Id="rId33" Type="http://schemas.openxmlformats.org/officeDocument/2006/relationships/hyperlink" Target="https://ebelge.gib.gov.tr/anasayfa.html" TargetMode="External"/><Relationship Id="rId34" Type="http://schemas.openxmlformats.org/officeDocument/2006/relationships/hyperlink" Target="https://cdn.gib.gov.tr/api/gibportal-file/file/getFile?objectKey=MEVZUAT_TEBLIGLER%2FUNIVERSAL%2F2026%2FMEVZUAT_TEBLIGLER_2026_VukTeb509_Guncel.pdf" TargetMode="External"/><Relationship Id="rId35" Type="http://schemas.openxmlformats.org/officeDocument/2006/relationships/hyperlink" Target="https://iys.org.tr/" TargetMode="External"/><Relationship Id="rId36" Type="http://schemas.openxmlformats.org/officeDocument/2006/relationships/hyperlink" Target="https://ticaret.gov.tr/haberler/ticaret-bakanligi-sosyal-medyadaki-sahte-ilanlara-gecit-vermiyor-eids-kurallarina-aykiri-paylasimlara-karsi-yaptirimlar-kararlilikla-uygulaniyor" TargetMode="External"/><Relationship Id="rId37" Type="http://schemas.openxmlformats.org/officeDocument/2006/relationships/hyperlink" Target="https://ticaret.gov.tr/haberler/tasinmaz-satislarinda-guvenli-odeme-sisteminin-devreye-alinma-tarihi-1-ekim-2026ya-ertelendi" TargetMode="External"/><Relationship Id="rId38" Type="http://schemas.openxmlformats.org/officeDocument/2006/relationships/hyperlink" Target="https://gib.gov.tr/mevzuat/kanun/434/teblig/7838" TargetMode="External"/><Relationship Id="rId39" Type="http://schemas.openxmlformats.org/officeDocument/2006/relationships/hyperlink" Target="https://www.kvkk.gov.tr/Icerik/2053/Yurtdisina-Aktarim" TargetMode="External"/><Relationship Id="rId40" Type="http://schemas.openxmlformats.org/officeDocument/2006/relationships/hyperlink" Target="https://www.kvkk.gov.tr/Icerik/8170/Yurt-Disina-Kisisel-Veri-Aktariminda-Kullanilacak-Standart-Sozlesmelerde-Dikkat-Edilmesi-Gereken-Hususlara-Iliskin-Kamuoyu-Duyurusu" TargetMode="External"/><Relationship Id="rId41" Type="http://schemas.openxmlformats.org/officeDocument/2006/relationships/hyperlink" Target="https://www.kvkk.gov.tr/Icerik/8388/KAMUOYU-DUYURUSU" TargetMode="External"/><Relationship Id="rId42" Type="http://schemas.openxmlformats.org/officeDocument/2006/relationships/hyperlink" Target="https://www.kvkk.gov.tr/Icerik/5362/Veri-Ihlali-Bildirimi" TargetMode="External"/><Relationship Id="rId43" Type="http://schemas.openxmlformats.org/officeDocument/2006/relationships/hyperlink" Target="https://www.kvkk.gov.tr/Icerik/7353/Cerez-Uygulamalari-Hakkinda-Rehber" TargetMode="External"/><Relationship Id="rId44" Type="http://schemas.openxmlformats.org/officeDocument/2006/relationships/hyperlink" Target="https://www.kvkk.gov.tr/Icerik/8547/Yapay-Zeka-Alaninda-Kisisel-Verilerin-Korunmasina-Dair-Tavsiyeler" TargetMode="External"/><Relationship Id="rId45" Type="http://schemas.openxmlformats.org/officeDocument/2006/relationships/hyperlink" Target="https://www.kvkk.gov.tr/Icerik/8145/2026-Yili-Idari-Para-Cezalari" TargetMode="External"/><Relationship Id="rId46" Type="http://schemas.openxmlformats.org/officeDocument/2006/relationships/hyperlink" Target="https://eids.ticaret.gov.tr/" TargetMode="External"/><Relationship Id="rId47" Type="http://schemas.openxmlformats.org/officeDocument/2006/relationships/hyperlink" Target="https://masak.hmb.gov.tr/yukumluler" TargetMode="External"/><Relationship Id="rId48" Type="http://schemas.openxmlformats.org/officeDocument/2006/relationships/hyperlink" Target="https://platform.openai.com/docs/models/default-usage-policies-by-endpoint" TargetMode="External"/><Relationship Id="rId49" Type="http://schemas.openxmlformats.org/officeDocument/2006/relationships/hyperlink" Target="https://sentry.io/pricing/" TargetMode="External"/><Relationship Id="rId50" Type="http://schemas.openxmlformats.org/officeDocument/2006/relationships/hyperlink" Target="https://docs.twenty.com/user-guide/billing/capabilities/pricing-plans" TargetMode="External"/><Relationship Id="rId51" Type="http://schemas.openxmlformats.org/officeDocument/2006/relationships/hyperlink" Target="https://www.turkcell.com.tr/kurumsal/dijital-is-servisleri/dijital-mesajlasma-servisleri" TargetMode="External"/><Relationship Id="rId52" Type="http://schemas.openxmlformats.org/officeDocument/2006/relationships/hyperlink" Target="https://metunic.com.tr/fiyat-liste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External Integrations, Turkish Compliance &amp; Scale-Cost Blueprint</dc:title>
  <dc:subject>Executive decision pack for demo-to-production planning</dc:subject>
  <dc:creator/>
  <cp:keywords>1Çatı, Ataberk Estate, integrations, Turkey, KVKK, costs, scale</cp:keywords>
  <dc:description>STRICTLY CONFIDENTIAL — planning baseline checked 15 July 2026</dc:description>
  <cp:lastModifiedBy/>
  <cp:revision>1</cp:revision>
  <dcterms:created xsi:type="dcterms:W3CDTF">2013-12-23T23:15:00Z</dcterms:created>
  <dcterms:modified xsi:type="dcterms:W3CDTF">2013-12-23T23:15:00Z</dcterms:modified>
  <cp:category/>
</cp:coreProperties>
</file>