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 Research Annex</w:t>
      </w:r>
    </w:p>
    <w:p>
      <w:pPr>
        <w:pStyle w:val="Heading1"/>
      </w:pPr>
      <w:r>
        <w:t>AI-Powered Residential Site Management CRM</w:t>
      </w:r>
    </w:p>
    <w:p>
      <w:pPr>
        <w:spacing w:after="120"/>
      </w:pPr>
      <w:r>
        <w:t>Version: 0.3</w:t>
      </w:r>
    </w:p>
    <w:p>
      <w:pPr>
        <w:spacing w:after="120"/>
      </w:pPr>
      <w:r>
        <w:t>Date: 26 June 2026</w:t>
      </w:r>
    </w:p>
    <w:p>
      <w:pPr>
        <w:spacing w:after="120"/>
      </w:pPr>
      <w:r>
        <w:t>Purpose: Phase-by-phase market research and best-practice comparison for the 15-phase delivery plan.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Executive At-A-Glance</w:t>
      </w:r>
    </w:p>
    <w:p>
      <w:pPr>
        <w:pStyle w:val="ListBullet"/>
        <w:spacing w:after="80"/>
      </w:pPr>
      <w:r>
        <w:t>Turkish benchmarks show that aidat, payments, resident access, communication, reservations, reporting and support are baseline expectations.</w:t>
      </w:r>
    </w:p>
    <w:p>
      <w:pPr>
        <w:pStyle w:val="ListBullet"/>
        <w:spacing w:after="80"/>
      </w:pPr>
      <w:r>
        <w:t>The strongest proposal angle is not another basic CRM; it is a finance-first operating system with real service desk workflows.</w:t>
      </w:r>
    </w:p>
    <w:p>
      <w:pPr>
        <w:pStyle w:val="ListBullet"/>
        <w:spacing w:after="80"/>
      </w:pPr>
      <w:r>
        <w:t>AI should be positioned as a controlled assistant for triage, briefing, anomaly detection and reporting, not as an autonomous decision-maker.</w:t>
      </w:r>
    </w:p>
    <w:p>
      <w:pPr>
        <w:pStyle w:val="Heading1"/>
      </w:pPr>
      <w:r>
        <w:t>Reader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Item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Detail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Document type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Market Research Annex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Primary 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Strategy, sales, product and delivery leadership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Status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Current delivery baseline v0.3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Last reconciled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26 June 2026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Confidentiality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STRICTLY CONFIDENTIAL</w:t>
            </w:r>
          </w:p>
        </w:tc>
      </w:tr>
    </w:tbl>
    <w:p/>
    <w:p>
      <w:pPr>
        <w:pStyle w:val="Heading1"/>
      </w:pPr>
      <w:r>
        <w:t>Visual Navigation</w:t>
      </w:r>
    </w:p>
    <w:p>
      <w:pPr>
        <w:pStyle w:val="ListBullet"/>
        <w:spacing w:after="80"/>
      </w:pPr>
      <w:r>
        <w:t>Market Benchmark Implications (source retained in this Markdown; regenerate a rendered diagram only when a stakeholder export explicitly needs it)</w:t>
      </w:r>
    </w:p>
    <w:p>
      <w:pPr>
        <w:pStyle w:val="Heading1"/>
      </w:pPr>
      <w:r>
        <w:t>Current Use Note</w:t>
      </w:r>
    </w:p>
    <w:p>
      <w:pPr>
        <w:spacing w:after="120"/>
      </w:pPr>
      <w:r>
        <w:t>This annex supports the 15-phase delivery plan and product positioning. It is planning evidence, not current implementation proof. Current implementation status is maintained in docs/PROJECT-HANDBOOK.md.</w:t>
      </w:r>
    </w:p>
    <w:p>
      <w:pPr>
        <w:pStyle w:val="Heading1"/>
      </w:pPr>
      <w:r>
        <w:t>1. Research Position</w:t>
      </w:r>
    </w:p>
    <w:p>
      <w:pPr>
        <w:spacing w:after="120"/>
      </w:pPr>
      <w:r>
        <w:t>The client request should be treated as a full residential operations platform, not a simple CRM. Market research shows that serious competitors already provide property accounting, payments, resident/owner portals, service requests, maintenance workflows, mobile access, communication, reporting, integrations, onboarding and increasingly AI assistance.</w:t>
      </w:r>
    </w:p>
    <w:p>
      <w:pPr>
        <w:spacing w:after="120"/>
      </w:pPr>
      <w:r>
        <w:t>The correct business response is to match the client's mandatory scope and add AI, workflow clarity, premium web/PWA UX, stronger reporting, and Turkish-localized service delivery.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2. Competitor And Best-Practice Sources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Source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Relevant Findings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Apsiyon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baseline for aidat tracking, bank integrations, card collection, reservation, manager/resident mobile, access control, meter/billing, email/SMS and AI assistant positioning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Senyonet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site/facility software benchmark for communication/public relations, finance, accounting, security, reservations, document management, support and training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Yönetimcell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usability benchmark for aidat tracking, bank integration, credit card/Masterpass collection, resident payment access, reporting/Excel export and staff job tracking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Aidatım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hybrid benchmark combining management software, private assistant, accounting/legal support, migration/setup, bank matching, reports, meter billing and e-mail/SMS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Siteplus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Adjacent integrated facility management benchmark for professional site management, security, cleaning, technical maintenance and field operations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Buildium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property management baseline: accounting, payments, maintenance requests, resident center, owner portal, leasing, marketplace, open API, automation and AI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Yardi Breeze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baseline: online balances/payments, automated rent/fee posting, maintenance requests, smartphone photos/videos, accounting and owner reports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DoorLoop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baseline: accounting, bank sync, financial reports, leasing, CRM, maintenance, mobile app, owner portal, file storage, rent collection, tenant management, communication and AI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Atlassian Jira Service Management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Ticketing/service desk baseline: request intake, incident/request workflows, SLA, assignment, automation, reporting and AI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web.dev PWA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PWA baseline: installable mobile web experience, one codebase, service worker/caching capabilities and app-like web behavior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OWASP ASVS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Security baseline for authentication, access control, validation, logging, API security and data protection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KVKK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data protection baseline for personal data processing, purpose limitation, proportionate processing and protection obligations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3. Phase-By-Phase Market Research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Phase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What The Market Does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Best Practice For Our Product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AI / Time-Saving Add-On</w:t>
            </w:r>
          </w:p>
        </w:tc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F172A"/>
                <w:sz w:val="18"/>
              </w:rPr>
              <w:t>Turkish Adaptation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1. Discovery and benchmark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Competitors sell onboarding, migration and training, not only software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Start with operating model, finance rules, integration inventory and data migration plan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meeting summaries, gap analysis and scope checklist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examples, clear business language, visible implementation confidence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2. UX/UI design system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Market leaders emphasize simple portals, dashboards and guided workflows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Role-based navigation, calm dashboard, clear statuses and mobile-first resident/staff flows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briefing cards and next-best-action prompts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Turkish-first wording, respectful tone, low clutter, visible support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3. Platform foundation, auth, RBAC, audit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Mature platforms restrict owner/resident/staff access and preserve operational logs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Auth, RBAC, RLS, audit logs and secure admin settings from day one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audit summary and unusual action detection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Trust depends on "who did what and when" clarity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4. Site/block/flat/import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Competitors support migration from Excel and structured property setup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769-flat matrix, import preview, validation and data quality dashboard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duplicate/missing-data detection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Managers commonly rely on spreadsheets; import must be simple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5. User/owner/tenant/staff management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Owner portals, resident centers and tenant management are standard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Profile, documents, relationships, identity status, staff groups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duplicate contacts and missing document alerts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Strong privacy and clear contact/SMS support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6. Financial ledger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Accounting is a core market feature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Ledger-based balances, accruals, statements, reversals and exports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balance explanation and anomaly detection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Financial disputes require official, traceable records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7. Payments/deposits/restrictions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Online bank/card collection and automated payments are standard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Payment provider, bank import, reconciliation, deposit lifecycle, debt rules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unmatched payment suggestions and debt-risk ranking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Debt language must be firm, clear and respectful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8. Service catalogue/order flow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Maintenance and service requests are expected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Service catalogue, debt check, payment/debit, order, ticket, notification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category, urgency and SLA suggestions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Show price/SLA before confirmation; explain blocked requests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9. Tasks/workforce/SLA/media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Global tools support maintenance photos/videos, notes and progress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Ticket board, staff PWA, SLA, media report, tour control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routing, duplicate ticket detection and workload balancing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Staff need simple mobile screens and managers need proof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10. Booking/move-in/checkout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Reservation/leasing workflows are common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Availability, payment, deposit, move-in tasks, access, checkout settlement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booking conflict and checkout risk summaries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Deposits and access changes need clear documentation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11. Communication/documents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Portals, email/SMS, files and chat are standard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Linked chat, announcements, delivery logs, document vault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reply drafts, summaries and announcement drafts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SMS/email still important; official communication should stay in system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12. Web/PWA mobile experience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Mobile apps are common; PWA can satisfy mobile access faster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Responsive web app, installable PWA, mobile staff/resident workflows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Mobile AI help and voice-ready Turkish commands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Works for users who do not want app store installation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13. Integrations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Market differentiators include payment, banks, access, meters and APIs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Adapter layer, webhooks, retries, integration health and manual fallback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integration failure summaries and anomaly alerts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Local vendors vary; fallback process must be planned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14. AI and analytics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assistants are increasingly promoted by competitors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Manager/accountant/resident/staff AI, recommendations, approval workflow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Daily briefing, anomaly detection, predictive maintenance, report generation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Turkish quality and human approval are critical for trust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15. QA/security/UAT/training/launch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Competitors sell support and implementation services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UAT scripts, security review, training, launch runbook, monitoring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AI test assistance and support triage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Hands-on launch support and role-specific training are essential</w:t>
            </w:r>
          </w:p>
        </w:tc>
      </w:tr>
    </w:tbl>
    <w:p/>
    <w:p>
      <w:pPr>
        <w:pBdr>
          <w:bottom w:val="single" w:sz="6" w:space="1" w:color="D9D9D9"/>
        </w:pBdr>
      </w:pPr>
    </w:p>
    <w:p>
      <w:pPr>
        <w:pStyle w:val="Heading1"/>
      </w:pPr>
      <w:r>
        <w:t>4. Market Gap Opportunities</w:t>
      </w:r>
    </w:p>
    <w:p>
      <w:pPr>
        <w:spacing w:after="120"/>
      </w:pPr>
      <w:r>
        <w:t>The strongest competitive opportunities are:</w:t>
      </w:r>
    </w:p>
    <w:p>
      <w:pPr>
        <w:pStyle w:val="ListNumber"/>
        <w:spacing w:after="80"/>
      </w:pPr>
      <w:r>
        <w:t>Combine Turkish site management needs with a modern global SaaS UX.</w:t>
      </w:r>
    </w:p>
    <w:p>
      <w:pPr>
        <w:pStyle w:val="ListNumber"/>
        <w:spacing w:after="80"/>
      </w:pPr>
      <w:r>
        <w:t>Replace vague "service management" with a real service desk/ticketing system.</w:t>
      </w:r>
    </w:p>
    <w:p>
      <w:pPr>
        <w:pStyle w:val="ListNumber"/>
        <w:spacing w:after="80"/>
      </w:pPr>
      <w:r>
        <w:t>Build a true finance ledger, not a simple balance table.</w:t>
      </w:r>
    </w:p>
    <w:p>
      <w:pPr>
        <w:pStyle w:val="ListNumber"/>
        <w:spacing w:after="80"/>
      </w:pPr>
      <w:r>
        <w:t>Make debt restrictions configurable, auditable and transparent.</w:t>
      </w:r>
    </w:p>
    <w:p>
      <w:pPr>
        <w:pStyle w:val="ListNumber"/>
        <w:spacing w:after="80"/>
      </w:pPr>
      <w:r>
        <w:t>Use PWA to deliver mobile access faster than native development.</w:t>
      </w:r>
    </w:p>
    <w:p>
      <w:pPr>
        <w:pStyle w:val="ListNumber"/>
        <w:spacing w:after="80"/>
      </w:pPr>
      <w:r>
        <w:t>Add AI, but keep AI controlled with human approval.</w:t>
      </w:r>
    </w:p>
    <w:p>
      <w:pPr>
        <w:pStyle w:val="ListNumber"/>
        <w:spacing w:after="80"/>
      </w:pPr>
      <w:r>
        <w:t>Make the dashboard action-oriented, not only informational.</w:t>
      </w:r>
    </w:p>
    <w:p>
      <w:pPr>
        <w:pStyle w:val="ListNumber"/>
        <w:spacing w:after="80"/>
      </w:pPr>
      <w:r>
        <w:t>Treat support, migration and training as part of the product offer.</w:t>
      </w:r>
    </w:p>
    <w:p>
      <w:pPr>
        <w:pStyle w:val="ListNumber"/>
        <w:spacing w:after="80"/>
      </w:pPr>
      <w:r>
        <w:t>Make access integrations auditable and failure-aware.</w:t>
      </w:r>
    </w:p>
    <w:p>
      <w:pPr>
        <w:pStyle w:val="ListNumber"/>
        <w:spacing w:after="80"/>
      </w:pPr>
      <w:r>
        <w:t>Make Turkish copy, SMS/email, receipts and official-looking statements central to trust.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5. Top Five Turkey Player Deep-Dive</w:t>
      </w:r>
    </w:p>
    <w:p>
      <w:pPr>
        <w:spacing w:after="120"/>
      </w:pPr>
      <w:r>
        <w:t>These five players are included because they are publicly visible and relevant to the client's requested scope. They should be treated as benchmarks, not as a legally ranked market-share list.</w:t>
      </w:r>
    </w:p>
    <w:p>
      <w:pPr>
        <w:pStyle w:val="Heading2"/>
      </w:pPr>
      <w:r>
        <w:t>5.1 Apsiyon</w:t>
      </w:r>
    </w:p>
    <w:p>
      <w:pPr>
        <w:spacing w:after="120"/>
      </w:pPr>
      <w:r>
        <w:t>Observed capabilities:</w:t>
      </w:r>
    </w:p>
    <w:p>
      <w:pPr>
        <w:pStyle w:val="ListBullet"/>
        <w:spacing w:after="80"/>
      </w:pPr>
      <w:r>
        <w:t>Aidat tracking.</w:t>
      </w:r>
    </w:p>
    <w:p>
      <w:pPr>
        <w:pStyle w:val="ListBullet"/>
        <w:spacing w:after="80"/>
      </w:pPr>
      <w:r>
        <w:t>Online bank integrations.</w:t>
      </w:r>
    </w:p>
    <w:p>
      <w:pPr>
        <w:pStyle w:val="ListBullet"/>
        <w:spacing w:after="80"/>
      </w:pPr>
      <w:r>
        <w:t>Card collection.</w:t>
      </w:r>
    </w:p>
    <w:p>
      <w:pPr>
        <w:pStyle w:val="ListBullet"/>
        <w:spacing w:after="80"/>
      </w:pPr>
      <w:r>
        <w:t>Reservation.</w:t>
      </w:r>
    </w:p>
    <w:p>
      <w:pPr>
        <w:pStyle w:val="ListBullet"/>
        <w:spacing w:after="80"/>
      </w:pPr>
      <w:r>
        <w:t>Free website.</w:t>
      </w:r>
    </w:p>
    <w:p>
      <w:pPr>
        <w:pStyle w:val="ListBullet"/>
        <w:spacing w:after="80"/>
      </w:pPr>
      <w:r>
        <w:t>Manager mobile.</w:t>
      </w:r>
    </w:p>
    <w:p>
      <w:pPr>
        <w:pStyle w:val="ListBullet"/>
        <w:spacing w:after="80"/>
      </w:pPr>
      <w:r>
        <w:t>E-mail and SMS.</w:t>
      </w:r>
    </w:p>
    <w:p>
      <w:pPr>
        <w:pStyle w:val="ListBullet"/>
        <w:spacing w:after="80"/>
      </w:pPr>
      <w:r>
        <w:t>Access control products.</w:t>
      </w:r>
    </w:p>
    <w:p>
      <w:pPr>
        <w:pStyle w:val="ListBullet"/>
        <w:spacing w:after="80"/>
      </w:pPr>
      <w:r>
        <w:t>Meter reading and billing.</w:t>
      </w:r>
    </w:p>
    <w:p>
      <w:pPr>
        <w:pStyle w:val="ListBullet"/>
        <w:spacing w:after="80"/>
      </w:pPr>
      <w:r>
        <w:t>AI assistants and digital-assistant positioning.</w:t>
      </w:r>
    </w:p>
    <w:p>
      <w:pPr>
        <w:spacing w:after="120"/>
      </w:pPr>
      <w:r>
        <w:t>Implications:</w:t>
      </w:r>
    </w:p>
    <w:p>
      <w:pPr>
        <w:pStyle w:val="ListBullet"/>
        <w:spacing w:after="80"/>
      </w:pPr>
      <w:r>
        <w:t>Our product must include finance, payments, communication and reservation as baseline.</w:t>
      </w:r>
    </w:p>
    <w:p>
      <w:pPr>
        <w:pStyle w:val="ListBullet"/>
        <w:spacing w:after="80"/>
      </w:pPr>
      <w:r>
        <w:t>Access and meter integrations should be planned even if not launched in phase one.</w:t>
      </w:r>
    </w:p>
    <w:p>
      <w:pPr>
        <w:pStyle w:val="ListBullet"/>
        <w:spacing w:after="80"/>
      </w:pPr>
      <w:r>
        <w:t>AI should be useful in real operational scenarios: debt, request triage, reporting and anomaly detection.</w:t>
      </w:r>
    </w:p>
    <w:p>
      <w:pPr>
        <w:pStyle w:val="Heading2"/>
      </w:pPr>
      <w:r>
        <w:t>5.2 Senyonet</w:t>
      </w:r>
    </w:p>
    <w:p>
      <w:pPr>
        <w:spacing w:after="120"/>
      </w:pPr>
      <w:r>
        <w:t>Observed capabilities:</w:t>
      </w:r>
    </w:p>
    <w:p>
      <w:pPr>
        <w:pStyle w:val="ListBullet"/>
        <w:spacing w:after="80"/>
      </w:pPr>
      <w:r>
        <w:t>Site, apartment, facility, hotel, office, AVM and management-company positioning.</w:t>
      </w:r>
    </w:p>
    <w:p>
      <w:pPr>
        <w:pStyle w:val="ListBullet"/>
        <w:spacing w:after="80"/>
      </w:pPr>
      <w:r>
        <w:t>Public relations/communication module.</w:t>
      </w:r>
    </w:p>
    <w:p>
      <w:pPr>
        <w:pStyle w:val="ListBullet"/>
        <w:spacing w:after="80"/>
      </w:pPr>
      <w:r>
        <w:t>Finance module.</w:t>
      </w:r>
    </w:p>
    <w:p>
      <w:pPr>
        <w:pStyle w:val="ListBullet"/>
        <w:spacing w:after="80"/>
      </w:pPr>
      <w:r>
        <w:t>Accounting module.</w:t>
      </w:r>
    </w:p>
    <w:p>
      <w:pPr>
        <w:pStyle w:val="ListBullet"/>
        <w:spacing w:after="80"/>
      </w:pPr>
      <w:r>
        <w:t>Security module.</w:t>
      </w:r>
    </w:p>
    <w:p>
      <w:pPr>
        <w:pStyle w:val="ListBullet"/>
        <w:spacing w:after="80"/>
      </w:pPr>
      <w:r>
        <w:t>Requests, announcements, events, reservations and document management.</w:t>
      </w:r>
    </w:p>
    <w:p>
      <w:pPr>
        <w:pStyle w:val="ListBullet"/>
        <w:spacing w:after="80"/>
      </w:pPr>
      <w:r>
        <w:t>Bank, cash and current account visibility.</w:t>
      </w:r>
    </w:p>
    <w:p>
      <w:pPr>
        <w:pStyle w:val="ListBullet"/>
        <w:spacing w:after="80"/>
      </w:pPr>
      <w:r>
        <w:t>Collections, invoicing, budgeting and reporting.</w:t>
      </w:r>
    </w:p>
    <w:p>
      <w:pPr>
        <w:pStyle w:val="ListBullet"/>
        <w:spacing w:after="80"/>
      </w:pPr>
      <w:r>
        <w:t>Visitor, personnel, cargo and vehicle tracking.</w:t>
      </w:r>
    </w:p>
    <w:p>
      <w:pPr>
        <w:pStyle w:val="ListBullet"/>
        <w:spacing w:after="80"/>
      </w:pPr>
      <w:r>
        <w:t>Support and training.</w:t>
      </w:r>
    </w:p>
    <w:p>
      <w:pPr>
        <w:spacing w:after="120"/>
      </w:pPr>
      <w:r>
        <w:t>Implications:</w:t>
      </w:r>
    </w:p>
    <w:p>
      <w:pPr>
        <w:pStyle w:val="ListBullet"/>
        <w:spacing w:after="80"/>
      </w:pPr>
      <w:r>
        <w:t>Our platform must support connected operations, not only CRM records.</w:t>
      </w:r>
    </w:p>
    <w:p>
      <w:pPr>
        <w:pStyle w:val="ListBullet"/>
        <w:spacing w:after="80"/>
      </w:pPr>
      <w:r>
        <w:t>Security/visitor workflows should be considered in access/integration planning.</w:t>
      </w:r>
    </w:p>
    <w:p>
      <w:pPr>
        <w:pStyle w:val="ListBullet"/>
        <w:spacing w:after="80"/>
      </w:pPr>
      <w:r>
        <w:t>Support/training should be part of the delivery model.</w:t>
      </w:r>
    </w:p>
    <w:p>
      <w:pPr>
        <w:pStyle w:val="Heading2"/>
      </w:pPr>
      <w:r>
        <w:t>5.3 Yönetimcell</w:t>
      </w:r>
    </w:p>
    <w:p>
      <w:pPr>
        <w:spacing w:after="120"/>
      </w:pPr>
      <w:r>
        <w:t>Observed capabilities:</w:t>
      </w:r>
    </w:p>
    <w:p>
      <w:pPr>
        <w:pStyle w:val="ListBullet"/>
        <w:spacing w:after="80"/>
      </w:pPr>
      <w:r>
        <w:t>Aidat tracking.</w:t>
      </w:r>
    </w:p>
    <w:p>
      <w:pPr>
        <w:pStyle w:val="ListBullet"/>
        <w:spacing w:after="80"/>
      </w:pPr>
      <w:r>
        <w:t>Online bank integration.</w:t>
      </w:r>
    </w:p>
    <w:p>
      <w:pPr>
        <w:pStyle w:val="ListBullet"/>
        <w:spacing w:after="80"/>
      </w:pPr>
      <w:r>
        <w:t>Credit card and Masterpass collection.</w:t>
      </w:r>
    </w:p>
    <w:p>
      <w:pPr>
        <w:pStyle w:val="ListBullet"/>
        <w:spacing w:after="80"/>
      </w:pPr>
      <w:r>
        <w:t>Resident account/payment access.</w:t>
      </w:r>
    </w:p>
    <w:p>
      <w:pPr>
        <w:pStyle w:val="ListBullet"/>
        <w:spacing w:after="80"/>
      </w:pPr>
      <w:r>
        <w:t>Reports and Excel exports.</w:t>
      </w:r>
    </w:p>
    <w:p>
      <w:pPr>
        <w:pStyle w:val="ListBullet"/>
        <w:spacing w:after="80"/>
      </w:pPr>
      <w:r>
        <w:t>Multi-site/apartment management.</w:t>
      </w:r>
    </w:p>
    <w:p>
      <w:pPr>
        <w:pStyle w:val="ListBullet"/>
        <w:spacing w:after="80"/>
      </w:pPr>
      <w:r>
        <w:t>Manager mobile app.</w:t>
      </w:r>
    </w:p>
    <w:p>
      <w:pPr>
        <w:pStyle w:val="ListBullet"/>
        <w:spacing w:after="80"/>
      </w:pPr>
      <w:r>
        <w:t>Resident aidat tracking app.</w:t>
      </w:r>
    </w:p>
    <w:p>
      <w:pPr>
        <w:pStyle w:val="ListBullet"/>
        <w:spacing w:after="80"/>
      </w:pPr>
      <w:r>
        <w:t>Staff job-tracking app.</w:t>
      </w:r>
    </w:p>
    <w:p>
      <w:pPr>
        <w:spacing w:after="120"/>
      </w:pPr>
      <w:r>
        <w:t>Implications:</w:t>
      </w:r>
    </w:p>
    <w:p>
      <w:pPr>
        <w:pStyle w:val="ListBullet"/>
        <w:spacing w:after="80"/>
      </w:pPr>
      <w:r>
        <w:t>Simplicity and learnability are competitive advantages in Turkey.</w:t>
      </w:r>
    </w:p>
    <w:p>
      <w:pPr>
        <w:pStyle w:val="ListBullet"/>
        <w:spacing w:after="80"/>
      </w:pPr>
      <w:r>
        <w:t>Export and reporting are mandatory for managers and management companies.</w:t>
      </w:r>
    </w:p>
    <w:p>
      <w:pPr>
        <w:pStyle w:val="ListBullet"/>
        <w:spacing w:after="80"/>
      </w:pPr>
      <w:r>
        <w:t>Staff job tracking validates the need for a proper ticket/task module.</w:t>
      </w:r>
    </w:p>
    <w:p>
      <w:pPr>
        <w:pStyle w:val="ListBullet"/>
        <w:spacing w:after="80"/>
      </w:pPr>
      <w:r>
        <w:t>PWA must cover the core value of mobile apps without delaying launch.</w:t>
      </w:r>
    </w:p>
    <w:p>
      <w:pPr>
        <w:pStyle w:val="Heading2"/>
      </w:pPr>
      <w:r>
        <w:t>5.4 Aidatım</w:t>
      </w:r>
    </w:p>
    <w:p>
      <w:pPr>
        <w:spacing w:after="120"/>
      </w:pPr>
      <w:r>
        <w:t>Observed capabilities:</w:t>
      </w:r>
    </w:p>
    <w:p>
      <w:pPr>
        <w:pStyle w:val="ListBullet"/>
        <w:spacing w:after="80"/>
      </w:pPr>
      <w:r>
        <w:t>Private assistant.</w:t>
      </w:r>
    </w:p>
    <w:p>
      <w:pPr>
        <w:pStyle w:val="ListBullet"/>
        <w:spacing w:after="80"/>
      </w:pPr>
      <w:r>
        <w:t>Management software.</w:t>
      </w:r>
    </w:p>
    <w:p>
      <w:pPr>
        <w:pStyle w:val="ListBullet"/>
        <w:spacing w:after="80"/>
      </w:pPr>
      <w:r>
        <w:t>Accounting support.</w:t>
      </w:r>
    </w:p>
    <w:p>
      <w:pPr>
        <w:pStyle w:val="ListBullet"/>
        <w:spacing w:after="80"/>
      </w:pPr>
      <w:r>
        <w:t>Legal support.</w:t>
      </w:r>
    </w:p>
    <w:p>
      <w:pPr>
        <w:pStyle w:val="ListBullet"/>
        <w:spacing w:after="80"/>
      </w:pPr>
      <w:r>
        <w:t>Setup and transition help.</w:t>
      </w:r>
    </w:p>
    <w:p>
      <w:pPr>
        <w:pStyle w:val="ListBullet"/>
        <w:spacing w:after="80"/>
      </w:pPr>
      <w:r>
        <w:t>Credit card collection.</w:t>
      </w:r>
    </w:p>
    <w:p>
      <w:pPr>
        <w:pStyle w:val="ListBullet"/>
        <w:spacing w:after="80"/>
      </w:pPr>
      <w:r>
        <w:t>Bank account tracking with smart matching.</w:t>
      </w:r>
    </w:p>
    <w:p>
      <w:pPr>
        <w:pStyle w:val="ListBullet"/>
        <w:spacing w:after="80"/>
      </w:pPr>
      <w:r>
        <w:t>Leave and payroll.</w:t>
      </w:r>
    </w:p>
    <w:p>
      <w:pPr>
        <w:pStyle w:val="ListBullet"/>
        <w:spacing w:after="80"/>
      </w:pPr>
      <w:r>
        <w:t>Monthly/yearly analysis and reports.</w:t>
      </w:r>
    </w:p>
    <w:p>
      <w:pPr>
        <w:pStyle w:val="ListBullet"/>
        <w:spacing w:after="80"/>
      </w:pPr>
      <w:r>
        <w:t>Current account tracking and expense sharing.</w:t>
      </w:r>
    </w:p>
    <w:p>
      <w:pPr>
        <w:pStyle w:val="ListBullet"/>
        <w:spacing w:after="80"/>
      </w:pPr>
      <w:r>
        <w:t>Meter reading and billing.</w:t>
      </w:r>
    </w:p>
    <w:p>
      <w:pPr>
        <w:pStyle w:val="ListBullet"/>
        <w:spacing w:after="80"/>
      </w:pPr>
      <w:r>
        <w:t>E-mail and SMS.</w:t>
      </w:r>
    </w:p>
    <w:p>
      <w:pPr>
        <w:pStyle w:val="ListBullet"/>
        <w:spacing w:after="80"/>
      </w:pPr>
      <w:r>
        <w:t>Account sharing.</w:t>
      </w:r>
    </w:p>
    <w:p>
      <w:pPr>
        <w:spacing w:after="120"/>
      </w:pPr>
      <w:r>
        <w:t>Implications:</w:t>
      </w:r>
    </w:p>
    <w:p>
      <w:pPr>
        <w:pStyle w:val="ListBullet"/>
        <w:spacing w:after="80"/>
      </w:pPr>
      <w:r>
        <w:t>Migration, setup and support must be part of the offer.</w:t>
      </w:r>
    </w:p>
    <w:p>
      <w:pPr>
        <w:pStyle w:val="ListBullet"/>
        <w:spacing w:after="80"/>
      </w:pPr>
      <w:r>
        <w:t>Smart reconciliation should be included in finance roadmap.</w:t>
      </w:r>
    </w:p>
    <w:p>
      <w:pPr>
        <w:pStyle w:val="ListBullet"/>
        <w:spacing w:after="80"/>
      </w:pPr>
      <w:r>
        <w:t>Payroll/leave can remain non-goal for launch but should be extensible later.</w:t>
      </w:r>
    </w:p>
    <w:p>
      <w:pPr>
        <w:pStyle w:val="ListBullet"/>
        <w:spacing w:after="80"/>
      </w:pPr>
      <w:r>
        <w:t>Legal review is required for debt, access and collection workflows.</w:t>
      </w:r>
    </w:p>
    <w:p>
      <w:pPr>
        <w:pStyle w:val="Heading2"/>
      </w:pPr>
      <w:r>
        <w:t>5.5 Siteplus</w:t>
      </w:r>
    </w:p>
    <w:p>
      <w:pPr>
        <w:spacing w:after="120"/>
      </w:pPr>
      <w:r>
        <w:t>Observed capabilities:</w:t>
      </w:r>
    </w:p>
    <w:p>
      <w:pPr>
        <w:pStyle w:val="ListBullet"/>
        <w:spacing w:after="80"/>
      </w:pPr>
      <w:r>
        <w:t>Integrated facility management.</w:t>
      </w:r>
    </w:p>
    <w:p>
      <w:pPr>
        <w:pStyle w:val="ListBullet"/>
        <w:spacing w:after="80"/>
      </w:pPr>
      <w:r>
        <w:t>Professional site management.</w:t>
      </w:r>
    </w:p>
    <w:p>
      <w:pPr>
        <w:pStyle w:val="ListBullet"/>
        <w:spacing w:after="80"/>
      </w:pPr>
      <w:r>
        <w:t>Private security.</w:t>
      </w:r>
    </w:p>
    <w:p>
      <w:pPr>
        <w:pStyle w:val="ListBullet"/>
        <w:spacing w:after="80"/>
      </w:pPr>
      <w:r>
        <w:t>Cleaning.</w:t>
      </w:r>
    </w:p>
    <w:p>
      <w:pPr>
        <w:pStyle w:val="ListBullet"/>
        <w:spacing w:after="80"/>
      </w:pPr>
      <w:r>
        <w:t>Alarm monitoring.</w:t>
      </w:r>
    </w:p>
    <w:p>
      <w:pPr>
        <w:pStyle w:val="ListBullet"/>
        <w:spacing w:after="80"/>
      </w:pPr>
      <w:r>
        <w:t>Landscaping.</w:t>
      </w:r>
    </w:p>
    <w:p>
      <w:pPr>
        <w:pStyle w:val="ListBullet"/>
        <w:spacing w:after="80"/>
      </w:pPr>
      <w:r>
        <w:t>Pest control and disinfection.</w:t>
      </w:r>
    </w:p>
    <w:p>
      <w:pPr>
        <w:pStyle w:val="ListBullet"/>
        <w:spacing w:after="80"/>
      </w:pPr>
      <w:r>
        <w:t>Technical maintenance and repair.</w:t>
      </w:r>
    </w:p>
    <w:p>
      <w:pPr>
        <w:spacing w:after="120"/>
      </w:pPr>
      <w:r>
        <w:t>Implications:</w:t>
      </w:r>
    </w:p>
    <w:p>
      <w:pPr>
        <w:pStyle w:val="ListBullet"/>
        <w:spacing w:after="80"/>
      </w:pPr>
      <w:r>
        <w:t>Our service module must support real field operations.</w:t>
      </w:r>
    </w:p>
    <w:p>
      <w:pPr>
        <w:pStyle w:val="ListBullet"/>
        <w:spacing w:after="80"/>
      </w:pPr>
      <w:r>
        <w:t>Work queues should cover cleaning, security, repair and technical maintenance.</w:t>
      </w:r>
    </w:p>
    <w:p>
      <w:pPr>
        <w:pStyle w:val="ListBullet"/>
        <w:spacing w:after="80"/>
      </w:pPr>
      <w:r>
        <w:t>Media evidence, SLA, staff/contractor assignment and incident tracking are critical.</w:t>
      </w:r>
    </w:p>
    <w:p>
      <w:pPr>
        <w:pStyle w:val="ListBullet"/>
        <w:spacing w:after="80"/>
      </w:pPr>
      <w:r>
        <w:t>The system should work for a professional facility management company, not only resident self-service.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6. Edge-Case Coverage Summary</w:t>
      </w:r>
    </w:p>
    <w:p>
      <w:pPr>
        <w:spacing w:after="120"/>
      </w:pPr>
      <w:r>
        <w:t>The expanded BRD/TRD now includes edge cases across:</w:t>
      </w:r>
    </w:p>
    <w:p>
      <w:pPr>
        <w:pStyle w:val="ListBullet"/>
        <w:spacing w:after="80"/>
      </w:pPr>
      <w:r>
        <w:t>Multiple owners and multi-flat ownership.</w:t>
      </w:r>
    </w:p>
    <w:p>
      <w:pPr>
        <w:pStyle w:val="ListBullet"/>
        <w:spacing w:after="80"/>
      </w:pPr>
      <w:r>
        <w:t>Tenant permission limits.</w:t>
      </w:r>
    </w:p>
    <w:p>
      <w:pPr>
        <w:pStyle w:val="ListBullet"/>
        <w:spacing w:after="80"/>
      </w:pPr>
      <w:r>
        <w:t>Vacant flats with owner debt.</w:t>
      </w:r>
    </w:p>
    <w:p>
      <w:pPr>
        <w:pStyle w:val="ListBullet"/>
        <w:spacing w:after="80"/>
      </w:pPr>
      <w:r>
        <w:t>Duplicate imports.</w:t>
      </w:r>
    </w:p>
    <w:p>
      <w:pPr>
        <w:pStyle w:val="ListBullet"/>
        <w:spacing w:after="80"/>
      </w:pPr>
      <w:r>
        <w:t>Partial payments and overpayments.</w:t>
      </w:r>
    </w:p>
    <w:p>
      <w:pPr>
        <w:pStyle w:val="ListBullet"/>
        <w:spacing w:after="80"/>
      </w:pPr>
      <w:r>
        <w:t>Delayed/duplicate payment webhooks.</w:t>
      </w:r>
    </w:p>
    <w:p>
      <w:pPr>
        <w:pStyle w:val="ListBullet"/>
        <w:spacing w:after="80"/>
      </w:pPr>
      <w:r>
        <w:t>Deposit shortfall and refund failure.</w:t>
      </w:r>
    </w:p>
    <w:p>
      <w:pPr>
        <w:pStyle w:val="ListBullet"/>
        <w:spacing w:after="80"/>
      </w:pPr>
      <w:r>
        <w:t>Debt threshold changes.</w:t>
      </w:r>
    </w:p>
    <w:p>
      <w:pPr>
        <w:pStyle w:val="ListBullet"/>
        <w:spacing w:after="80"/>
      </w:pPr>
      <w:r>
        <w:t>Emergency maintenance override.</w:t>
      </w:r>
    </w:p>
    <w:p>
      <w:pPr>
        <w:pStyle w:val="ListBullet"/>
        <w:spacing w:after="80"/>
      </w:pPr>
      <w:r>
        <w:t>Service ticket duplicates.</w:t>
      </w:r>
    </w:p>
    <w:p>
      <w:pPr>
        <w:pStyle w:val="ListBullet"/>
        <w:spacing w:after="80"/>
      </w:pPr>
      <w:r>
        <w:t>Media upload failures.</w:t>
      </w:r>
    </w:p>
    <w:p>
      <w:pPr>
        <w:pStyle w:val="ListBullet"/>
        <w:spacing w:after="80"/>
      </w:pPr>
      <w:r>
        <w:t>Booking overlaps.</w:t>
      </w:r>
    </w:p>
    <w:p>
      <w:pPr>
        <w:pStyle w:val="ListBullet"/>
        <w:spacing w:after="80"/>
      </w:pPr>
      <w:r>
        <w:t>Access integration failure.</w:t>
      </w:r>
    </w:p>
    <w:p>
      <w:pPr>
        <w:pStyle w:val="ListBullet"/>
        <w:spacing w:after="80"/>
      </w:pPr>
      <w:r>
        <w:t>SMS/email delivery failure.</w:t>
      </w:r>
    </w:p>
    <w:p>
      <w:pPr>
        <w:pStyle w:val="ListBullet"/>
        <w:spacing w:after="80"/>
      </w:pPr>
      <w:r>
        <w:t>Staff internal notes leaking to residents.</w:t>
      </w:r>
    </w:p>
    <w:p>
      <w:pPr>
        <w:pStyle w:val="ListBullet"/>
        <w:spacing w:after="80"/>
      </w:pPr>
      <w:r>
        <w:t>AI hallucination, role leakage and unauthorized action.</w:t>
      </w:r>
    </w:p>
    <w:p>
      <w:pPr>
        <w:pStyle w:val="ListBullet"/>
        <w:spacing w:after="80"/>
      </w:pPr>
      <w:r>
        <w:t>Document retention and KVKK privacy risks.</w:t>
      </w:r>
    </w:p>
    <w:p>
      <w:pPr>
        <w:spacing w:after="120"/>
      </w:pPr>
      <w:r>
        <w:t>The key product rule is that risky cases must be handled by state machines, audit logs and approval workflows, not by informal manual edits.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7. Recommended Differentiators For Proposal</w:t>
      </w:r>
    </w:p>
    <w:p>
      <w:pPr>
        <w:pStyle w:val="Heading2"/>
      </w:pPr>
      <w:r>
        <w:t>7.1 Business Differentiators</w:t>
      </w:r>
    </w:p>
    <w:p>
      <w:pPr>
        <w:pStyle w:val="ListBullet"/>
        <w:spacing w:after="80"/>
      </w:pPr>
      <w:r>
        <w:t>Full 769-flat operating model.</w:t>
      </w:r>
    </w:p>
    <w:p>
      <w:pPr>
        <w:pStyle w:val="ListBullet"/>
        <w:spacing w:after="80"/>
      </w:pPr>
      <w:r>
        <w:t>Finance-first architecture.</w:t>
      </w:r>
    </w:p>
    <w:p>
      <w:pPr>
        <w:pStyle w:val="ListBullet"/>
        <w:spacing w:after="80"/>
      </w:pPr>
      <w:r>
        <w:t>Service desk/ticketing module.</w:t>
      </w:r>
    </w:p>
    <w:p>
      <w:pPr>
        <w:pStyle w:val="ListBullet"/>
        <w:spacing w:after="80"/>
      </w:pPr>
      <w:r>
        <w:t>Web/PWA launch instead of slow native app dependency.</w:t>
      </w:r>
    </w:p>
    <w:p>
      <w:pPr>
        <w:pStyle w:val="ListBullet"/>
        <w:spacing w:after="80"/>
      </w:pPr>
      <w:r>
        <w:t>AI manager assistant.</w:t>
      </w:r>
    </w:p>
    <w:p>
      <w:pPr>
        <w:pStyle w:val="ListBullet"/>
        <w:spacing w:after="80"/>
      </w:pPr>
      <w:r>
        <w:t>AI debt-risk and anomaly detection.</w:t>
      </w:r>
    </w:p>
    <w:p>
      <w:pPr>
        <w:pStyle w:val="ListBullet"/>
        <w:spacing w:after="80"/>
      </w:pPr>
      <w:r>
        <w:t>Turkish-first onboarding and support.</w:t>
      </w:r>
    </w:p>
    <w:p>
      <w:pPr>
        <w:pStyle w:val="ListBullet"/>
        <w:spacing w:after="80"/>
      </w:pPr>
      <w:r>
        <w:t>Audit and accountability at every critical action.</w:t>
      </w:r>
    </w:p>
    <w:p>
      <w:pPr>
        <w:pStyle w:val="Heading2"/>
      </w:pPr>
      <w:r>
        <w:t>7.2 UX Differentiators</w:t>
      </w:r>
    </w:p>
    <w:p>
      <w:pPr>
        <w:pStyle w:val="ListBullet"/>
        <w:spacing w:after="80"/>
      </w:pPr>
      <w:r>
        <w:t>Flat matrix by block/floor.</w:t>
      </w:r>
    </w:p>
    <w:p>
      <w:pPr>
        <w:pStyle w:val="ListBullet"/>
        <w:spacing w:after="80"/>
      </w:pPr>
      <w:r>
        <w:t>One-click view of debt status per flat.</w:t>
      </w:r>
    </w:p>
    <w:p>
      <w:pPr>
        <w:pStyle w:val="ListBullet"/>
        <w:spacing w:after="80"/>
      </w:pPr>
      <w:r>
        <w:t>Resident self-service with simple mobile web.</w:t>
      </w:r>
    </w:p>
    <w:p>
      <w:pPr>
        <w:pStyle w:val="ListBullet"/>
        <w:spacing w:after="80"/>
      </w:pPr>
      <w:r>
        <w:t>Staff task mobile view with photo/video reports.</w:t>
      </w:r>
    </w:p>
    <w:p>
      <w:pPr>
        <w:pStyle w:val="ListBullet"/>
        <w:spacing w:after="80"/>
      </w:pPr>
      <w:r>
        <w:t>Manager daily briefing.</w:t>
      </w:r>
    </w:p>
    <w:p>
      <w:pPr>
        <w:pStyle w:val="ListBullet"/>
        <w:spacing w:after="80"/>
      </w:pPr>
      <w:r>
        <w:t>Accountant ledger and export tools.</w:t>
      </w:r>
    </w:p>
    <w:p>
      <w:pPr>
        <w:pStyle w:val="Heading2"/>
      </w:pPr>
      <w:r>
        <w:t>7.3 Technical Differentiators</w:t>
      </w:r>
    </w:p>
    <w:p>
      <w:pPr>
        <w:pStyle w:val="ListBullet"/>
        <w:spacing w:after="80"/>
      </w:pPr>
      <w:r>
        <w:t>API-first modular architecture.</w:t>
      </w:r>
    </w:p>
    <w:p>
      <w:pPr>
        <w:pStyle w:val="ListBullet"/>
        <w:spacing w:after="80"/>
      </w:pPr>
      <w:r>
        <w:t>PostgreSQL ledger.</w:t>
      </w:r>
    </w:p>
    <w:p>
      <w:pPr>
        <w:pStyle w:val="ListBullet"/>
        <w:spacing w:after="80"/>
      </w:pPr>
      <w:r>
        <w:t>RLS/RBAC security.</w:t>
      </w:r>
    </w:p>
    <w:p>
      <w:pPr>
        <w:pStyle w:val="ListBullet"/>
        <w:spacing w:after="80"/>
      </w:pPr>
      <w:r>
        <w:t>Integration adapter layer.</w:t>
      </w:r>
    </w:p>
    <w:p>
      <w:pPr>
        <w:pStyle w:val="ListBullet"/>
        <w:spacing w:after="80"/>
      </w:pPr>
      <w:r>
        <w:t>AI recommendations with human approval.</w:t>
      </w:r>
    </w:p>
    <w:p>
      <w:pPr>
        <w:pStyle w:val="ListBullet"/>
        <w:spacing w:after="80"/>
      </w:pPr>
      <w:r>
        <w:t>PWA-first delivery.</w:t>
      </w:r>
    </w:p>
    <w:p>
      <w:pPr>
        <w:pStyle w:val="ListBullet"/>
        <w:spacing w:after="80"/>
      </w:pPr>
      <w:r>
        <w:t>End-to-end test coverage for mandatory scenarios.</w:t>
      </w:r>
    </w:p>
    <w:p>
      <w:pPr>
        <w:pBdr>
          <w:bottom w:val="single" w:sz="6" w:space="1" w:color="D9D9D9"/>
        </w:pBdr>
      </w:pPr>
    </w:p>
    <w:p>
      <w:pPr>
        <w:pStyle w:val="Heading1"/>
      </w:pPr>
      <w:r>
        <w:t>8. Research Caveats</w:t>
      </w:r>
    </w:p>
    <w:p>
      <w:pPr>
        <w:spacing w:after="120"/>
      </w:pPr>
      <w:r>
        <w:t>This annex uses public competitor and best-practice information available on 24 June 2026. It is suitable for product planning and proposal positioning. It is not a legal compliance opinion and should be reviewed by legal/accounting specialists before finalizing debt restriction, access blocking, identity verification, camera processing, retention and payment compliance rules.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1Cati Market-Research-Annex</dc:title>
  <dc:subject/>
  <dc:creator>1Cati Product and Engineering</dc:creator>
  <cp:keywords>1Cati, Ataberk Estate, CRM, Supabase, requirements</cp:keywords>
  <dc:description>generated by python-docx</dc:description>
  <cp:lastModifiedBy>Codex Documents workflow</cp:lastModifiedBy>
  <cp:revision>1</cp:revision>
  <dcterms:created xsi:type="dcterms:W3CDTF">2013-12-23T23:15:00Z</dcterms:created>
  <dcterms:modified xsi:type="dcterms:W3CDTF">2013-12-23T23:15:00Z</dcterms:modified>
  <cp:category/>
</cp:coreProperties>
</file>