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Security And Compliance Plan</w:t>
      </w:r>
    </w:p>
    <w:p>
      <w:pPr>
        <w:pStyle w:val="Heading1"/>
      </w:pPr>
      <w:r>
        <w:t>AI-Powered Residential Site Management CRM</w:t>
      </w:r>
    </w:p>
    <w:p>
      <w:pPr>
        <w:spacing w:after="120"/>
      </w:pPr>
      <w:r>
        <w:t>Version: 0.3</w:t>
      </w:r>
    </w:p>
    <w:p>
      <w:pPr>
        <w:spacing w:after="120"/>
      </w:pPr>
      <w:r>
        <w:t>Date: 26 June 2026</w:t>
      </w:r>
    </w:p>
    <w:p>
      <w:pPr>
        <w:spacing w:after="120"/>
      </w:pPr>
      <w:r>
        <w:t>Prepared for: Security, privacy, compliance and production readiness</w:t>
      </w:r>
    </w:p>
    <w:p>
      <w:pPr>
        <w:spacing w:after="120"/>
      </w:pPr>
      <w:r>
        <w:t>Prepared by: 1Cati / Product and Engineering</w:t>
      </w:r>
    </w:p>
    <w:p>
      <w:pPr>
        <w:spacing w:after="120"/>
      </w:pPr>
      <w:r>
        <w:t>Reference baseline: KVKK-aware processing and OWASP ASVS-aligned controls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Executive At-A-Glance</w:t>
      </w:r>
    </w:p>
    <w:p>
      <w:pPr>
        <w:pStyle w:val="ListBullet"/>
        <w:spacing w:after="80"/>
      </w:pPr>
      <w:r>
        <w:t>The system will process personal, financial, document, media, access and AI-event data, so security must be designed into launch scope.</w:t>
      </w:r>
    </w:p>
    <w:p>
      <w:pPr>
        <w:pStyle w:val="ListBullet"/>
        <w:spacing w:after="80"/>
      </w:pPr>
      <w:r>
        <w:t>Controls should combine authentication, RBAC, RLS, domain validation, audit logs, monitoring and approval workflows.</w:t>
      </w:r>
    </w:p>
    <w:p>
      <w:pPr>
        <w:pStyle w:val="ListBullet"/>
        <w:spacing w:after="80"/>
      </w:pPr>
      <w:r>
        <w:t>Debt-based access restriction, identity data, camera/media handling, payment compliance and retention require legal/accounting review.</w:t>
      </w:r>
    </w:p>
    <w:p>
      <w:pPr>
        <w:pStyle w:val="Heading1"/>
      </w:pPr>
      <w:r>
        <w:t>Reader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Item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Detail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 type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Security And Compliance Plan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Primary 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Security, compliance, engineering, product and client leadership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Status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Current delivery baseline v0.3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Last reconciled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26 June 2026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Confidentiality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STRICTLY CONFIDENTIAL</w:t>
            </w:r>
          </w:p>
        </w:tc>
      </w:tr>
    </w:tbl>
    <w:p/>
    <w:p>
      <w:pPr>
        <w:pStyle w:val="Heading1"/>
      </w:pPr>
      <w:r>
        <w:t>Visual Navigation</w:t>
      </w:r>
    </w:p>
    <w:p>
      <w:pPr>
        <w:pStyle w:val="ListBullet"/>
        <w:spacing w:after="80"/>
      </w:pPr>
      <w:r>
        <w:t>Security Control Model (source retained in this Markdown; regenerate a rendered diagram only when a stakeholder export explicitly needs it)</w:t>
      </w:r>
    </w:p>
    <w:p>
      <w:pPr>
        <w:pStyle w:val="Heading1"/>
      </w:pPr>
      <w:r>
        <w:t>Current Security Baseline</w:t>
      </w:r>
    </w:p>
    <w:p>
      <w:pPr>
        <w:spacing w:after="120"/>
      </w:pPr>
      <w:r>
        <w:t>As of 26 June 2026, the repository includes RBAC/RLS-oriented migrations, protected dashboard routing, demo-auth fallback controls, audit-oriented tables and AI approval rules. Production still requires environment hardening, demo-auth removal or strict gating, RLS policy review, storage policy review, secrets review, backup/restore proof and client/legal sign-off for debt/access restrictions.</w:t>
      </w:r>
    </w:p>
    <w:p>
      <w:pPr>
        <w:spacing w:after="120"/>
      </w:pPr>
      <w:r>
        <w:t>This document is an engineering and delivery checklist, not a legal opinion.</w:t>
      </w:r>
    </w:p>
    <w:p>
      <w:pPr>
        <w:pStyle w:val="Heading1"/>
      </w:pPr>
      <w:r>
        <w:t>1. Executive Summary</w:t>
      </w:r>
    </w:p>
    <w:p>
      <w:pPr>
        <w:spacing w:after="120"/>
      </w:pPr>
      <w:r>
        <w:t>The platform will process personal data, owner/tenant relationships, financial records, documents, media uploads, service communications, access actions and AI events. Security and compliance must be designed into the product from the first production release.</w:t>
      </w:r>
    </w:p>
    <w:p>
      <w:pPr>
        <w:spacing w:after="120"/>
      </w:pPr>
      <w:r>
        <w:t>This plan is not a legal opinion. It is a delivery checklist for engineering, product and operations. Debt restriction, access blocking, identity verification, camera data, document retention and payment compliance must still be reviewed by legal/accounting specialists before production launch.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2. Reference Baseline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Source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How It Applies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KVKK Personal Data Protection Law: https://www.kvkk.gov.tr/Icerik/6649/Personal-Data-Protection-Law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Personal data must be processed lawfully, fairly, purposefully and proportionately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OWASP ASVS: https://owasp.org/www-project-application-security-verification-standard/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Provides a structured baseline for testing web application security controls; current official page references ASVS 5.0.0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web.dev PWA guidance: https://web.dev/learn/pwa/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PWA should be treated as a modern installable web app with responsive design, service worker and secure delivery practices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3. Security Control Model</w:t>
      </w:r>
    </w:p>
    <w:p>
      <w:pPr>
        <w:spacing w:after="120"/>
      </w:pPr>
      <w:r>
        <w:t>_Diagram: Security Control Model. Source is included below; regenerate a rendered diagram only when a stakeholder export explicitly needs it._</w:t>
      </w:r>
    </w:p>
    <w:p>
      <w:pPr>
        <w:spacing w:after="120"/>
      </w:pPr>
      <w:r>
        <w:t>_Figure: Security Control Model. Source retained in this document for regeneration._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>flowchart TD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A[Authentication] --&gt; B[Role and relationship authorization]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B --&gt; C[Server-side domain validation]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C --&gt; D[PostgreSQL RLS and constraints]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D --&gt; E[Immutable audit log]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E --&gt; F[Monitoring and alerting]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C --&gt; G{Sensitive action?}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G --&gt;|No| H[Execute transaction]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G --&gt;|Yes| I[Approval workflow]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I --&gt; H</w:t>
      </w:r>
    </w:p>
    <w:p>
      <w:pPr>
        <w:spacing w:after="0"/>
        <w:ind w:left="259"/>
      </w:pPr>
      <w:r>
        <w:rPr>
          <w:rFonts w:ascii="Consolas" w:hAnsi="Consolas"/>
          <w:b w:val="0"/>
          <w:color w:val="334155"/>
          <w:sz w:val="17"/>
        </w:rPr>
        <w:t xml:space="preserve">  H --&gt; E</w:t>
      </w:r>
    </w:p>
    <w:p/>
    <w:p>
      <w:pPr>
        <w:pBdr>
          <w:bottom w:val="single" w:sz="6" w:space="1" w:color="D9D9D9"/>
        </w:pBdr>
      </w:pPr>
    </w:p>
    <w:p>
      <w:pPr>
        <w:pStyle w:val="Heading1"/>
      </w:pPr>
      <w:r>
        <w:t>4. Data Classification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Data Class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Examples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Required Controls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Public/marketing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Public landing page content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Normal web publishing controls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Operational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Tickets, bookings, service categories, staff assignments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RBAC, audit for status changes, role-specific visibility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Personal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Names, contact data, owner/tenant relationships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Purpose limitation, role access, export caution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Financial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Ledger, balances, payments, deposits, refunds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Immutable postings, approval, idempotency, audit, restricted exports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Sensitive documents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Identity files, contracts, statements, legal notices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Storage permissions, download audit, retention review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Media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Task photos/videos, possible access/camera references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Role limits, retention policy, avoid unnecessary storage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Access control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Card/barrier IDs, activation/deactivation events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High privilege, approval, manual fallback, audit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events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Prompts, context, outputs, accepted/declined suggestions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Source links, role filtering, prompt/output logs, retention policy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5. Control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Area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Required Control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Acceptance Evidence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Authentication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Supabase Auth, secure session refresh, password reset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Login/logout/session tests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Authorization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App-level RBAC plus database RLS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Role-based E2E and RLS tests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Finance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Immutable ledger, reversals, idempotency keys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Unit and integration tests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Files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Private buckets, signed URLs where needed, permission checks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Unauthorized file access test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Audit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Actor, timestamp, entity, action and sensitive before/after context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Audit log inspection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Integrations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Signature verification, retry queue, health dashboard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Webhook and failure-mode tests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Source-linked, role-filtered, no direct sensitive mutations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safety/evaluation tests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Secrets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No secrets in client code or repository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Secret scan and env review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Logging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Structured logs without unnecessary personal data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Log review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Backup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Backup and restore drill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Restore evidence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6. Sensitive Workflow Rules</w:t>
      </w:r>
    </w:p>
    <w:p>
      <w:pPr>
        <w:pStyle w:val="Heading2"/>
      </w:pPr>
      <w:r>
        <w:t>Finance</w:t>
      </w:r>
    </w:p>
    <w:p>
      <w:pPr>
        <w:pStyle w:val="ListBullet"/>
        <w:spacing w:after="80"/>
      </w:pPr>
      <w:r>
        <w:t>Posted records cannot be edited directly.</w:t>
      </w:r>
    </w:p>
    <w:p>
      <w:pPr>
        <w:pStyle w:val="ListBullet"/>
        <w:spacing w:after="80"/>
      </w:pPr>
      <w:r>
        <w:t>Corrections must use reversal or adjustment entries.</w:t>
      </w:r>
    </w:p>
    <w:p>
      <w:pPr>
        <w:pStyle w:val="ListBullet"/>
        <w:spacing w:after="80"/>
      </w:pPr>
      <w:r>
        <w:t>Refunds require explicit permission and audit.</w:t>
      </w:r>
    </w:p>
    <w:p>
      <w:pPr>
        <w:pStyle w:val="ListBullet"/>
        <w:spacing w:after="80"/>
      </w:pPr>
      <w:r>
        <w:t>Duplicate provider events must not double-post.</w:t>
      </w:r>
    </w:p>
    <w:p>
      <w:pPr>
        <w:pStyle w:val="Heading2"/>
      </w:pPr>
      <w:r>
        <w:t>Access</w:t>
      </w:r>
    </w:p>
    <w:p>
      <w:pPr>
        <w:pStyle w:val="ListBullet"/>
        <w:spacing w:after="80"/>
      </w:pPr>
      <w:r>
        <w:t>Access activation/deactivation must be recorded as an action request.</w:t>
      </w:r>
    </w:p>
    <w:p>
      <w:pPr>
        <w:pStyle w:val="ListBullet"/>
        <w:spacing w:after="80"/>
      </w:pPr>
      <w:r>
        <w:t>Manual override requires high privilege, reason and audit.</w:t>
      </w:r>
    </w:p>
    <w:p>
      <w:pPr>
        <w:pStyle w:val="ListBullet"/>
        <w:spacing w:after="80"/>
      </w:pPr>
      <w:r>
        <w:t>Debt-based access restriction requires legal review and client policy approval.</w:t>
      </w:r>
    </w:p>
    <w:p>
      <w:pPr>
        <w:pStyle w:val="ListBullet"/>
        <w:spacing w:after="80"/>
      </w:pPr>
      <w:r>
        <w:t>Failed access integrations must create visible alerts.</w:t>
      </w:r>
    </w:p>
    <w:p>
      <w:pPr>
        <w:pStyle w:val="Heading2"/>
      </w:pPr>
      <w:r>
        <w:t>Documents</w:t>
      </w:r>
    </w:p>
    <w:p>
      <w:pPr>
        <w:pStyle w:val="ListBullet"/>
        <w:spacing w:after="80"/>
      </w:pPr>
      <w:r>
        <w:t>Sensitive documents need role and relationship checks.</w:t>
      </w:r>
    </w:p>
    <w:p>
      <w:pPr>
        <w:pStyle w:val="ListBullet"/>
        <w:spacing w:after="80"/>
      </w:pPr>
      <w:r>
        <w:t>Downloads of sensitive documents should be auditable where required.</w:t>
      </w:r>
    </w:p>
    <w:p>
      <w:pPr>
        <w:pStyle w:val="ListBullet"/>
        <w:spacing w:after="80"/>
      </w:pPr>
      <w:r>
        <w:t>Retention and deletion rules require legal/accounting review.</w:t>
      </w:r>
    </w:p>
    <w:p>
      <w:pPr>
        <w:pStyle w:val="Heading2"/>
      </w:pPr>
      <w:r>
        <w:t>AI</w:t>
      </w:r>
    </w:p>
    <w:p>
      <w:pPr>
        <w:pStyle w:val="ListBullet"/>
        <w:spacing w:after="80"/>
      </w:pPr>
      <w:r>
        <w:t>AI cannot post payments.</w:t>
      </w:r>
    </w:p>
    <w:p>
      <w:pPr>
        <w:pStyle w:val="ListBullet"/>
        <w:spacing w:after="80"/>
      </w:pPr>
      <w:r>
        <w:t>AI cannot refund deposits.</w:t>
      </w:r>
    </w:p>
    <w:p>
      <w:pPr>
        <w:pStyle w:val="ListBullet"/>
        <w:spacing w:after="80"/>
      </w:pPr>
      <w:r>
        <w:t>AI cannot mutate ledger records.</w:t>
      </w:r>
    </w:p>
    <w:p>
      <w:pPr>
        <w:pStyle w:val="ListBullet"/>
        <w:spacing w:after="80"/>
      </w:pPr>
      <w:r>
        <w:t>AI cannot activate or disable access.</w:t>
      </w:r>
    </w:p>
    <w:p>
      <w:pPr>
        <w:pStyle w:val="ListBullet"/>
        <w:spacing w:after="80"/>
      </w:pPr>
      <w:r>
        <w:t>AI recommendations must show source data and be logged.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7. Compliance Open Questions</w:t>
      </w:r>
    </w:p>
    <w:p>
      <w:pPr>
        <w:pStyle w:val="ListNumber"/>
        <w:spacing w:after="80"/>
      </w:pPr>
      <w:r>
        <w:t>Which data residency requirements apply?</w:t>
      </w:r>
    </w:p>
    <w:p>
      <w:pPr>
        <w:pStyle w:val="ListNumber"/>
        <w:spacing w:after="80"/>
      </w:pPr>
      <w:r>
        <w:t>Which user consent and privacy notices are required?</w:t>
      </w:r>
    </w:p>
    <w:p>
      <w:pPr>
        <w:pStyle w:val="ListNumber"/>
        <w:spacing w:after="80"/>
      </w:pPr>
      <w:r>
        <w:t>What retention periods apply to financial records, identity documents, media and chat?</w:t>
      </w:r>
    </w:p>
    <w:p>
      <w:pPr>
        <w:pStyle w:val="ListNumber"/>
        <w:spacing w:after="80"/>
      </w:pPr>
      <w:r>
        <w:t>What is the legal basis for access restriction due to debt?</w:t>
      </w:r>
    </w:p>
    <w:p>
      <w:pPr>
        <w:pStyle w:val="ListNumber"/>
        <w:spacing w:after="80"/>
      </w:pPr>
      <w:r>
        <w:t>Are camera references or video storage required?</w:t>
      </w:r>
    </w:p>
    <w:p>
      <w:pPr>
        <w:pStyle w:val="ListNumber"/>
        <w:spacing w:after="80"/>
      </w:pPr>
      <w:r>
        <w:t>Which payment provider compliance rules apply?</w:t>
      </w:r>
    </w:p>
    <w:p>
      <w:pPr>
        <w:pStyle w:val="ListNumber"/>
        <w:spacing w:after="80"/>
      </w:pPr>
      <w:r>
        <w:t>Who approves refunds, access changes and sensitive exports?</w:t>
      </w:r>
    </w:p>
    <w:p>
      <w:pPr>
        <w:pStyle w:val="ListNumber"/>
        <w:spacing w:after="80"/>
      </w:pPr>
      <w:r>
        <w:t>Which reports are legally required for site management?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8. Security Launch Checklist</w:t>
      </w:r>
    </w:p>
    <w:p>
      <w:pPr>
        <w:pStyle w:val="ListBullet"/>
        <w:spacing w:after="80"/>
      </w:pPr>
      <w:r>
        <w:t>RBAC and RLS tests pass.</w:t>
      </w:r>
    </w:p>
    <w:p>
      <w:pPr>
        <w:pStyle w:val="ListBullet"/>
        <w:spacing w:after="80"/>
      </w:pPr>
      <w:r>
        <w:t>Finance integrity tests pass.</w:t>
      </w:r>
    </w:p>
    <w:p>
      <w:pPr>
        <w:pStyle w:val="ListBullet"/>
        <w:spacing w:after="80"/>
      </w:pPr>
      <w:r>
        <w:t>File permission tests pass.</w:t>
      </w:r>
    </w:p>
    <w:p>
      <w:pPr>
        <w:pStyle w:val="ListBullet"/>
        <w:spacing w:after="80"/>
      </w:pPr>
      <w:r>
        <w:t>Integration webhook tests pass.</w:t>
      </w:r>
    </w:p>
    <w:p>
      <w:pPr>
        <w:pStyle w:val="ListBullet"/>
        <w:spacing w:after="80"/>
      </w:pPr>
      <w:r>
        <w:t>Secrets are not committed.</w:t>
      </w:r>
    </w:p>
    <w:p>
      <w:pPr>
        <w:pStyle w:val="ListBullet"/>
        <w:spacing w:after="80"/>
      </w:pPr>
      <w:r>
        <w:t>Audit logs are created for sensitive actions.</w:t>
      </w:r>
    </w:p>
    <w:p>
      <w:pPr>
        <w:pStyle w:val="ListBullet"/>
        <w:spacing w:after="80"/>
      </w:pPr>
      <w:r>
        <w:t>Backup/restore drill is complete.</w:t>
      </w:r>
    </w:p>
    <w:p>
      <w:pPr>
        <w:pStyle w:val="ListBullet"/>
        <w:spacing w:after="80"/>
      </w:pPr>
      <w:r>
        <w:t>AI guardrail tests pass.</w:t>
      </w:r>
    </w:p>
    <w:p>
      <w:pPr>
        <w:pStyle w:val="ListBullet"/>
        <w:spacing w:after="80"/>
      </w:pPr>
      <w:r>
        <w:t>Legal/accounting review is complete for access, debt, payments, identity and retention.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172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1Cati Security-Compliance-Plan</dc:title>
  <dc:subject/>
  <dc:creator>1Cati Product and Engineering</dc:creator>
  <cp:keywords>1Cati, Ataberk Estate, CRM, Supabase, requirements</cp:keywords>
  <dc:description>generated by python-docx</dc:description>
  <cp:lastModifiedBy>Codex Documents workflow</cp:lastModifiedBy>
  <cp:revision>1</cp:revision>
  <dcterms:created xsi:type="dcterms:W3CDTF">2013-12-23T23:15:00Z</dcterms:created>
  <dcterms:modified xsi:type="dcterms:W3CDTF">2013-12-23T23:15:00Z</dcterms:modified>
  <cp:category/>
</cp:coreProperties>
</file>