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Source Register</w:t>
      </w:r>
    </w:p>
    <w:p>
      <w:pPr>
        <w:pStyle w:val="Heading1"/>
      </w:pPr>
      <w:r>
        <w:t>AI-Powered Residential Site Management CRM</w:t>
      </w:r>
    </w:p>
    <w:p>
      <w:pPr>
        <w:spacing w:after="120"/>
      </w:pPr>
      <w:r>
        <w:t>Version: 0.3</w:t>
      </w:r>
    </w:p>
    <w:p>
      <w:pPr>
        <w:spacing w:after="120"/>
      </w:pPr>
      <w:r>
        <w:t>Date: 26 June 2026</w:t>
      </w:r>
    </w:p>
    <w:p>
      <w:pPr>
        <w:spacing w:after="120"/>
      </w:pPr>
      <w:r>
        <w:t>Documentation review: 26 June 2026</w:t>
      </w:r>
    </w:p>
    <w:p>
      <w:pPr>
        <w:spacing w:after="120"/>
      </w:pPr>
      <w:r>
        <w:t>Prepared for: Evidence tracking and documentation quality control</w:t>
      </w:r>
    </w:p>
    <w:p>
      <w:pPr>
        <w:spacing w:after="120"/>
      </w:pPr>
      <w:r>
        <w:t>Prepared by: 1Cati / Product and Engineering</w:t>
      </w:r>
    </w:p>
    <w:p>
      <w:pPr>
        <w:spacing w:after="120"/>
      </w:pPr>
      <w:r>
        <w:t>Purpose: Record the external reference baseline used by the requirements package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Executive At-A-Glance</w:t>
      </w:r>
    </w:p>
    <w:p>
      <w:pPr>
        <w:pStyle w:val="ListBullet"/>
        <w:spacing w:after="80"/>
      </w:pPr>
      <w:r>
        <w:t>The register records the public sources used for planning, positioning and security/compliance baseline decisions.</w:t>
      </w:r>
    </w:p>
    <w:p>
      <w:pPr>
        <w:pStyle w:val="ListBullet"/>
        <w:spacing w:after="80"/>
      </w:pPr>
      <w:r>
        <w:t>Competitor sources are used as capability signals, not as legal rankings or vendor certifications.</w:t>
      </w:r>
    </w:p>
    <w:p>
      <w:pPr>
        <w:pStyle w:val="ListBullet"/>
        <w:spacing w:after="80"/>
      </w:pPr>
      <w:r>
        <w:t>The register should be updated whenever new pricing, compliance, integration or vendor-specific sources are used.</w:t>
      </w:r>
    </w:p>
    <w:p>
      <w:pPr>
        <w:pStyle w:val="Heading1"/>
      </w:pPr>
      <w:r>
        <w:t>Reader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Item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Detail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 type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Source Register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Primary 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Strategy, product, delivery leadership and QA reviewers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Status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Current delivery baseline v0.3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Last reconciled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26 June 2026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Confidentiality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STRICTLY CONFIDENTIAL</w:t>
            </w:r>
          </w:p>
        </w:tc>
      </w:tr>
    </w:tbl>
    <w:p/>
    <w:p>
      <w:pPr>
        <w:pStyle w:val="Heading1"/>
      </w:pPr>
      <w:r>
        <w:t>Visual Navigation</w:t>
      </w:r>
    </w:p>
    <w:p>
      <w:pPr>
        <w:pStyle w:val="ListBullet"/>
        <w:spacing w:after="80"/>
      </w:pPr>
      <w:r>
        <w:t>No generated figures are required for this document.</w:t>
      </w:r>
    </w:p>
    <w:p>
      <w:pPr>
        <w:pStyle w:val="Heading1"/>
      </w:pPr>
      <w:r>
        <w:t>1. Source Use Policy</w:t>
      </w:r>
    </w:p>
    <w:p>
      <w:pPr>
        <w:spacing w:after="120"/>
      </w:pPr>
      <w:r>
        <w:t>This register records public sources used for planning and positioning. It is not a legal opinion, market-share ranking or vendor certification. Product, security and legal decisions should be validated with the client, selected vendors and qualified legal/accounting advisors before launch.</w:t>
      </w:r>
    </w:p>
    <w:p>
      <w:pPr>
        <w:spacing w:after="120"/>
      </w:pPr>
      <w:r>
        <w:t>Public product, pricing, legal and security pages can change. Before final client approval, production launch, legal review or commercial claims, re-check all source links and record the review date here.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2. Source Register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Source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URL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Used For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Apsiyon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https://www.apsiyon.com/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site-management baseline: aidat, payments, resident/manager capabilities, access/meter/AI positioning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Senyonet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https://www.senyonet.com.tr/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facility/site management benchmark: finance, accounting, security, communication, support/training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Yonetimcell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https://www.yonetimcell.com/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Simplicity, aidat tracking, resident payment access, reports and staff job-tracking benchmark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Aidatim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https://www.aidatim.com/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Hybrid software/service benchmark: support, setup, accounting/legal support, bank matching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Siteplus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https://www.siteplus.com.tr/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Integrated facility operations benchmark: cleaning, security, technical maintenance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Buildium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https://www.buildium.com/features/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property management capability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Yardi Breeze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https://www.yardibreeze.com/features/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accounting, maintenance and owner reporting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DoorLoop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https://www.doorloop.com/features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property CRM, payments, maintenance, owner/tenant portal and AI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Jira Service Management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https://www.atlassian.com/software/jira/service-management/features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desk workflow, SLA, assignment and automation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Jira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https://www.atlassian.com/software/jira/pricing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Jira Cloud subscription and user-count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Xray Cloud Marketplace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https://marketplace.atlassian.com/apps/1211769/xray-test-management-for-jira?tab=pricing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Xray Cloud app/subscription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iyzico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https://www.iyzico.com/en/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Turkey payment provider shortlist and online-payment capability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PayTR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https://www.paytr.com/en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Turkey payment provider shortlist and virtual POS/payment-link capability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Param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https://param.com.tr/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Turkey payment-provider alternate for commercial comparison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Sipay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https://sipay.com.tr/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Turkey payment-provider alternate for commercial comparison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Paycell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https://www.paycell.com.tr/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Payment/wallet/top-up alternate and commercial comparison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Netgsm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https://www.netgsm.com.tr/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Turkey-local SMS provider shortlist and SMS delivery capability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Ileti Merkezi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https://www.iletimerkezi.com/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Turkey-local SMS provider shortlist and sender/delivery capability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Papara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https://www.papara.com/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Digital wallet/top-up decision baseline; used only as a candidate after legal review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Postmark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https://postmarkapp.com/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Transactional email provider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Postmark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https://postmarkapp.com/pricing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Transactional email cost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Amazon SES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https://aws.amazon.com/ses/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Low-cost scalable email provider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Firebase Cloud Messaging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https://firebase.google.com/docs/cloud-messaging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PWA/mobile push notification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Firebase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https://firebase.google.com/pricing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Firebase/FCM surrounding cloud-cost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OneSignal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https://onesignal.com/pricing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Optional non-technical push/campaign console pricing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Supabase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https://supabase.com/pricing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Supabase Cloud Pro and metered usage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Supabase Realtime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https://supabase.com/docs/guides/realtime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Realtime subscription and broadcast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Supabase Row Level Security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https://supabase.com/docs/guides/database/postgres/row-level-security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Database authorization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Vercel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https://vercel.com/pricing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Production hosting and team/deployment cost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Sentry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https://sentry.io/pricing/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Error monitoring and event-retention cost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Better Stack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https://betterstack.com/pricing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Uptime/incident monitoring cost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UptimeRobot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https://uptimerobot.com/pricing/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External uptime monitoring cost planning source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OpenAI API 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https://platform.openai.com/docs/pricing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provider/token-cost planning source for the configurable model gateway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Hikvision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https://www.hikvision.com/en/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Candidate access/camera hardware family; confirm installed model before adapter work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Dahua Security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https://www.dahuasecurity.com/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Candidate camera/VMS/NVR hardware family; confirm installed model before adapter work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ZKTeco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https://www.zkteco.com/en/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Candidate access-control hardware family; confirm installed model before adapter work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dormakaba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https://www.dormakaba.com/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Candidate access-control hardware family; confirm installed model before adapter work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Logo Yazilim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https://www.logo.com.tr/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Accounting/e-invoice candidate after accountant workflow decision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Mikro Yazilim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https://www.mikro.com.tr/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Accounting/e-invoice candidate after accountant workflow decision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Parasut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https://www.parasut.com/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Accounting/e-invoice candidate after accountant workflow decision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Uyumsoft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https://www.uyumsoft.com/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Accounting/e-invoice candidate after accountant workflow decision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Next.js data updates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https://nextjs.org/docs/app/getting-started/updating-data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Server Functions and mutation architecture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WCAG 2.2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https://www.w3.org/TR/WCAG22/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Accessibility baseline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web.dev PWA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https://web.dev/learn/pwa/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PWA-first delivery rationale and mobile web expectations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OWASP ASVS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https://owasp.org/www-project-application-security-verification-standard/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Web application security verification baseline; official page references ASVS 5.0.0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KVKK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https://www.kvkk.gov.tr/Icerik/6649/Personal-Data-Protection-Law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personal data protection baseline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3. Evidence Handling Rules</w:t>
      </w:r>
    </w:p>
    <w:p>
      <w:pPr>
        <w:pStyle w:val="ListBullet"/>
        <w:spacing w:after="80"/>
      </w:pPr>
      <w:r>
        <w:t>Do not present the Turkish competitor list as a legal market-share ranking.</w:t>
      </w:r>
    </w:p>
    <w:p>
      <w:pPr>
        <w:pStyle w:val="ListBullet"/>
        <w:spacing w:after="80"/>
      </w:pPr>
      <w:r>
        <w:t>Use competitor claims only as public capability signals.</w:t>
      </w:r>
    </w:p>
    <w:p>
      <w:pPr>
        <w:pStyle w:val="ListBullet"/>
        <w:spacing w:after="80"/>
      </w:pPr>
      <w:r>
        <w:t>Keep legal/compliance wording conservative.</w:t>
      </w:r>
    </w:p>
    <w:p>
      <w:pPr>
        <w:pStyle w:val="ListBullet"/>
        <w:spacing w:after="80"/>
      </w:pPr>
      <w:r>
        <w:t>Confirm payment, bank, access, camera and meter vendor details before implementation.</w:t>
      </w:r>
    </w:p>
    <w:p>
      <w:pPr>
        <w:pStyle w:val="ListBullet"/>
        <w:spacing w:after="80"/>
      </w:pPr>
      <w:r>
        <w:t>Update this register if new sources are used for pricing, compliance or vendor-specific integration decisions.</w:t>
      </w:r>
    </w:p>
    <w:p>
      <w:pPr>
        <w:pStyle w:val="ListBullet"/>
        <w:spacing w:after="80"/>
      </w:pPr>
      <w:r>
        <w:t>Re-check pricing pages before procurement because public SaaS prices, metered limits and vendor quote terms can change.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1Cati Source Register</dc:title>
  <dc:subject/>
  <dc:creator>1Cati Product and Engineering</dc:creator>
  <cp:keywords>1Cati, Ataberk Estate, CRM, Supabase, requirements</cp:keywords>
  <dc:description>generated by python-docx</dc:description>
  <cp:lastModifiedBy>Codex Documents workflow</cp:lastModifiedBy>
  <cp:revision>1</cp:revision>
  <dcterms:created xsi:type="dcterms:W3CDTF">2013-12-23T23:15:00Z</dcterms:created>
  <dcterms:modified xsi:type="dcterms:W3CDTF">2013-12-23T23:15:00Z</dcterms:modified>
  <cp:category/>
</cp:coreProperties>
</file>