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Third-Party Integration And Vendor Plan</w:t>
      </w:r>
    </w:p>
    <w:p>
      <w:pPr>
        <w:spacing w:after="120"/>
      </w:pPr>
      <w:r>
        <w:t>Status: active decision plan</w:t>
      </w:r>
    </w:p>
    <w:p>
      <w:pPr>
        <w:spacing w:after="120"/>
      </w:pPr>
      <w:r>
        <w:t>Last reviewed: 26 June 2026</w:t>
      </w:r>
    </w:p>
    <w:p>
      <w:pPr>
        <w:spacing w:after="120"/>
      </w:pPr>
      <w:r>
        <w:t>Confidentiality: STRICTLY CONFIDENTIAL</w:t>
      </w:r>
    </w:p>
    <w:p>
      <w:pPr>
        <w:spacing w:after="120"/>
      </w:pPr>
      <w:r>
        <w:t>This document turns the broad "external integrations" scope into concrete implementation decisions for the 1Cati ERP. It is not a final procurement decision. Final provider choice still needs Ataberk approval, commercial quote, contract review, KVKK/legal review, production credentials and UAT proof.</w:t>
      </w:r>
    </w:p>
    <w:p>
      <w:pPr>
        <w:pStyle w:val="Heading1"/>
      </w:pPr>
      <w:r>
        <w:t>1. Executive Decision</w:t>
      </w:r>
    </w:p>
    <w:p>
      <w:pPr>
        <w:spacing w:after="120"/>
      </w:pPr>
      <w:r>
        <w:t>1Cati should not hard-code one vendor into the core ERP. The correct architecture is an adapter layer with one stable internal contract per capability: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Capability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Internal contract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Provider can change without rewriting ERP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Card/payment collection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payment_intents, payment_events, ledger_entries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Yes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Bank reconciliation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bank_import_batches, bank_transactions, reconciliation_matches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Yes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SMS/email/push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notification_messages, notification_attempts, templates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Yes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Digital wallet/top-up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resident_wallet_accounts, wallet_movements, ledger postings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Yes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Access/barrier/security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access_requests, access_events, integration_jobs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Yes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Documents/storage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documents, storage_objects, signed URL policy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Yes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AI provider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ai_events, ai_sources, ai_approvals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Yes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Monitoring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integration_health, audit_logs, incident events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Yes</w:t>
            </w:r>
          </w:p>
        </w:tc>
      </w:tr>
    </w:tbl>
    <w:p/>
    <w:p>
      <w:pPr>
        <w:spacing w:after="120"/>
      </w:pPr>
      <w:r>
        <w:t>Recommended MVP stack for Turkey/Alanya:</w:t>
      </w:r>
    </w:p>
    <w:p>
      <w:pPr>
        <w:pStyle w:val="ListBullet"/>
        <w:spacing w:after="80"/>
      </w:pPr>
      <w:r>
        <w:t>Payment: bank transfer/import first, then shortlist iyzico and PayTR for card/online collection; keep Param, Sipay and Paycell as commercial alternates after quotes.</w:t>
      </w:r>
    </w:p>
    <w:p>
      <w:pPr>
        <w:pStyle w:val="ListBullet"/>
        <w:spacing w:after="80"/>
      </w:pPr>
      <w:r>
        <w:t>SMS: shortlist Netgsm and Ileti Merkezi; use SMS only for OTP and high-priority notices, because push/email are cheaper for routine messages.</w:t>
      </w:r>
    </w:p>
    <w:p>
      <w:pPr>
        <w:pStyle w:val="ListBullet"/>
        <w:spacing w:after="80"/>
      </w:pPr>
      <w:r>
        <w:t>Email: Postmark for transactional reliability or Amazon SES for lowest-cost scale; Brevo/Mailgun/SendGrid are fallback choices if deliverability or regional procurement requires them.</w:t>
      </w:r>
    </w:p>
    <w:p>
      <w:pPr>
        <w:pStyle w:val="ListBullet"/>
        <w:spacing w:after="80"/>
      </w:pPr>
      <w:r>
        <w:t>Push: Firebase Cloud Messaging for PWA push; OneSignal only if non-technical staff need a richer campaign console.</w:t>
      </w:r>
    </w:p>
    <w:p>
      <w:pPr>
        <w:pStyle w:val="ListBullet"/>
        <w:spacing w:after="80"/>
      </w:pPr>
      <w:r>
        <w:t>Wallet/top-up: do not become an electronic money custodian. Implement an internal ledger balance and connect Papara/Paycell or a bank/payment provider only if Ataberk explicitly wants resident stored-value/top-up behavior and legal review approves it.</w:t>
      </w:r>
    </w:p>
    <w:p>
      <w:pPr>
        <w:pStyle w:val="ListBullet"/>
        <w:spacing w:after="80"/>
      </w:pPr>
      <w:r>
        <w:t>Access/security: do not choose a hardware vendor blind. Inventory the installed gate, barrier, card, camera and visitor systems first; then build the adapter against the confirmed API. Candidate families can include Hikvision, Dahua, ZKTeco, dormakaba or local installer APIs, but only after site inspection.</w:t>
      </w:r>
    </w:p>
    <w:p>
      <w:pPr>
        <w:pStyle w:val="ListBullet"/>
        <w:spacing w:after="80"/>
      </w:pPr>
      <w:r>
        <w:t>Accounting/e-invoice: keep export-first in MVP; integrate Logo, Mikro, Parasut or Uyumsoft only after the accountant confirms the target workflow.</w:t>
      </w:r>
    </w:p>
    <w:p>
      <w:pPr>
        <w:pStyle w:val="ListBullet"/>
        <w:spacing w:after="80"/>
      </w:pPr>
      <w:r>
        <w:t>Monitoring: Sentry plus Vercel/Supabase logs for application errors, with Better Stack or UptimeRobot for external uptime checks.</w:t>
      </w:r>
    </w:p>
    <w:p>
      <w:pPr>
        <w:pStyle w:val="Heading1"/>
      </w:pPr>
      <w:r>
        <w:t>2. External Dependency And Cost Register</w:t>
      </w:r>
    </w:p>
    <w:p>
      <w:pPr>
        <w:spacing w:after="120"/>
      </w:pPr>
      <w:r>
        <w:t>This section is the active management view for external dependencies, paid tools and 3rd-party services. It is intentionally grouped so Ataberk, WAMOCON, finance and engineering can see what must be bought, what can wait, what is quote-based and what needs a Jira ticket before production credentials are used.</w:t>
      </w:r>
    </w:p>
    <w:p>
      <w:pPr>
        <w:spacing w:after="120"/>
      </w:pPr>
      <w:r>
        <w:t>Completeness assessment on 26 June 2026: the dependency categories below are complete enough for delivery planning and Jira tracking, but not complete enough for final purchase. Exact prices, commercial terms, data-processing terms, Turkish tax treatment and production credentials must be confirmed with the selected vendor before contract signature.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Group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Dependency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Required for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Cost status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Owner and decision gate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Core cloud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Supabase Cloud Pro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Production Postgres, Auth, Realtime, Storage, backups and operational database hosting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Paid cloud plan plus metered usage/compute/storage/egress; use the public pricing page as the procurement source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Engineering proposes region/env model; Ataberk approves billing owner, budget cap, backup policy and production project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Core hosting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Vercel Pro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Production hosting, preview deployments, team workflow and managed Next.js deployment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Paid team plan plus usage; confirm current public pricing before purchase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Engineering and finance approve account owner, domains, spend alerts and environment separation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Delivery tooling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Jira Cloud and Xray Cloud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Phase epics, requirements traceability, UAT/Xray tests and delivery reporting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Paid per-user SaaS/subscription; Xray is a separate app/subscription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WAMOCON delivery owner confirms user count, project admin, attachment policy and live-sync approval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Monitoring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Sentry plus Better Stack or UptimeRobot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Error tracking, uptime checks, incident triage and integration health alerts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Sentry has paid usage tiers; uptime tools can start low-cost but need production alert rules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Engineering defines alert recipients, severity levels, retention and incident ownership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Transactional email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Postmark or Amazon SES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Login, notices, document links, ticket updates and accounting notifications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Usage/monthly email cost; domain setup required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Engineering and operations approve sender domains, DKIM/SPF/DMARC, bounce handling and templates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SMS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Netgsm or Ileti Merkezi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OTP, urgent resident notices and service alerts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Quote or volume-based SMS cost; sender name approval may add process time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Operations approves sender ID, consent language, monthly volume cap and fallback rules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Push notifications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Firebase Cloud Messaging; OneSignal optional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PWA push and later native/mobile push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FCM is normally no direct messaging subscription, but surrounding cloud usage and optional OneSignal plans must be checked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Product confirms PWA push UX; operations confirms whether a non-technical campaign console is needed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Payments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iyzico, PayTR; Param, Sipay, Paycell as alternates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Card/online collection, deposits, refunds and payment webhooks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Provider fees, commissions, settlement timing and virtual POS terms are quote/contract dependent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Finance and legal approve provider, fee model, refund rules, settlement, chargeback process and production credentials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Bank reconciliation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Bank CSV/Excel first; later bank API/open-banking partner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Bank import, matching and accounting reconciliation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CSV/Excel has low platform cost; API/open-banking is bank/provider dependent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Accountant confirms bank list, export format, matching tolerance and later API value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Wallet/top-up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Internal ledger first; Papara/Paycell only if approved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Resident prepaid balances or top-up behavior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Internal ledger has no provider fee; stored-value provider creates legal/commercial cost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Legal and finance must approve before enabling any stored-value or resident-wallet provider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Documents/storage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Supabase Storage first; S3-compatible storage if volumes grow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Contracts, invoices, resident documents and signed URLs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Supabase usage-based storage first; external storage only if volume/security requires it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Engineering approves retention, access policy, backup/export and file-size limits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AI provider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Configurable OpenAI-compatible gateway and optional local/on-prem model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Assistant, summaries, triage, reports and analytics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Usage/token or infrastructure cost; exact model pricing can change frequently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Product, security and finance approve data classes, budget cap, logging, retention and human approval gates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Access/security hardware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Confirmed gate, barrier, card, camera, VMS/NVR and visitor vendors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Access cards, barrier events, security evidence and visitor workflows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Vendor/API/licensing and installer support are quote-based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Site inspection is mandatory before any adapter build; legal approves restriction and surveillance boundaries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Accounting/e-invoice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Export-first; Logo, Mikro, Parasut, Uyumsoft after accountant choice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Turkish accounting/e-invoice workflows and chart mapping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Export-first has low integration cost; live integration requires subscription/API quote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Accountant approves target system, chart-of-accounts mapping and reconciliation process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Domain/email operations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DNS, production domain, mailbox or sender tooling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Production launch, sender verification and support communications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Low direct cost but required for production reliability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Ataberk confirms domain owner, DNS access, support inboxes and renewal responsibility</w:t>
            </w:r>
          </w:p>
        </w:tc>
      </w:tr>
    </w:tbl>
    <w:p/>
    <w:p>
      <w:pPr>
        <w:spacing w:after="120"/>
      </w:pPr>
      <w:r>
        <w:t>Cost-management rules:</w:t>
      </w:r>
    </w:p>
    <w:p>
      <w:pPr>
        <w:pStyle w:val="ListNumber"/>
        <w:spacing w:after="80"/>
      </w:pPr>
      <w:r>
        <w:t>No paid production account is created without a named Ataberk billing owner and a WAMOCON technical owner.</w:t>
      </w:r>
    </w:p>
    <w:p>
      <w:pPr>
        <w:pStyle w:val="ListNumber"/>
        <w:spacing w:after="80"/>
      </w:pPr>
      <w:r>
        <w:t>Every paid provider gets a Jira story or subtask with labels external-dependency, third-party-cost and vendor-decision.</w:t>
      </w:r>
    </w:p>
    <w:p>
      <w:pPr>
        <w:pStyle w:val="ListNumber"/>
        <w:spacing w:after="80"/>
      </w:pPr>
      <w:r>
        <w:t>Sandbox/test credentials must be separate from production credentials.</w:t>
      </w:r>
    </w:p>
    <w:p>
      <w:pPr>
        <w:pStyle w:val="ListNumber"/>
        <w:spacing w:after="80"/>
      </w:pPr>
      <w:r>
        <w:t>Monthly caps, alert recipients and cancellation/renewal owner must be recorded before live use.</w:t>
      </w:r>
    </w:p>
    <w:p>
      <w:pPr>
        <w:pStyle w:val="ListNumber"/>
        <w:spacing w:after="80"/>
      </w:pPr>
      <w:r>
        <w:t>Provider credentials, service-role keys, invoices and commercial quotes must not be attached to public tickets or committed to the repository.</w:t>
      </w:r>
    </w:p>
    <w:p>
      <w:pPr>
        <w:pStyle w:val="ListNumber"/>
        <w:spacing w:after="80"/>
      </w:pPr>
      <w:r>
        <w:t>Data-processing, KVKK, retention and support terms must be reviewed before any provider handles resident, finance, identity, document or access-control data.</w:t>
      </w:r>
    </w:p>
    <w:p>
      <w:pPr>
        <w:spacing w:after="120"/>
      </w:pPr>
      <w:r>
        <w:t>Jira grouping:</w:t>
      </w:r>
    </w:p>
    <w:p>
      <w:pPr>
        <w:pStyle w:val="ListBullet"/>
        <w:spacing w:after="80"/>
      </w:pPr>
      <w:r>
        <w:t>The Jira sync groups external dependencies under Phase 13, "External Integrations", with a dedicated cost-register story.</w:t>
      </w:r>
    </w:p>
    <w:p>
      <w:pPr>
        <w:pStyle w:val="ListBullet"/>
        <w:spacing w:after="80"/>
      </w:pPr>
      <w:r>
        <w:t>The Third-Party Integration And Vendor Plan DOCX is included in the managed documentation attachment package.</w:t>
      </w:r>
    </w:p>
    <w:p>
      <w:pPr>
        <w:pStyle w:val="ListBullet"/>
        <w:spacing w:after="80"/>
      </w:pPr>
      <w:r>
        <w:t>Jira should show the cost-register story before individual provider-implementation tasks move to production mode.</w:t>
      </w:r>
    </w:p>
    <w:p>
      <w:pPr>
        <w:pStyle w:val="ListBullet"/>
        <w:spacing w:after="80"/>
      </w:pPr>
      <w:r>
        <w:t>If a provider becomes launch-critical, create a child task for quote, contract/legal review, sandbox proof, production credential request, UAT proof and rollback/manual fallback.</w:t>
      </w:r>
    </w:p>
    <w:p>
      <w:pPr>
        <w:spacing w:after="120"/>
      </w:pPr>
      <w:r>
        <w:t>Provider link register for Jira tickets: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Category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Official links to include in relevant Jira tickets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Core cloud and hosting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Supabase Pricing: https://supabase.com/pricing; Supabase Realtime: https://supabase.com/docs/guides/realtime; Supabase RLS: https://supabase.com/docs/guides/database/postgres/row-level-security; Vercel Pricing: https://vercel.com/pricing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Delivery tooling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Jira Pricing: https://www.atlassian.com/software/jira/pricing; Xray Cloud Marketplace Pricing: https://marketplace.atlassian.com/apps/1211769/xray-test-management-for-jira?tab=pricing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Payments and wallet candidates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iyzico: https://www.iyzico.com/en/; PayTR: https://www.paytr.com/en; Param: https://param.com.tr/; Sipay: https://sipay.com.tr/; Paycell: https://www.paycell.com.tr/; Papara: https://www.papara.com/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Messaging and push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Netgsm: https://www.netgsm.com.tr/; Ileti Merkezi: https://www.iletimerkezi.com/; Postmark Pricing: https://postmarkapp.com/pricing; Amazon SES: https://aws.amazon.com/ses/; Firebase Pricing: https://firebase.google.com/pricing; OneSignal Pricing: https://onesignal.com/pricing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Monitoring and uptime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Sentry Pricing: https://sentry.io/pricing/; Better Stack Pricing: https://betterstack.com/pricing; UptimeRobot Pricing: https://uptimerobot.com/pricing/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Access, camera and physical security candidates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Hikvision: https://www.hikvision.com/en/; Dahua Security: https://www.dahuasecurity.com/; ZKTeco: https://www.zkteco.com/en/; dormakaba: https://www.dormakaba.com/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Accounting and e-invoice candidates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Logo Yazilim: https://www.logo.com.tr/; Mikro Yazilim: https://www.mikro.com.tr/; Parasut: https://www.parasut.com/; Uyumsoft: https://www.uyumsoft.com/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AI and security references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OpenAI API Pricing: https://platform.openai.com/docs/pricing; OWASP ASVS: https://owasp.org/www-project-application-security-verification-standard/; WCAG 2.2: https://www.w3.org/TR/WCAG22/</w:t>
            </w:r>
          </w:p>
        </w:tc>
      </w:tr>
    </w:tbl>
    <w:p/>
    <w:p>
      <w:pPr>
        <w:pStyle w:val="Heading1"/>
      </w:pPr>
      <w:r>
        <w:t>3. Competitive Baseline</w:t>
      </w:r>
    </w:p>
    <w:p>
      <w:pPr>
        <w:spacing w:after="120"/>
      </w:pPr>
      <w:r>
        <w:t>Turkish competitors show that a serious site-management product is expected to cover resident portals, dues/aidat, online collection, bank matching, reservation, mobile management, email/SMS and sometimes access/meter/AI features. Apsiyon publicly lists resident and manager products, bank integrations, card collection, reservations, manager mobile, access control, meters, email/SMS and AI assistants. Senyonet lists dues collection, online bank integration, finance, accounting, security and communication modules. Yonetimcell lists dues, online bank integration, credit card/Masterpass collection, resident/security/staff apps and mobile access. Aidatim lists online card collection, bank account matching, reports, meter billing and email/SMS.</w:t>
      </w:r>
    </w:p>
    <w:p>
      <w:pPr>
        <w:spacing w:after="120"/>
      </w:pPr>
      <w:r>
        <w:t>Global property-management players set the same bar at larger scale: Buildium presents accounting/payments, maintenance, resident center, leasing, marketplace integrations, open API and AI/automation; DoorLoop presents accounting, bank sync, leasing, maintenance, owner/resident portals, file storage, communication tools, AI and workflows.</w:t>
      </w:r>
    </w:p>
    <w:p>
      <w:pPr>
        <w:spacing w:after="120"/>
      </w:pPr>
      <w:r>
        <w:t>Implication for 1Cati: Phase 13 must be treated as a real product phase, not as a technical afterthought. Integrations need provider selection, adapter contracts, test mode, webhooks, failure queues, audit, monitoring and manual fallback.</w:t>
      </w:r>
    </w:p>
    <w:p>
      <w:pPr>
        <w:pStyle w:val="Heading1"/>
      </w:pPr>
      <w:r>
        <w:t>4. Architecture Rules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Rule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Requirement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Adapter isolation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No UI or finance module calls a vendor SDK directly. It calls an internal service/route.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Idempotency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Every provider event has a unique provider_event_id; duplicates cannot create duplicate ledger entries or access changes.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Signed webhooks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Webhook signatures, timestamps and replay windows are verified before processing.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Test mode first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Every adapter has sandbox credentials and a visible test connection state before production mode.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Manual fallback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Payment, bank, SMS, access and meter failures always have a manual queue and operator path.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Auditability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Sensitive actions write user, role, source, before/after status, provider reference and timestamp.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Least privilege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Provider keys are stored only as server-side secrets; service-role keys never reach the browser.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RLS and RBAC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Integration data is tenant/site scoped and follows the same RBAC model as the rest of the ERP.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Retry safety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Retries use backoff, max attempts, dead-letter state and operator-visible error reasons.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Observability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Each adapter reports health, last success, last failure, latency, error rate and queue length.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Legal boundary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AI or automation may recommend finance/access actions, but human approval is required for refunds, restrictions and physical access changes.</w:t>
            </w:r>
          </w:p>
        </w:tc>
      </w:tr>
    </w:tbl>
    <w:p/>
    <w:p>
      <w:pPr>
        <w:pStyle w:val="Heading1"/>
      </w:pPr>
      <w:r>
        <w:t>5. Vendor Shortlist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Area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Primary shortlist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Why it fits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Decision gate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Card/online payments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iyzico, PayTR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Turkey-focused payment providers with business payment solutions, virtual POS/API/developer resources and fraud/3DS-style capabilities.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Compare fees, settlement, refund flow, subscriptions/recurring payments, marketplace need, contract, support response and sandbox quality.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Payment alternates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Param, Sipay, Paycell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Useful commercial fallback if pricing, settlement or acquiring terms are better for Ataberk.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Get formal quote and technical docs before implementation.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Bank reconciliation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Bank CSV/Excel import first; later bank API/open banking partner if approved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Lowest launch risk and keeps accounting in control while data quality is validated.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Confirm bank list, export format, reconciliation tolerance and accountant sign-off.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SMS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Netgsm, Ileti Merkezi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Turkey-local SMS economics and sender-name handling are usually better than global SMS for local notices.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Confirm sender ID, pricing, API reliability, delivery reports and KVKK consent flow.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Email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Postmark or Amazon SES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Postmark is simple and reliable for transactional mail; SES is low-cost at scale.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Confirm domain ownership, DKIM/SPF/DMARC, bounce handling and support expectations.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Push notifications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Firebase Cloud Messaging; OneSignal optional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FCM is the normal technical base for web/mobile push; OneSignal adds a non-technical dashboard if needed.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Confirm PWA push support across target devices and consent UX.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Wallet/top-up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Ledger wallet first; Papara/Paycell only if needed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Avoids regulated e-money custody in the MVP while still supporting prepaid balance/accounting semantics.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Legal approval, resident terms, refund rules and provider settlement model.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Access/barrier/security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Site hardware adapter after inventory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Physical systems are installer- and device-specific; wrong early selection creates waste.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Collect hardware model, API docs, network topology and legal approval for restrictions.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Camera/visitor evidence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Existing VMS/NVR adapter only after approval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Camera data is sensitive and high-risk under KVKK.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Confirm purpose, retention, access rights, consent/signage and technical API.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Meter reading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Manual/Excel import first; device adapter later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Meter vendors vary; MVP can still bill with controlled imports.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Confirm meter type, reading format, anomaly rules and dispute workflow.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Accounting/e-invoice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Export-first; Logo, Mikro, Parasut, Uyumsoft later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Prevents accounting lock-in before the client accountant validates workflow.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Accountant approval and chart-of-accounts mapping.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Configurable OpenAI-compatible gateway plus local/on-prem option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Keeps model choice flexible and allows privacy-sensitive prompts to be routed differently.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Approve data classes allowed for AI, retention, prompt logging and human approval gates.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Monitoring/security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Sentry, Vercel logs, Supabase logs, Better Stack/UptimeRobot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Fast operational visibility without building a custom monitoring suite first.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Confirm alert recipients, SLA, escalation and incident log ownership.</w:t>
            </w:r>
          </w:p>
        </w:tc>
      </w:tr>
    </w:tbl>
    <w:p/>
    <w:p>
      <w:pPr>
        <w:pStyle w:val="Heading1"/>
      </w:pPr>
      <w:r>
        <w:t>6. Phase And Jira Ticket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Phase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Tickets to track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Phase 3 Platform/auth/security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Secret management, environment separation, RLS verification, webhook signature verification, audit-log standard, demo-mode shutdown.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Phase 6 Finance ledger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Immutable ledger postings, correction/reversal rules, account statements, export format, reconciliation data model.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Phase 7 Payments/deposits/restrictions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Payment provider shortlist, payment-intent API, webhook idempotency, refunds, deposits, manual bank matching, legal restriction policy.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Phase 11 Communication/docs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Email/SMS/push templates, delivery status, retry queue, consent/opt-out, document storage permissions, signed URLs.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Phase 12 Mobile PWA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PWA push, installability, offline-friendly views, mobile accessibility, resident payment/service/document flows.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Phase 13 Integrations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External dependency and cost register, provider registry, adapter interfaces, sandbox test mode, payment adapter, bank adapter, notification adapter, access/security adapter, wallet/top-up decision, monitoring console, integration runbook.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Phase 14 AI/analytics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AI provider gateway, source-grounded answers, confidence, evals, no direct money/access execution, approval workflow.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Phase 15 QA/launch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Integration UAT, provider failover tests, RLS tests, accessibility, performance, backup/restore, incident response and training.</w:t>
            </w:r>
          </w:p>
        </w:tc>
      </w:tr>
    </w:tbl>
    <w:p/>
    <w:p>
      <w:pPr>
        <w:pStyle w:val="Heading1"/>
      </w:pPr>
      <w:r>
        <w:t>7. Acceptance Criteria</w:t>
      </w:r>
    </w:p>
    <w:p>
      <w:pPr>
        <w:pStyle w:val="ListBullet"/>
        <w:spacing w:after="80"/>
      </w:pPr>
      <w:r>
        <w:t>Provider can be disabled without breaking the ERP shell.</w:t>
      </w:r>
    </w:p>
    <w:p>
      <w:pPr>
        <w:pStyle w:val="ListBullet"/>
        <w:spacing w:after="80"/>
      </w:pPr>
      <w:r>
        <w:t>Payment webhook duplicates cannot double-book money.</w:t>
      </w:r>
    </w:p>
    <w:p>
      <w:pPr>
        <w:pStyle w:val="ListBullet"/>
        <w:spacing w:after="80"/>
      </w:pPr>
      <w:r>
        <w:t>Failed SMS/email/push attempts are visible and retryable.</w:t>
      </w:r>
    </w:p>
    <w:p>
      <w:pPr>
        <w:pStyle w:val="ListBullet"/>
        <w:spacing w:after="80"/>
      </w:pPr>
      <w:r>
        <w:t>Access-control outage never silently grants or blocks access.</w:t>
      </w:r>
    </w:p>
    <w:p>
      <w:pPr>
        <w:pStyle w:val="ListBullet"/>
        <w:spacing w:after="80"/>
      </w:pPr>
      <w:r>
        <w:t>Wallet/top-up is disabled until legal/commercial approval is recorded.</w:t>
      </w:r>
    </w:p>
    <w:p>
      <w:pPr>
        <w:pStyle w:val="ListBullet"/>
        <w:spacing w:after="80"/>
      </w:pPr>
      <w:r>
        <w:t>Provider credentials are never exposed to client-side code or Jira attachments.</w:t>
      </w:r>
    </w:p>
    <w:p>
      <w:pPr>
        <w:pStyle w:val="ListBullet"/>
        <w:spacing w:after="80"/>
      </w:pPr>
      <w:r>
        <w:t>Integration logs show request ID, provider reference, status, latency, retry count and operator action.</w:t>
      </w:r>
    </w:p>
    <w:p>
      <w:pPr>
        <w:pStyle w:val="ListBullet"/>
        <w:spacing w:after="80"/>
      </w:pPr>
      <w:r>
        <w:t>Every production adapter has sandbox evidence, UAT evidence and a rollback/manual fallback path.</w:t>
      </w:r>
    </w:p>
    <w:p>
      <w:pPr>
        <w:pStyle w:val="Heading1"/>
      </w:pPr>
      <w:r>
        <w:t>8. Non-Goals For MVP</w:t>
      </w:r>
    </w:p>
    <w:p>
      <w:pPr>
        <w:pStyle w:val="ListBullet"/>
        <w:spacing w:after="80"/>
      </w:pPr>
      <w:r>
        <w:t>1Cati will not operate as an electronic money institution.</w:t>
      </w:r>
    </w:p>
    <w:p>
      <w:pPr>
        <w:pStyle w:val="ListBullet"/>
        <w:spacing w:after="80"/>
      </w:pPr>
      <w:r>
        <w:t>1Cati will not directly control biometric access or camera surveillance before legal review.</w:t>
      </w:r>
    </w:p>
    <w:p>
      <w:pPr>
        <w:pStyle w:val="ListBullet"/>
        <w:spacing w:after="80"/>
      </w:pPr>
      <w:r>
        <w:t>1Cati will not automate refunds, debt restrictions or physical access changes without human approval.</w:t>
      </w:r>
    </w:p>
    <w:p>
      <w:pPr>
        <w:pStyle w:val="ListBullet"/>
        <w:spacing w:after="80"/>
      </w:pPr>
      <w:r>
        <w:t>1Cati will not claim a provider is selected until quotes, contracts and credentials are approved.</w:t>
      </w:r>
    </w:p>
    <w:p>
      <w:pPr>
        <w:pStyle w:val="Heading1"/>
      </w:pPr>
      <w:r>
        <w:t>9. Current Source Baseline</w:t>
      </w:r>
    </w:p>
    <w:p>
      <w:pPr>
        <w:spacing w:after="120"/>
      </w:pPr>
      <w:r>
        <w:t>Reviewed sources on 26 June 2026:</w:t>
      </w:r>
    </w:p>
    <w:p>
      <w:pPr>
        <w:pStyle w:val="ListBullet"/>
        <w:spacing w:after="80"/>
      </w:pPr>
      <w:r>
        <w:t>Apsiyon: https://www.apsiyon.com/</w:t>
      </w:r>
    </w:p>
    <w:p>
      <w:pPr>
        <w:pStyle w:val="ListBullet"/>
        <w:spacing w:after="80"/>
      </w:pPr>
      <w:r>
        <w:t>Senyonet: https://www.senyonet.com.tr/</w:t>
      </w:r>
    </w:p>
    <w:p>
      <w:pPr>
        <w:pStyle w:val="ListBullet"/>
        <w:spacing w:after="80"/>
      </w:pPr>
      <w:r>
        <w:t>Yonetimcell: https://www.yonetimcell.com/</w:t>
      </w:r>
    </w:p>
    <w:p>
      <w:pPr>
        <w:pStyle w:val="ListBullet"/>
        <w:spacing w:after="80"/>
      </w:pPr>
      <w:r>
        <w:t>Aidatim: https://www.aidatim.com/</w:t>
      </w:r>
    </w:p>
    <w:p>
      <w:pPr>
        <w:pStyle w:val="ListBullet"/>
        <w:spacing w:after="80"/>
      </w:pPr>
      <w:r>
        <w:t>Buildium features: https://www.buildium.com/features/</w:t>
      </w:r>
    </w:p>
    <w:p>
      <w:pPr>
        <w:pStyle w:val="ListBullet"/>
        <w:spacing w:after="80"/>
      </w:pPr>
      <w:r>
        <w:t>DoorLoop features: https://www.doorloop.com/features</w:t>
      </w:r>
    </w:p>
    <w:p>
      <w:pPr>
        <w:pStyle w:val="ListBullet"/>
        <w:spacing w:after="80"/>
      </w:pPr>
      <w:r>
        <w:t>iyzico: https://www.iyzico.com/en/</w:t>
      </w:r>
    </w:p>
    <w:p>
      <w:pPr>
        <w:pStyle w:val="ListBullet"/>
        <w:spacing w:after="80"/>
      </w:pPr>
      <w:r>
        <w:t>PayTR: https://www.paytr.com/en</w:t>
      </w:r>
    </w:p>
    <w:p>
      <w:pPr>
        <w:pStyle w:val="ListBullet"/>
        <w:spacing w:after="80"/>
      </w:pPr>
      <w:r>
        <w:t>Param: https://param.com.tr/</w:t>
      </w:r>
    </w:p>
    <w:p>
      <w:pPr>
        <w:pStyle w:val="ListBullet"/>
        <w:spacing w:after="80"/>
      </w:pPr>
      <w:r>
        <w:t>Sipay: https://sipay.com.tr/</w:t>
      </w:r>
    </w:p>
    <w:p>
      <w:pPr>
        <w:pStyle w:val="ListBullet"/>
        <w:spacing w:after="80"/>
      </w:pPr>
      <w:r>
        <w:t>Paycell: https://www.paycell.com.tr/</w:t>
      </w:r>
    </w:p>
    <w:p>
      <w:pPr>
        <w:pStyle w:val="ListBullet"/>
        <w:spacing w:after="80"/>
      </w:pPr>
      <w:r>
        <w:t>Papara: https://www.papara.com/</w:t>
      </w:r>
    </w:p>
    <w:p>
      <w:pPr>
        <w:pStyle w:val="ListBullet"/>
        <w:spacing w:after="80"/>
      </w:pPr>
      <w:r>
        <w:t>Netgsm: https://www.netgsm.com.tr/</w:t>
      </w:r>
    </w:p>
    <w:p>
      <w:pPr>
        <w:pStyle w:val="ListBullet"/>
        <w:spacing w:after="80"/>
      </w:pPr>
      <w:r>
        <w:t>Ileti Merkezi: https://www.iletimerkezi.com/</w:t>
      </w:r>
    </w:p>
    <w:p>
      <w:pPr>
        <w:pStyle w:val="ListBullet"/>
        <w:spacing w:after="80"/>
      </w:pPr>
      <w:r>
        <w:t>Supabase Pricing: https://supabase.com/pricing</w:t>
      </w:r>
    </w:p>
    <w:p>
      <w:pPr>
        <w:pStyle w:val="ListBullet"/>
        <w:spacing w:after="80"/>
      </w:pPr>
      <w:r>
        <w:t>Supabase Realtime: https://supabase.com/docs/guides/realtime</w:t>
      </w:r>
    </w:p>
    <w:p>
      <w:pPr>
        <w:pStyle w:val="ListBullet"/>
        <w:spacing w:after="80"/>
      </w:pPr>
      <w:r>
        <w:t>Supabase RLS: https://supabase.com/docs/guides/database/postgres/row-level-security</w:t>
      </w:r>
    </w:p>
    <w:p>
      <w:pPr>
        <w:pStyle w:val="ListBullet"/>
        <w:spacing w:after="80"/>
      </w:pPr>
      <w:r>
        <w:t>Vercel Pricing: https://vercel.com/pricing</w:t>
      </w:r>
    </w:p>
    <w:p>
      <w:pPr>
        <w:pStyle w:val="ListBullet"/>
        <w:spacing w:after="80"/>
      </w:pPr>
      <w:r>
        <w:t>Jira Pricing: https://www.atlassian.com/software/jira/pricing</w:t>
      </w:r>
    </w:p>
    <w:p>
      <w:pPr>
        <w:pStyle w:val="ListBullet"/>
        <w:spacing w:after="80"/>
      </w:pPr>
      <w:r>
        <w:t>Xray Cloud Marketplace Pricing: https://marketplace.atlassian.com/apps/1211769/xray-test-management-for-jira?tab=pricing</w:t>
      </w:r>
    </w:p>
    <w:p>
      <w:pPr>
        <w:pStyle w:val="ListBullet"/>
        <w:spacing w:after="80"/>
      </w:pPr>
      <w:r>
        <w:t>Postmark Pricing: https://postmarkapp.com/pricing</w:t>
      </w:r>
    </w:p>
    <w:p>
      <w:pPr>
        <w:pStyle w:val="ListBullet"/>
        <w:spacing w:after="80"/>
      </w:pPr>
      <w:r>
        <w:t>Amazon SES: https://aws.amazon.com/ses/</w:t>
      </w:r>
    </w:p>
    <w:p>
      <w:pPr>
        <w:pStyle w:val="ListBullet"/>
        <w:spacing w:after="80"/>
      </w:pPr>
      <w:r>
        <w:t>Sentry Pricing: https://sentry.io/pricing/</w:t>
      </w:r>
    </w:p>
    <w:p>
      <w:pPr>
        <w:pStyle w:val="ListBullet"/>
        <w:spacing w:after="80"/>
      </w:pPr>
      <w:r>
        <w:t>Better Stack Pricing: https://betterstack.com/pricing</w:t>
      </w:r>
    </w:p>
    <w:p>
      <w:pPr>
        <w:pStyle w:val="ListBullet"/>
        <w:spacing w:after="80"/>
      </w:pPr>
      <w:r>
        <w:t>UptimeRobot Pricing: https://uptimerobot.com/pricing/</w:t>
      </w:r>
    </w:p>
    <w:p>
      <w:pPr>
        <w:pStyle w:val="ListBullet"/>
        <w:spacing w:after="80"/>
      </w:pPr>
      <w:r>
        <w:t>Firebase Pricing: https://firebase.google.com/pricing</w:t>
      </w:r>
    </w:p>
    <w:p>
      <w:pPr>
        <w:pStyle w:val="ListBullet"/>
        <w:spacing w:after="80"/>
      </w:pPr>
      <w:r>
        <w:t>OneSignal Pricing: https://onesignal.com/pricing</w:t>
      </w:r>
    </w:p>
    <w:p>
      <w:pPr>
        <w:pStyle w:val="ListBullet"/>
        <w:spacing w:after="80"/>
      </w:pPr>
      <w:r>
        <w:t>OpenAI API Pricing: https://platform.openai.com/docs/pricing</w:t>
      </w:r>
    </w:p>
    <w:p>
      <w:pPr>
        <w:pStyle w:val="ListBullet"/>
        <w:spacing w:after="80"/>
      </w:pPr>
      <w:r>
        <w:t>Hikvision: https://www.hikvision.com/en/</w:t>
      </w:r>
    </w:p>
    <w:p>
      <w:pPr>
        <w:pStyle w:val="ListBullet"/>
        <w:spacing w:after="80"/>
      </w:pPr>
      <w:r>
        <w:t>Dahua Security: https://www.dahuasecurity.com/</w:t>
      </w:r>
    </w:p>
    <w:p>
      <w:pPr>
        <w:pStyle w:val="ListBullet"/>
        <w:spacing w:after="80"/>
      </w:pPr>
      <w:r>
        <w:t>ZKTeco: https://www.zkteco.com/en/</w:t>
      </w:r>
    </w:p>
    <w:p>
      <w:pPr>
        <w:pStyle w:val="ListBullet"/>
        <w:spacing w:after="80"/>
      </w:pPr>
      <w:r>
        <w:t>dormakaba: https://www.dormakaba.com/</w:t>
      </w:r>
    </w:p>
    <w:p>
      <w:pPr>
        <w:pStyle w:val="ListBullet"/>
        <w:spacing w:after="80"/>
      </w:pPr>
      <w:r>
        <w:t>Logo Yazilim: https://www.logo.com.tr/</w:t>
      </w:r>
    </w:p>
    <w:p>
      <w:pPr>
        <w:pStyle w:val="ListBullet"/>
        <w:spacing w:after="80"/>
      </w:pPr>
      <w:r>
        <w:t>Mikro Yazilim: https://www.mikro.com.tr/</w:t>
      </w:r>
    </w:p>
    <w:p>
      <w:pPr>
        <w:pStyle w:val="ListBullet"/>
        <w:spacing w:after="80"/>
      </w:pPr>
      <w:r>
        <w:t>Parasut: https://www.parasut.com/</w:t>
      </w:r>
    </w:p>
    <w:p>
      <w:pPr>
        <w:pStyle w:val="ListBullet"/>
        <w:spacing w:after="80"/>
      </w:pPr>
      <w:r>
        <w:t>Uyumsoft: https://www.uyumsoft.com/</w:t>
      </w:r>
    </w:p>
    <w:p>
      <w:pPr>
        <w:pStyle w:val="ListBullet"/>
        <w:spacing w:after="80"/>
      </w:pPr>
      <w:r>
        <w:t>Next.js data updates and Server Functions: https://nextjs.org/docs/app/getting-started/updating-data</w:t>
      </w:r>
    </w:p>
    <w:p>
      <w:pPr>
        <w:pStyle w:val="ListBullet"/>
        <w:spacing w:after="80"/>
      </w:pPr>
      <w:r>
        <w:t>OWASP ASVS: https://owasp.org/www-project-application-security-verification-standard/</w:t>
      </w:r>
    </w:p>
    <w:p>
      <w:pPr>
        <w:pStyle w:val="ListBullet"/>
        <w:spacing w:after="80"/>
      </w:pPr>
      <w:r>
        <w:t>WCAG 2.2: https://www.w3.org/TR/WCAG22/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2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F172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1Cati Third-Party Integration And Vendor Plan</dc:title>
  <dc:subject/>
  <dc:creator>1Cati Product and Engineering</dc:creator>
  <cp:keywords>1Cati, Ataberk Estate, CRM, Supabase, requirements</cp:keywords>
  <dc:description>generated by python-docx</dc:description>
  <cp:lastModifiedBy>Codex Documents workflow</cp:lastModifiedBy>
  <cp:revision>1</cp:revision>
  <dcterms:created xsi:type="dcterms:W3CDTF">2013-12-23T23:15:00Z</dcterms:created>
  <dcterms:modified xsi:type="dcterms:W3CDTF">2013-12-23T23:15:00Z</dcterms:modified>
  <cp:category/>
</cp:coreProperties>
</file>