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media/phase-02-dashboard-command-center.png" ContentType="image/png"/>
  <Override PartName="/word/media/phase-02-simulation-ai.png" ContentType="image/png"/>
  <Override PartName="/word/media/phase-02-mobile-dashboard.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Phase 2: UX/UI und rollenbasierte Navigation</w:t>
      </w:r>
    </w:p>
    <w:p>
      <w:r>
        <w:rPr>
          <w:color w:val="667085"/>
        </w:rPr>
        <w:t>Ataberk Estate / New Level Premium Avsallar | Business-Dokumentation für Management und Fachbereiche | Stand: 25. Juni 2026</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7460"/>
      </w:tblGrid>
      <w:tr>
        <w:tc>
          <w:tcPr>
            <w:tcW w:w="1900" w:type="dxa"/>
            <w:vAlign w:val="center"/>
            <w:tcMar>
              <w:top w:w="120" w:type="dxa"/>
              <w:bottom w:w="120" w:type="dxa"/>
              <w:start w:w="150" w:type="dxa"/>
              <w:end w:w="150" w:type="dxa"/>
            </w:tcMar>
          </w:tcPr>
          <w:p>
            <w:r>
              <w:t>Zielgruppe</w:t>
            </w:r>
          </w:p>
        </w:tc>
        <w:tc>
          <w:tcPr>
            <w:tcW w:w="7460" w:type="dxa"/>
            <w:vAlign w:val="center"/>
            <w:tcMar>
              <w:top w:w="120" w:type="dxa"/>
              <w:bottom w:w="120" w:type="dxa"/>
              <w:start w:w="150" w:type="dxa"/>
              <w:end w:w="150" w:type="dxa"/>
            </w:tcMar>
          </w:tcPr>
          <w:p>
            <w:r>
              <w:t>Geschäftsführung, Objektmanagement, Buchhaltung, Technik, Support</w:t>
            </w:r>
          </w:p>
        </w:tc>
      </w:tr>
      <w:tr>
        <w:tc>
          <w:tcPr>
            <w:tcW w:w="1900" w:type="dxa"/>
            <w:vAlign w:val="center"/>
            <w:tcMar>
              <w:top w:w="120" w:type="dxa"/>
              <w:bottom w:w="120" w:type="dxa"/>
              <w:start w:w="150" w:type="dxa"/>
              <w:end w:w="150" w:type="dxa"/>
            </w:tcMar>
          </w:tcPr>
          <w:p>
            <w:r>
              <w:t>Business-Ziel</w:t>
            </w:r>
          </w:p>
        </w:tc>
        <w:tc>
          <w:tcPr>
            <w:tcW w:w="7460" w:type="dxa"/>
            <w:vAlign w:val="center"/>
            <w:tcMar>
              <w:top w:w="120" w:type="dxa"/>
              <w:bottom w:w="120" w:type="dxa"/>
              <w:start w:w="150" w:type="dxa"/>
              <w:end w:w="150" w:type="dxa"/>
            </w:tcMar>
          </w:tcPr>
          <w:p>
            <w:r>
              <w:t>Alle Rollen sollen die wichtigsten Informationen ohne Schulung in einer ruhigen, schnellen Oberfläche finden.</w:t>
            </w:r>
          </w:p>
        </w:tc>
      </w:tr>
      <w:tr>
        <w:tc>
          <w:tcPr>
            <w:tcW w:w="1900" w:type="dxa"/>
            <w:vAlign w:val="center"/>
            <w:tcMar>
              <w:top w:w="120" w:type="dxa"/>
              <w:bottom w:w="120" w:type="dxa"/>
              <w:start w:w="150" w:type="dxa"/>
              <w:end w:w="150" w:type="dxa"/>
            </w:tcMar>
          </w:tcPr>
          <w:p>
            <w:r>
              <w:t>Kundenfokus</w:t>
            </w:r>
          </w:p>
        </w:tc>
        <w:tc>
          <w:tcPr>
            <w:tcW w:w="7460" w:type="dxa"/>
            <w:vAlign w:val="center"/>
            <w:tcMar>
              <w:top w:w="120" w:type="dxa"/>
              <w:bottom w:w="120" w:type="dxa"/>
              <w:start w:w="150" w:type="dxa"/>
              <w:end w:w="150" w:type="dxa"/>
            </w:tcMar>
          </w:tcPr>
          <w:p>
            <w:r>
              <w:t>Ataberk Estate, New Level Premium, Avsallar / Alanya</w:t>
            </w:r>
          </w:p>
        </w:tc>
      </w:tr>
      <w:tr>
        <w:tc>
          <w:tcPr>
            <w:tcW w:w="1900" w:type="dxa"/>
            <w:vAlign w:val="center"/>
            <w:tcMar>
              <w:top w:w="120" w:type="dxa"/>
              <w:bottom w:w="120" w:type="dxa"/>
              <w:start w:w="150" w:type="dxa"/>
              <w:end w:w="150" w:type="dxa"/>
            </w:tcMar>
          </w:tcPr>
          <w:p>
            <w:r>
              <w:t>Dokumenttyp</w:t>
            </w:r>
          </w:p>
        </w:tc>
        <w:tc>
          <w:tcPr>
            <w:tcW w:w="7460" w:type="dxa"/>
            <w:vAlign w:val="center"/>
            <w:tcMar>
              <w:top w:w="120" w:type="dxa"/>
              <w:bottom w:w="120" w:type="dxa"/>
              <w:start w:w="150" w:type="dxa"/>
              <w:end w:w="150" w:type="dxa"/>
            </w:tcMar>
          </w:tcPr>
          <w:p>
            <w:r>
              <w:t>Fachliche Erklärung, Know-how, Bedienlogik und Management-Entscheidungen</w:t>
            </w:r>
          </w:p>
        </w:tc>
      </w:tr>
    </w:tbl>
    <w:p>
      <w:pPr>
        <w:pStyle w:val="Heading1"/>
      </w:pPr>
      <w:r>
        <w:t>Management Summary</w:t>
      </w:r>
    </w:p>
    <w:p>
      <w:pPr>
        <w:pStyle w:val="BodyText"/>
        <w:shd w:fill="EFF6FF"/>
      </w:pPr>
      <w:r>
        <w:rPr>
          <w:b/>
          <w:color w:val="0B2545"/>
        </w:rPr>
        <w:t>Phase 2 übersetzt die Plattform in eine verständliche Arbeitsoberfläche. Das Dashboard zeigt Risiken, Aufgaben, Kennzahlen, Phasenstatus, visuelle Objektlage und AI-Hinweise in einer Sprache, die operative Teams verstehen. Dadurch entsteht ein gemeinsamer Startpunkt für tägliche Entscheidungen.</w:t>
      </w:r>
    </w:p>
    <w:p>
      <w:pPr>
        <w:pStyle w:val="Heading1"/>
      </w:pPr>
      <w:r>
        <w:t>Kunden- und Projektkontext: Ataberk Estate</w:t>
      </w:r>
    </w:p>
    <w:p>
      <w:pPr>
        <w:pStyle w:val="BodyText"/>
      </w:pPr>
      <w:r>
        <w:t>Diese Dokumentation wurde nachträglich auf den tatsächlichen Kundenkontext geschärft. Der fachliche Fokus liegt jetzt nicht auf einem anonymen CRM, sondern auf Ataberk Estate und dem Projekt New Level Premium in Avsallar. Das ist wichtig, weil Vertrieb, Beratung, Exposé, Zahlungslogik, Dokumente, After-Sales und Vermietungsargumente für diesen Kunden besonders eng zusammenarbeiten müssen.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7260"/>
      </w:tblGrid>
      <w:tr>
        <w:tc>
          <w:tcPr>
            <w:tcW w:w="2100" w:type="dxa"/>
            <w:vAlign w:val="center"/>
            <w:tcMar>
              <w:top w:w="120" w:type="dxa"/>
              <w:bottom w:w="120" w:type="dxa"/>
              <w:start w:w="150" w:type="dxa"/>
              <w:end w:w="150" w:type="dxa"/>
            </w:tcMar>
          </w:tcPr>
          <w:p>
            <w:r>
              <w:t>Kunde</w:t>
            </w:r>
          </w:p>
        </w:tc>
        <w:tc>
          <w:tcPr>
            <w:tcW w:w="7260" w:type="dxa"/>
            <w:vAlign w:val="center"/>
            <w:tcMar>
              <w:top w:w="120" w:type="dxa"/>
              <w:bottom w:w="120" w:type="dxa"/>
              <w:start w:w="150" w:type="dxa"/>
              <w:end w:w="150" w:type="dxa"/>
            </w:tcMar>
          </w:tcPr>
          <w:p>
            <w:r>
              <w:t>Ataberk Estate</w:t>
            </w:r>
          </w:p>
        </w:tc>
      </w:tr>
      <w:tr>
        <w:tc>
          <w:tcPr>
            <w:tcW w:w="2100" w:type="dxa"/>
            <w:vAlign w:val="center"/>
            <w:tcMar>
              <w:top w:w="120" w:type="dxa"/>
              <w:bottom w:w="120" w:type="dxa"/>
              <w:start w:w="150" w:type="dxa"/>
              <w:end w:w="150" w:type="dxa"/>
            </w:tcMar>
          </w:tcPr>
          <w:p>
            <w:r>
              <w:t>Pilotprojekt</w:t>
            </w:r>
          </w:p>
        </w:tc>
        <w:tc>
          <w:tcPr>
            <w:tcW w:w="7260" w:type="dxa"/>
            <w:vAlign w:val="center"/>
            <w:tcMar>
              <w:top w:w="120" w:type="dxa"/>
              <w:bottom w:w="120" w:type="dxa"/>
              <w:start w:w="150" w:type="dxa"/>
              <w:end w:w="150" w:type="dxa"/>
            </w:tcMar>
          </w:tcPr>
          <w:p>
            <w:r>
              <w:t>New Level Premium, Avsallar / Alanya</w:t>
            </w:r>
          </w:p>
        </w:tc>
      </w:tr>
      <w:tr>
        <w:tc>
          <w:tcPr>
            <w:tcW w:w="2100" w:type="dxa"/>
            <w:vAlign w:val="center"/>
            <w:tcMar>
              <w:top w:w="120" w:type="dxa"/>
              <w:bottom w:w="120" w:type="dxa"/>
              <w:start w:w="150" w:type="dxa"/>
              <w:end w:w="150" w:type="dxa"/>
            </w:tcMar>
          </w:tcPr>
          <w:p>
            <w:r>
              <w:t>Projektangebot</w:t>
            </w:r>
          </w:p>
        </w:tc>
        <w:tc>
          <w:tcPr>
            <w:tcW w:w="7260" w:type="dxa"/>
            <w:vAlign w:val="center"/>
            <w:tcMar>
              <w:top w:w="120" w:type="dxa"/>
              <w:bottom w:w="120" w:type="dxa"/>
              <w:start w:w="150" w:type="dxa"/>
              <w:end w:w="150" w:type="dxa"/>
            </w:tcMar>
          </w:tcPr>
          <w:p>
            <w:r>
              <w:t>Wohnungen zum Verkauf aus einem 5-Sterne-Projekt</w:t>
            </w:r>
          </w:p>
        </w:tc>
      </w:tr>
      <w:tr>
        <w:tc>
          <w:tcPr>
            <w:tcW w:w="2100" w:type="dxa"/>
            <w:vAlign w:val="center"/>
            <w:tcMar>
              <w:top w:w="120" w:type="dxa"/>
              <w:bottom w:w="120" w:type="dxa"/>
              <w:start w:w="150" w:type="dxa"/>
              <w:end w:w="150" w:type="dxa"/>
            </w:tcMar>
          </w:tcPr>
          <w:p>
            <w:r>
              <w:t>Aktuelle Ausrichtung</w:t>
            </w:r>
          </w:p>
        </w:tc>
        <w:tc>
          <w:tcPr>
            <w:tcW w:w="7260" w:type="dxa"/>
            <w:vAlign w:val="center"/>
            <w:tcMar>
              <w:top w:w="120" w:type="dxa"/>
              <w:bottom w:w="120" w:type="dxa"/>
              <w:start w:w="150" w:type="dxa"/>
              <w:end w:w="150" w:type="dxa"/>
            </w:tcMar>
          </w:tcPr>
          <w:p>
            <w:r>
              <w:t>Die erste CRM-Version wird bewusst für Ataberk Estate und dieses Premium-Projekt geschärft.</w:t>
            </w:r>
          </w:p>
        </w:tc>
      </w:tr>
      <w:tr>
        <w:tc>
          <w:tcPr>
            <w:tcW w:w="2100" w:type="dxa"/>
            <w:vAlign w:val="center"/>
            <w:tcMar>
              <w:top w:w="120" w:type="dxa"/>
              <w:bottom w:w="120" w:type="dxa"/>
              <w:start w:w="150" w:type="dxa"/>
              <w:end w:w="150" w:type="dxa"/>
            </w:tcMar>
          </w:tcPr>
          <w:p>
            <w:r>
              <w:t>Spätere Ausbaustufe</w:t>
            </w:r>
          </w:p>
        </w:tc>
        <w:tc>
          <w:tcPr>
            <w:tcW w:w="7260" w:type="dxa"/>
            <w:vAlign w:val="center"/>
            <w:tcMar>
              <w:top w:w="120" w:type="dxa"/>
              <w:bottom w:w="120" w:type="dxa"/>
              <w:start w:w="150" w:type="dxa"/>
              <w:end w:w="150" w:type="dxa"/>
            </w:tcMar>
          </w:tcPr>
          <w:p>
            <w:r>
              <w:t>Die Logik soll danach als allgemeines CRM für weitere Projekte, Standorte und Unternehmen nutzbar bleiben.</w:t>
            </w:r>
          </w:p>
        </w:tc>
      </w:tr>
    </w:tbl>
    <w:p>
      <w:pPr>
        <w:pStyle w:val="Heading2"/>
      </w:pPr>
      <w:r>
        <w:t>Was daraus für die Phase folgt</w:t>
      </w:r>
    </w:p>
    <w:p>
      <w:pPr>
        <w:pStyle w:val="BodyText"/>
        <w:numPr>
          <w:ilvl w:val="0"/>
          <w:numId w:val="1"/>
        </w:numPr>
      </w:pPr>
      <w:r>
        <w:t>Ataberk Estate arbeitet öffentlich mit Kauf, Miete, Neubau-/Bauträgerangeboten und Services rund um Immobilien in der Türkei.</w:t>
      </w:r>
    </w:p>
    <w:p>
      <w:pPr>
        <w:pStyle w:val="BodyText"/>
        <w:numPr>
          <w:ilvl w:val="0"/>
          <w:numId w:val="1"/>
        </w:numPr>
      </w:pPr>
      <w:r>
        <w:t>Für die erste Version ist New Level Premium in Avsallar der fachliche Anker: ein Premium-Projekt, bei dem Verkauf, Beratung, Dokumente, Zahlung, Online-Besichtigung und After-Sales eng zusammenhängen.</w:t>
      </w:r>
    </w:p>
    <w:p>
      <w:pPr>
        <w:pStyle w:val="BodyText"/>
        <w:numPr>
          <w:ilvl w:val="0"/>
          <w:numId w:val="1"/>
        </w:numPr>
      </w:pPr>
      <w:r>
        <w:t>Die öffentliche Ataberk-Präsenz zeigt WhatsApp, Telegram, Rückruf und Anfrageformulare als wichtige Kontaktkanäle. Das CRM muss diese Kanäle deshalb als Lead- und Servicefluss berücksichtigen.</w:t>
      </w:r>
    </w:p>
    <w:p>
      <w:pPr>
        <w:pStyle w:val="BodyText"/>
        <w:numPr>
          <w:ilvl w:val="0"/>
          <w:numId w:val="1"/>
        </w:numPr>
      </w:pPr>
      <w:r>
        <w:t>Die Website stellt Alanya und Avsallar als wichtige Standortkontexte dar. Die CRM-Oberfläche soll Standort, Projekt, verfügbare Einheiten und Kundeninteresse schnell verständlich machen.</w:t>
      </w:r>
    </w:p>
    <w:p>
      <w:pPr>
        <w:pStyle w:val="BodyText"/>
        <w:numPr>
          <w:ilvl w:val="0"/>
          <w:numId w:val="1"/>
        </w:numPr>
      </w:pPr>
      <w:r>
        <w:t>Services wie Online-Besichtigung, Möbelkauf, Verkaufshilfe, Mietthemen, TAPU-/Kaufprozess, Ratenzahlung und Investmentargumente müssen in der fachlichen Planung sichtbar bleiben.</w:t>
      </w:r>
    </w:p>
    <w:p>
      <w:pPr>
        <w:pStyle w:val="Heading2"/>
      </w:pPr>
      <w:r>
        <w:t>Öffentliche Referenzpunkte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800"/>
        <w:gridCol w:w="6560"/>
      </w:tblGrid>
      <w:tr>
        <w:tc>
          <w:tcPr>
            <w:tcW w:w="2800" w:type="dxa"/>
            <w:vAlign w:val="center"/>
            <w:tcMar>
              <w:top w:w="120" w:type="dxa"/>
              <w:bottom w:w="120" w:type="dxa"/>
              <w:start w:w="150" w:type="dxa"/>
              <w:end w:w="150" w:type="dxa"/>
            </w:tcMar>
          </w:tcPr>
          <w:p>
            <w:r>
              <w:t>Ataberk Website</w:t>
            </w:r>
          </w:p>
        </w:tc>
        <w:tc>
          <w:tcPr>
            <w:tcW w:w="6560" w:type="dxa"/>
            <w:vAlign w:val="center"/>
            <w:tcMar>
              <w:top w:w="120" w:type="dxa"/>
              <w:bottom w:w="120" w:type="dxa"/>
              <w:start w:w="150" w:type="dxa"/>
              <w:end w:w="150" w:type="dxa"/>
            </w:tcMar>
          </w:tcPr>
          <w:p>
            <w:r>
              <w:t>https://www.ataberkestate.com/</w:t>
            </w:r>
          </w:p>
        </w:tc>
      </w:tr>
      <w:tr>
        <w:tc>
          <w:tcPr>
            <w:tcW w:w="2800" w:type="dxa"/>
            <w:vAlign w:val="center"/>
            <w:tcMar>
              <w:top w:w="120" w:type="dxa"/>
              <w:bottom w:w="120" w:type="dxa"/>
              <w:start w:w="150" w:type="dxa"/>
              <w:end w:w="150" w:type="dxa"/>
            </w:tcMar>
          </w:tcPr>
          <w:p>
            <w:r>
              <w:t>New Level Premium Artikel</w:t>
            </w:r>
          </w:p>
        </w:tc>
        <w:tc>
          <w:tcPr>
            <w:tcW w:w="6560" w:type="dxa"/>
            <w:vAlign w:val="center"/>
            <w:tcMar>
              <w:top w:w="120" w:type="dxa"/>
              <w:bottom w:w="120" w:type="dxa"/>
              <w:start w:w="150" w:type="dxa"/>
              <w:end w:w="150" w:type="dxa"/>
            </w:tcMar>
          </w:tcPr>
          <w:p>
            <w:r>
              <w:t>https://www.ataberkestate.com/articles/proekt-new-level-premium-investiruy-zarabatyvay-i-otdykhay</w:t>
            </w:r>
          </w:p>
        </w:tc>
      </w:tr>
      <w:tr>
        <w:tc>
          <w:tcPr>
            <w:tcW w:w="2800" w:type="dxa"/>
            <w:vAlign w:val="center"/>
            <w:tcMar>
              <w:top w:w="120" w:type="dxa"/>
              <w:bottom w:w="120" w:type="dxa"/>
              <w:start w:w="150" w:type="dxa"/>
              <w:end w:w="150" w:type="dxa"/>
            </w:tcMar>
          </w:tcPr>
          <w:p>
            <w:r>
              <w:t>Avsallar Kontext</w:t>
            </w:r>
          </w:p>
        </w:tc>
        <w:tc>
          <w:tcPr>
            <w:tcW w:w="6560" w:type="dxa"/>
            <w:vAlign w:val="center"/>
            <w:tcMar>
              <w:top w:w="120" w:type="dxa"/>
              <w:bottom w:w="120" w:type="dxa"/>
              <w:start w:w="150" w:type="dxa"/>
              <w:end w:w="150" w:type="dxa"/>
            </w:tcMar>
          </w:tcPr>
          <w:p>
            <w:r>
              <w:t>https://www.ataberkestate.com/turkey/complex-in-avsallar</w:t>
            </w:r>
          </w:p>
        </w:tc>
      </w:tr>
    </w:tbl>
    <w:p>
      <w:pPr>
        <w:pStyle w:val="Heading1"/>
      </w:pPr>
      <w:r>
        <w:t>Warum diese Phase wichtig ist</w:t>
      </w:r>
    </w:p>
    <w:p>
      <w:pPr>
        <w:pStyle w:val="BodyText"/>
        <w:numPr>
          <w:ilvl w:val="0"/>
          <w:numId w:val="1"/>
        </w:numPr>
      </w:pPr>
      <w:r>
        <w:t>Management muss nicht in Tabellen suchen, sondern sieht Risiken und Prioritäten auf einen Blick.</w:t>
      </w:r>
    </w:p>
    <w:p>
      <w:pPr>
        <w:pStyle w:val="BodyText"/>
        <w:numPr>
          <w:ilvl w:val="0"/>
          <w:numId w:val="1"/>
        </w:numPr>
      </w:pPr>
      <w:r>
        <w:t>Buchhaltung, Technik und Support arbeiten aus demselben System, sehen aber nur für ihre Rolle relevante Bereiche.</w:t>
      </w:r>
    </w:p>
    <w:p>
      <w:pPr>
        <w:pStyle w:val="BodyText"/>
        <w:numPr>
          <w:ilvl w:val="0"/>
          <w:numId w:val="1"/>
        </w:numPr>
      </w:pPr>
      <w:r>
        <w:t>Die mobile Ansicht erlaubt schnelle Kontrolle unterwegs, ohne eine separate Mobile-App einzuführen.</w:t>
      </w:r>
    </w:p>
    <w:p>
      <w:pPr>
        <w:pStyle w:val="BodyText"/>
        <w:numPr>
          <w:ilvl w:val="0"/>
          <w:numId w:val="1"/>
        </w:numPr>
      </w:pPr>
      <w:r>
        <w:t>Statusfarben, Karten und kurze Texte reduzieren Rückfragen und machen den Betrieb leichter erklärbar.</w:t>
      </w:r>
    </w:p>
    <w:p>
      <w:pPr>
        <w:pStyle w:val="Heading1"/>
      </w:pPr>
      <w:r>
        <w:t>Funktionsübersicht und Know-how</w:t>
      </w:r>
    </w:p>
    <w:p>
      <w:pPr>
        <w:pStyle w:val="BodyText"/>
      </w:pPr>
      <w:r>
        <w:t>Die folgende Tabelle erklärt jede Funktion aus Geschäftssicht. Sie beschreibt nicht, wie der Code gebaut ist, sondern welchen Arbeitsnutzen die Funktion liefert und welche Regeln der Fachbereich kennen muss.</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800"/>
        <w:gridCol w:w="2800"/>
        <w:gridCol w:w="2500"/>
        <w:gridCol w:w="2260"/>
      </w:tblGrid>
      <w:tr>
        <w:tc>
          <w:tcPr>
            <w:tcW w:w="1800" w:type="dxa"/>
            <w:vAlign w:val="center"/>
            <w:shd w:fill="F2F4F7"/>
            <w:tcMar>
              <w:top w:w="120" w:type="dxa"/>
              <w:bottom w:w="120" w:type="dxa"/>
              <w:start w:w="150" w:type="dxa"/>
              <w:end w:w="150" w:type="dxa"/>
            </w:tcMar>
          </w:tcPr>
          <w:p>
            <w:r>
              <w:rPr>
                <w:b/>
              </w:rPr>
              <w:t>Funktion</w:t>
            </w:r>
          </w:p>
        </w:tc>
        <w:tc>
          <w:tcPr>
            <w:tcW w:w="2800" w:type="dxa"/>
            <w:vAlign w:val="center"/>
            <w:shd w:fill="F2F4F7"/>
            <w:tcMar>
              <w:top w:w="120" w:type="dxa"/>
              <w:bottom w:w="120" w:type="dxa"/>
              <w:start w:w="150" w:type="dxa"/>
              <w:end w:w="150" w:type="dxa"/>
            </w:tcMar>
          </w:tcPr>
          <w:p>
            <w:r>
              <w:rPr>
                <w:b/>
              </w:rPr>
              <w:t>Was ist enthalten?</w:t>
            </w:r>
          </w:p>
        </w:tc>
        <w:tc>
          <w:tcPr>
            <w:tcW w:w="2500" w:type="dxa"/>
            <w:vAlign w:val="center"/>
            <w:shd w:fill="F2F4F7"/>
            <w:tcMar>
              <w:top w:w="120" w:type="dxa"/>
              <w:bottom w:w="120" w:type="dxa"/>
              <w:start w:w="150" w:type="dxa"/>
              <w:end w:w="150" w:type="dxa"/>
            </w:tcMar>
          </w:tcPr>
          <w:p>
            <w:r>
              <w:rPr>
                <w:b/>
              </w:rPr>
              <w:t>Business-Nutzen</w:t>
            </w:r>
          </w:p>
        </w:tc>
        <w:tc>
          <w:tcPr>
            <w:tcW w:w="2260" w:type="dxa"/>
            <w:vAlign w:val="center"/>
            <w:shd w:fill="F2F4F7"/>
            <w:tcMar>
              <w:top w:w="120" w:type="dxa"/>
              <w:bottom w:w="120" w:type="dxa"/>
              <w:start w:w="150" w:type="dxa"/>
              <w:end w:w="150" w:type="dxa"/>
            </w:tcMar>
          </w:tcPr>
          <w:p>
            <w:r>
              <w:rPr>
                <w:b/>
              </w:rPr>
              <w:t>Know-how für Anwender</w:t>
            </w:r>
          </w:p>
        </w:tc>
      </w:tr>
      <w:tr>
        <w:tc>
          <w:tcPr>
            <w:tcW w:w="1800" w:type="dxa"/>
            <w:vAlign w:val="center"/>
            <w:tcMar>
              <w:top w:w="120" w:type="dxa"/>
              <w:bottom w:w="120" w:type="dxa"/>
              <w:start w:w="150" w:type="dxa"/>
              <w:end w:w="150" w:type="dxa"/>
            </w:tcMar>
          </w:tcPr>
          <w:p>
            <w:r>
              <w:t>Command Center</w:t>
            </w:r>
          </w:p>
        </w:tc>
        <w:tc>
          <w:tcPr>
            <w:tcW w:w="2800" w:type="dxa"/>
            <w:vAlign w:val="center"/>
            <w:tcMar>
              <w:top w:w="120" w:type="dxa"/>
              <w:bottom w:w="120" w:type="dxa"/>
              <w:start w:w="150" w:type="dxa"/>
              <w:end w:w="150" w:type="dxa"/>
            </w:tcMar>
          </w:tcPr>
          <w:p>
            <w:r>
              <w:t>Startseite mit Warnungen, Zahlen, Aufgaben, Phasenstatus und AI-Hinweisen.</w:t>
            </w:r>
          </w:p>
        </w:tc>
        <w:tc>
          <w:tcPr>
            <w:tcW w:w="2500" w:type="dxa"/>
            <w:vAlign w:val="center"/>
            <w:tcMar>
              <w:top w:w="120" w:type="dxa"/>
              <w:bottom w:w="120" w:type="dxa"/>
              <w:start w:w="150" w:type="dxa"/>
              <w:end w:w="150" w:type="dxa"/>
            </w:tcMar>
          </w:tcPr>
          <w:p>
            <w:r>
              <w:t>Ein gemeinsamer Überblick für Management und Teamleiter.</w:t>
            </w:r>
          </w:p>
        </w:tc>
        <w:tc>
          <w:tcPr>
            <w:tcW w:w="2260" w:type="dxa"/>
            <w:vAlign w:val="center"/>
            <w:tcMar>
              <w:top w:w="120" w:type="dxa"/>
              <w:bottom w:w="120" w:type="dxa"/>
              <w:start w:w="150" w:type="dxa"/>
              <w:end w:w="150" w:type="dxa"/>
            </w:tcMar>
          </w:tcPr>
          <w:p>
            <w:r>
              <w:t>Jeden Morgen zuerst Dashboard öffnen und kritische Karten prüfen.</w:t>
            </w:r>
          </w:p>
        </w:tc>
      </w:tr>
      <w:tr>
        <w:tc>
          <w:tcPr>
            <w:tcW w:w="1800" w:type="dxa"/>
            <w:vAlign w:val="center"/>
            <w:tcMar>
              <w:top w:w="120" w:type="dxa"/>
              <w:bottom w:w="120" w:type="dxa"/>
              <w:start w:w="150" w:type="dxa"/>
              <w:end w:w="150" w:type="dxa"/>
            </w:tcMar>
          </w:tcPr>
          <w:p>
            <w:r>
              <w:t>Rollenmenü</w:t>
            </w:r>
          </w:p>
        </w:tc>
        <w:tc>
          <w:tcPr>
            <w:tcW w:w="2800" w:type="dxa"/>
            <w:vAlign w:val="center"/>
            <w:tcMar>
              <w:top w:w="120" w:type="dxa"/>
              <w:bottom w:w="120" w:type="dxa"/>
              <w:start w:w="150" w:type="dxa"/>
              <w:end w:w="150" w:type="dxa"/>
            </w:tcMar>
          </w:tcPr>
          <w:p>
            <w:r>
              <w:t>Linke Navigation mit Modulen wie Daire Matrisi, Sakinler, Servis, Finanzen und Rollen.</w:t>
            </w:r>
          </w:p>
        </w:tc>
        <w:tc>
          <w:tcPr>
            <w:tcW w:w="2500" w:type="dxa"/>
            <w:vAlign w:val="center"/>
            <w:tcMar>
              <w:top w:w="120" w:type="dxa"/>
              <w:bottom w:w="120" w:type="dxa"/>
              <w:start w:w="150" w:type="dxa"/>
              <w:end w:w="150" w:type="dxa"/>
            </w:tcMar>
          </w:tcPr>
          <w:p>
            <w:r>
              <w:t>Teams verlieren weniger Zeit, weil sie nicht durch irrelevante Bereiche navigieren.</w:t>
            </w:r>
          </w:p>
        </w:tc>
        <w:tc>
          <w:tcPr>
            <w:tcW w:w="2260" w:type="dxa"/>
            <w:vAlign w:val="center"/>
            <w:tcMar>
              <w:top w:w="120" w:type="dxa"/>
              <w:bottom w:w="120" w:type="dxa"/>
              <w:start w:w="150" w:type="dxa"/>
              <w:end w:w="150" w:type="dxa"/>
            </w:tcMar>
          </w:tcPr>
          <w:p>
            <w:r>
              <w:t>Rollen müssen fachlich sauber vergeben werden; falsche Rolle bedeutet falsche Sicht.</w:t>
            </w:r>
          </w:p>
        </w:tc>
      </w:tr>
      <w:tr>
        <w:tc>
          <w:tcPr>
            <w:tcW w:w="1800" w:type="dxa"/>
            <w:vAlign w:val="center"/>
            <w:tcMar>
              <w:top w:w="120" w:type="dxa"/>
              <w:bottom w:w="120" w:type="dxa"/>
              <w:start w:w="150" w:type="dxa"/>
              <w:end w:w="150" w:type="dxa"/>
            </w:tcMar>
          </w:tcPr>
          <w:p>
            <w:r>
              <w:t>Status- und Warnkarten</w:t>
            </w:r>
          </w:p>
        </w:tc>
        <w:tc>
          <w:tcPr>
            <w:tcW w:w="2800" w:type="dxa"/>
            <w:vAlign w:val="center"/>
            <w:tcMar>
              <w:top w:w="120" w:type="dxa"/>
              <w:bottom w:w="120" w:type="dxa"/>
              <w:start w:w="150" w:type="dxa"/>
              <w:end w:w="150" w:type="dxa"/>
            </w:tcMar>
          </w:tcPr>
          <w:p>
            <w:r>
              <w:t>Rote, orange und neutrale Hinweise für Risiko, Zugriff, SLA und Tagesarbeit.</w:t>
            </w:r>
          </w:p>
        </w:tc>
        <w:tc>
          <w:tcPr>
            <w:tcW w:w="2500" w:type="dxa"/>
            <w:vAlign w:val="center"/>
            <w:tcMar>
              <w:top w:w="120" w:type="dxa"/>
              <w:bottom w:w="120" w:type="dxa"/>
              <w:start w:w="150" w:type="dxa"/>
              <w:end w:w="150" w:type="dxa"/>
            </w:tcMar>
          </w:tcPr>
          <w:p>
            <w:r>
              <w:t>Risiken werden sichtbar, bevor sie eskalieren.</w:t>
            </w:r>
          </w:p>
        </w:tc>
        <w:tc>
          <w:tcPr>
            <w:tcW w:w="2260" w:type="dxa"/>
            <w:vAlign w:val="center"/>
            <w:tcMar>
              <w:top w:w="120" w:type="dxa"/>
              <w:bottom w:w="120" w:type="dxa"/>
              <w:start w:w="150" w:type="dxa"/>
              <w:end w:w="150" w:type="dxa"/>
            </w:tcMar>
          </w:tcPr>
          <w:p>
            <w:r>
              <w:t>Rot bedeutet handeln, orange bedeutet prüfen, neutral bedeutet beobachten.</w:t>
            </w:r>
          </w:p>
        </w:tc>
      </w:tr>
      <w:tr>
        <w:tc>
          <w:tcPr>
            <w:tcW w:w="1800" w:type="dxa"/>
            <w:vAlign w:val="center"/>
            <w:tcMar>
              <w:top w:w="120" w:type="dxa"/>
              <w:bottom w:w="120" w:type="dxa"/>
              <w:start w:w="150" w:type="dxa"/>
              <w:end w:w="150" w:type="dxa"/>
            </w:tcMar>
          </w:tcPr>
          <w:p>
            <w:r>
              <w:t>3D-Site-Simulation</w:t>
            </w:r>
          </w:p>
        </w:tc>
        <w:tc>
          <w:tcPr>
            <w:tcW w:w="2800" w:type="dxa"/>
            <w:vAlign w:val="center"/>
            <w:tcMar>
              <w:top w:w="120" w:type="dxa"/>
              <w:bottom w:w="120" w:type="dxa"/>
              <w:start w:w="150" w:type="dxa"/>
              <w:end w:w="150" w:type="dxa"/>
            </w:tcMar>
          </w:tcPr>
          <w:p>
            <w:r>
              <w:t>Visuelle Darstellung von Blöcken, Risiko, Zugriff und Servicebelastung.</w:t>
            </w:r>
          </w:p>
        </w:tc>
        <w:tc>
          <w:tcPr>
            <w:tcW w:w="2500" w:type="dxa"/>
            <w:vAlign w:val="center"/>
            <w:tcMar>
              <w:top w:w="120" w:type="dxa"/>
              <w:bottom w:w="120" w:type="dxa"/>
              <w:start w:w="150" w:type="dxa"/>
              <w:end w:w="150" w:type="dxa"/>
            </w:tcMar>
          </w:tcPr>
          <w:p>
            <w:r>
              <w:t>Komplexe Objektlage wird schneller verstanden als in Rohdaten.</w:t>
            </w:r>
          </w:p>
        </w:tc>
        <w:tc>
          <w:tcPr>
            <w:tcW w:w="2260" w:type="dxa"/>
            <w:vAlign w:val="center"/>
            <w:tcMar>
              <w:top w:w="120" w:type="dxa"/>
              <w:bottom w:w="120" w:type="dxa"/>
              <w:start w:w="150" w:type="dxa"/>
              <w:end w:w="150" w:type="dxa"/>
            </w:tcMar>
          </w:tcPr>
          <w:p>
            <w:r>
              <w:t>Die Simulation ist eine Managementhilfe, nicht die alleinige Entscheidungsquelle.</w:t>
            </w:r>
          </w:p>
        </w:tc>
      </w:tr>
      <w:tr>
        <w:tc>
          <w:tcPr>
            <w:tcW w:w="1800" w:type="dxa"/>
            <w:vAlign w:val="center"/>
            <w:tcMar>
              <w:top w:w="120" w:type="dxa"/>
              <w:bottom w:w="120" w:type="dxa"/>
              <w:start w:w="150" w:type="dxa"/>
              <w:end w:w="150" w:type="dxa"/>
            </w:tcMar>
          </w:tcPr>
          <w:p>
            <w:r>
              <w:t>AI-Operations-Hinweise</w:t>
            </w:r>
          </w:p>
        </w:tc>
        <w:tc>
          <w:tcPr>
            <w:tcW w:w="2800" w:type="dxa"/>
            <w:vAlign w:val="center"/>
            <w:tcMar>
              <w:top w:w="120" w:type="dxa"/>
              <w:bottom w:w="120" w:type="dxa"/>
              <w:start w:w="150" w:type="dxa"/>
              <w:end w:w="150" w:type="dxa"/>
            </w:tcMar>
          </w:tcPr>
          <w:p>
            <w:r>
              <w:t>Kurze priorisierte Vorschläge für Einnahmen, SLA, Check-out und Zugriff.</w:t>
            </w:r>
          </w:p>
        </w:tc>
        <w:tc>
          <w:tcPr>
            <w:tcW w:w="2500" w:type="dxa"/>
            <w:vAlign w:val="center"/>
            <w:tcMar>
              <w:top w:w="120" w:type="dxa"/>
              <w:bottom w:w="120" w:type="dxa"/>
              <w:start w:w="150" w:type="dxa"/>
              <w:end w:w="150" w:type="dxa"/>
            </w:tcMar>
          </w:tcPr>
          <w:p>
            <w:r>
              <w:t>Das Team erkennt, welche Aufgabe zuerst sinnvoll ist.</w:t>
            </w:r>
          </w:p>
        </w:tc>
        <w:tc>
          <w:tcPr>
            <w:tcW w:w="2260" w:type="dxa"/>
            <w:vAlign w:val="center"/>
            <w:tcMar>
              <w:top w:w="120" w:type="dxa"/>
              <w:bottom w:w="120" w:type="dxa"/>
              <w:start w:w="150" w:type="dxa"/>
              <w:end w:w="150" w:type="dxa"/>
            </w:tcMar>
          </w:tcPr>
          <w:p>
            <w:r>
              <w:t>AI empfiehlt; sensible Entscheidungen bleiben beim Menschen.</w:t>
            </w:r>
          </w:p>
        </w:tc>
      </w:tr>
    </w:tbl>
    <w:p>
      <w:pPr>
        <w:pStyle w:val="Heading1"/>
      </w:pPr>
      <w:r>
        <w:t>Täglicher Arbeitsablauf</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900"/>
        <w:gridCol w:w="4300"/>
        <w:gridCol w:w="4160"/>
      </w:tblGrid>
      <w:tr>
        <w:tc>
          <w:tcPr>
            <w:tcW w:w="900" w:type="dxa"/>
            <w:vAlign w:val="center"/>
            <w:shd w:fill="F2F4F7"/>
            <w:tcMar>
              <w:top w:w="120" w:type="dxa"/>
              <w:bottom w:w="120" w:type="dxa"/>
              <w:start w:w="150" w:type="dxa"/>
              <w:end w:w="150" w:type="dxa"/>
            </w:tcMar>
          </w:tcPr>
          <w:p>
            <w:r>
              <w:rPr>
                <w:b/>
              </w:rPr>
              <w:t>Schritt</w:t>
            </w:r>
          </w:p>
        </w:tc>
        <w:tc>
          <w:tcPr>
            <w:tcW w:w="4300" w:type="dxa"/>
            <w:vAlign w:val="center"/>
            <w:shd w:fill="F2F4F7"/>
            <w:tcMar>
              <w:top w:w="120" w:type="dxa"/>
              <w:bottom w:w="120" w:type="dxa"/>
              <w:start w:w="150" w:type="dxa"/>
              <w:end w:w="150" w:type="dxa"/>
            </w:tcMar>
          </w:tcPr>
          <w:p>
            <w:r>
              <w:rPr>
                <w:b/>
              </w:rPr>
              <w:t>Aktion im Alltag</w:t>
            </w:r>
          </w:p>
        </w:tc>
        <w:tc>
          <w:tcPr>
            <w:tcW w:w="4160" w:type="dxa"/>
            <w:vAlign w:val="center"/>
            <w:shd w:fill="F2F4F7"/>
            <w:tcMar>
              <w:top w:w="120" w:type="dxa"/>
              <w:bottom w:w="120" w:type="dxa"/>
              <w:start w:w="150" w:type="dxa"/>
              <w:end w:w="150" w:type="dxa"/>
            </w:tcMar>
          </w:tcPr>
          <w:p>
            <w:r>
              <w:rPr>
                <w:b/>
              </w:rPr>
              <w:t>Entscheidung / Ergebnis</w:t>
            </w:r>
          </w:p>
        </w:tc>
      </w:tr>
      <w:tr>
        <w:tc>
          <w:tcPr>
            <w:tcW w:w="900" w:type="dxa"/>
            <w:vAlign w:val="center"/>
            <w:tcMar>
              <w:top w:w="120" w:type="dxa"/>
              <w:bottom w:w="120" w:type="dxa"/>
              <w:start w:w="150" w:type="dxa"/>
              <w:end w:w="150" w:type="dxa"/>
            </w:tcMar>
          </w:tcPr>
          <w:p>
            <w:r>
              <w:t>1</w:t>
            </w:r>
          </w:p>
        </w:tc>
        <w:tc>
          <w:tcPr>
            <w:tcW w:w="4300" w:type="dxa"/>
            <w:vAlign w:val="center"/>
            <w:tcMar>
              <w:top w:w="120" w:type="dxa"/>
              <w:bottom w:w="120" w:type="dxa"/>
              <w:start w:w="150" w:type="dxa"/>
              <w:end w:w="150" w:type="dxa"/>
            </w:tcMar>
          </w:tcPr>
          <w:p>
            <w:r>
              <w:t>Dashboard öffnen und Warnkarten lesen.</w:t>
            </w:r>
          </w:p>
        </w:tc>
        <w:tc>
          <w:tcPr>
            <w:tcW w:w="4160" w:type="dxa"/>
            <w:vAlign w:val="center"/>
            <w:tcMar>
              <w:top w:w="120" w:type="dxa"/>
              <w:bottom w:w="120" w:type="dxa"/>
              <w:start w:w="150" w:type="dxa"/>
              <w:end w:w="150" w:type="dxa"/>
            </w:tcMar>
          </w:tcPr>
          <w:p>
            <w:r>
              <w:t>Management erkennt sofort, ob Finanz-, Zugriff- oder Servicethemen kritisch sind.</w:t>
            </w:r>
          </w:p>
        </w:tc>
      </w:tr>
      <w:tr>
        <w:tc>
          <w:tcPr>
            <w:tcW w:w="900" w:type="dxa"/>
            <w:vAlign w:val="center"/>
            <w:tcMar>
              <w:top w:w="120" w:type="dxa"/>
              <w:bottom w:w="120" w:type="dxa"/>
              <w:start w:w="150" w:type="dxa"/>
              <w:end w:w="150" w:type="dxa"/>
            </w:tcMar>
          </w:tcPr>
          <w:p>
            <w:r>
              <w:t>2</w:t>
            </w:r>
          </w:p>
        </w:tc>
        <w:tc>
          <w:tcPr>
            <w:tcW w:w="4300" w:type="dxa"/>
            <w:vAlign w:val="center"/>
            <w:tcMar>
              <w:top w:w="120" w:type="dxa"/>
              <w:bottom w:w="120" w:type="dxa"/>
              <w:start w:w="150" w:type="dxa"/>
              <w:end w:w="150" w:type="dxa"/>
            </w:tcMar>
          </w:tcPr>
          <w:p>
            <w:r>
              <w:t>Phasen- und Modulkarte prüfen.</w:t>
            </w:r>
          </w:p>
        </w:tc>
        <w:tc>
          <w:tcPr>
            <w:tcW w:w="4160" w:type="dxa"/>
            <w:vAlign w:val="center"/>
            <w:tcMar>
              <w:top w:w="120" w:type="dxa"/>
              <w:bottom w:w="120" w:type="dxa"/>
              <w:start w:w="150" w:type="dxa"/>
              <w:end w:w="150" w:type="dxa"/>
            </w:tcMar>
          </w:tcPr>
          <w:p>
            <w:r>
              <w:t>Das Team versteht, welche Arbeitsbereiche verfügbar sind.</w:t>
            </w:r>
          </w:p>
        </w:tc>
      </w:tr>
      <w:tr>
        <w:tc>
          <w:tcPr>
            <w:tcW w:w="900" w:type="dxa"/>
            <w:vAlign w:val="center"/>
            <w:tcMar>
              <w:top w:w="120" w:type="dxa"/>
              <w:bottom w:w="120" w:type="dxa"/>
              <w:start w:w="150" w:type="dxa"/>
              <w:end w:w="150" w:type="dxa"/>
            </w:tcMar>
          </w:tcPr>
          <w:p>
            <w:r>
              <w:t>3</w:t>
            </w:r>
          </w:p>
        </w:tc>
        <w:tc>
          <w:tcPr>
            <w:tcW w:w="4300" w:type="dxa"/>
            <w:vAlign w:val="center"/>
            <w:tcMar>
              <w:top w:w="120" w:type="dxa"/>
              <w:bottom w:w="120" w:type="dxa"/>
              <w:start w:w="150" w:type="dxa"/>
              <w:end w:w="150" w:type="dxa"/>
            </w:tcMar>
          </w:tcPr>
          <w:p>
            <w:r>
              <w:t>Simulation und Kennzahlen vergleichen.</w:t>
            </w:r>
          </w:p>
        </w:tc>
        <w:tc>
          <w:tcPr>
            <w:tcW w:w="4160" w:type="dxa"/>
            <w:vAlign w:val="center"/>
            <w:tcMar>
              <w:top w:w="120" w:type="dxa"/>
              <w:bottom w:w="120" w:type="dxa"/>
              <w:start w:w="150" w:type="dxa"/>
              <w:end w:w="150" w:type="dxa"/>
            </w:tcMar>
          </w:tcPr>
          <w:p>
            <w:r>
              <w:t>Block- oder Risikothemen werden schneller priorisiert.</w:t>
            </w:r>
          </w:p>
        </w:tc>
      </w:tr>
      <w:tr>
        <w:tc>
          <w:tcPr>
            <w:tcW w:w="900" w:type="dxa"/>
            <w:vAlign w:val="center"/>
            <w:tcMar>
              <w:top w:w="120" w:type="dxa"/>
              <w:bottom w:w="120" w:type="dxa"/>
              <w:start w:w="150" w:type="dxa"/>
              <w:end w:w="150" w:type="dxa"/>
            </w:tcMar>
          </w:tcPr>
          <w:p>
            <w:r>
              <w:t>4</w:t>
            </w:r>
          </w:p>
        </w:tc>
        <w:tc>
          <w:tcPr>
            <w:tcW w:w="4300" w:type="dxa"/>
            <w:vAlign w:val="center"/>
            <w:tcMar>
              <w:top w:w="120" w:type="dxa"/>
              <w:bottom w:w="120" w:type="dxa"/>
              <w:start w:w="150" w:type="dxa"/>
              <w:end w:w="150" w:type="dxa"/>
            </w:tcMar>
          </w:tcPr>
          <w:p>
            <w:r>
              <w:t>Über das Rollenmenü in den Detailbereich wechseln.</w:t>
            </w:r>
          </w:p>
        </w:tc>
        <w:tc>
          <w:tcPr>
            <w:tcW w:w="4160" w:type="dxa"/>
            <w:vAlign w:val="center"/>
            <w:tcMar>
              <w:top w:w="120" w:type="dxa"/>
              <w:bottom w:w="120" w:type="dxa"/>
              <w:start w:w="150" w:type="dxa"/>
              <w:end w:w="150" w:type="dxa"/>
            </w:tcMar>
          </w:tcPr>
          <w:p>
            <w:r>
              <w:t>Die Fachabteilung arbeitet direkt in ihrem Modul weiter.</w:t>
            </w:r>
          </w:p>
        </w:tc>
      </w:tr>
      <w:tr>
        <w:tc>
          <w:tcPr>
            <w:tcW w:w="900" w:type="dxa"/>
            <w:vAlign w:val="center"/>
            <w:tcMar>
              <w:top w:w="120" w:type="dxa"/>
              <w:bottom w:w="120" w:type="dxa"/>
              <w:start w:w="150" w:type="dxa"/>
              <w:end w:w="150" w:type="dxa"/>
            </w:tcMar>
          </w:tcPr>
          <w:p>
            <w:r>
              <w:t>5</w:t>
            </w:r>
          </w:p>
        </w:tc>
        <w:tc>
          <w:tcPr>
            <w:tcW w:w="4300" w:type="dxa"/>
            <w:vAlign w:val="center"/>
            <w:tcMar>
              <w:top w:w="120" w:type="dxa"/>
              <w:bottom w:w="120" w:type="dxa"/>
              <w:start w:w="150" w:type="dxa"/>
              <w:end w:w="150" w:type="dxa"/>
            </w:tcMar>
          </w:tcPr>
          <w:p>
            <w:r>
              <w:t>AI-Hinweis prüfen und Aufgabe bewusst bestätigen.</w:t>
            </w:r>
          </w:p>
        </w:tc>
        <w:tc>
          <w:tcPr>
            <w:tcW w:w="4160" w:type="dxa"/>
            <w:vAlign w:val="center"/>
            <w:tcMar>
              <w:top w:w="120" w:type="dxa"/>
              <w:bottom w:w="120" w:type="dxa"/>
              <w:start w:w="150" w:type="dxa"/>
              <w:end w:w="150" w:type="dxa"/>
            </w:tcMar>
          </w:tcPr>
          <w:p>
            <w:r>
              <w:t>AI unterstützt Entscheidungen, ersetzt aber keine Verantwortung.</w:t>
            </w:r>
          </w:p>
        </w:tc>
      </w:tr>
    </w:tbl>
    <w:p>
      <w:pPr>
        <w:pStyle w:val="Heading1"/>
      </w:pPr>
      <w:r>
        <w:t>Mindmap der Phase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w="3120" w:type="dxa"/>
            <w:vAlign w:val="center"/>
            <w:shd w:fill="ECFDF3"/>
            <w:tcMar>
              <w:top w:w="120" w:type="dxa"/>
              <w:bottom w:w="120" w:type="dxa"/>
              <w:start w:w="150" w:type="dxa"/>
              <w:end w:w="150" w:type="dxa"/>
            </w:tcMar>
          </w:tcPr>
          <w:p>
            <w:pPr>
              <w:jc w:val="center"/>
            </w:pPr>
            <w:r>
              <w:t>Rollen</w:t>
            </w:r>
          </w:p>
        </w:tc>
        <w:tc>
          <w:tcPr>
            <w:tcW w:w="3120" w:type="dxa"/>
            <w:vAlign w:val="center"/>
            <w:shd w:fill="EFF6FF"/>
            <w:tcMar>
              <w:top w:w="120" w:type="dxa"/>
              <w:bottom w:w="120" w:type="dxa"/>
              <w:start w:w="150" w:type="dxa"/>
              <w:end w:w="150" w:type="dxa"/>
            </w:tcMar>
          </w:tcPr>
          <w:p>
            <w:pPr>
              <w:jc w:val="center"/>
            </w:pPr>
            <w:r>
              <w:t>Warnungen</w:t>
            </w:r>
          </w:p>
        </w:tc>
        <w:tc>
          <w:tcPr>
            <w:tcW w:w="3120" w:type="dxa"/>
            <w:vAlign w:val="center"/>
            <w:shd w:fill="ECFDF3"/>
            <w:tcMar>
              <w:top w:w="120" w:type="dxa"/>
              <w:bottom w:w="120" w:type="dxa"/>
              <w:start w:w="150" w:type="dxa"/>
              <w:end w:w="150" w:type="dxa"/>
            </w:tcMar>
          </w:tcPr>
          <w:p>
            <w:pPr>
              <w:jc w:val="center"/>
            </w:pPr>
            <w:r>
              <w:t>Mobile Nutzung</w:t>
            </w:r>
          </w:p>
        </w:tc>
      </w:tr>
      <w:tr>
        <w:tc>
          <w:tcPr>
            <w:tcW w:w="3120" w:type="dxa"/>
            <w:vAlign w:val="center"/>
            <w:shd w:fill="F2F4F7"/>
            <w:tcMar>
              <w:top w:w="120" w:type="dxa"/>
              <w:bottom w:w="120" w:type="dxa"/>
              <w:start w:w="150" w:type="dxa"/>
              <w:end w:w="150" w:type="dxa"/>
            </w:tcMar>
          </w:tcPr>
          <w:p>
            <w:pPr>
              <w:jc w:val="center"/>
            </w:pPr>
            <w:r>
              <w:t>Navigation</w:t>
            </w:r>
          </w:p>
        </w:tc>
        <w:tc>
          <w:tcPr>
            <w:tcW w:w="3120" w:type="dxa"/>
            <w:vAlign w:val="center"/>
            <w:shd w:fill="DBEAFE"/>
            <w:tcMar>
              <w:top w:w="120" w:type="dxa"/>
              <w:bottom w:w="120" w:type="dxa"/>
              <w:start w:w="150" w:type="dxa"/>
              <w:end w:w="150" w:type="dxa"/>
            </w:tcMar>
          </w:tcPr>
          <w:p>
            <w:pPr>
              <w:jc w:val="center"/>
            </w:pPr>
            <w:r>
              <w:rPr>
                <w:b/>
              </w:rPr>
              <w:t>Phase 2
Arbeitsoberfläche</w:t>
            </w:r>
          </w:p>
        </w:tc>
        <w:tc>
          <w:tcPr>
            <w:tcW w:w="3120" w:type="dxa"/>
            <w:vAlign w:val="center"/>
            <w:shd w:fill="F2F4F7"/>
            <w:tcMar>
              <w:top w:w="120" w:type="dxa"/>
              <w:bottom w:w="120" w:type="dxa"/>
              <w:start w:w="150" w:type="dxa"/>
              <w:end w:w="150" w:type="dxa"/>
            </w:tcMar>
          </w:tcPr>
          <w:p>
            <w:pPr>
              <w:jc w:val="center"/>
            </w:pPr>
            <w:r>
              <w:t>AI-Hinweise</w:t>
            </w:r>
          </w:p>
        </w:tc>
      </w:tr>
      <w:tr>
        <w:tc>
          <w:tcPr>
            <w:tcW w:w="3120" w:type="dxa"/>
            <w:vAlign w:val="center"/>
            <w:shd w:fill="FFF7E6"/>
            <w:tcMar>
              <w:top w:w="120" w:type="dxa"/>
              <w:bottom w:w="120" w:type="dxa"/>
              <w:start w:w="150" w:type="dxa"/>
              <w:end w:w="150" w:type="dxa"/>
            </w:tcMar>
          </w:tcPr>
          <w:p>
            <w:pPr>
              <w:jc w:val="center"/>
            </w:pPr>
            <w:r>
              <w:t>Kennzahlen</w:t>
            </w:r>
          </w:p>
        </w:tc>
        <w:tc>
          <w:tcPr>
            <w:tcW w:w="3120" w:type="dxa"/>
            <w:vAlign w:val="center"/>
            <w:shd w:fill="F2FCE2"/>
            <w:tcMar>
              <w:top w:w="120" w:type="dxa"/>
              <w:bottom w:w="120" w:type="dxa"/>
              <w:start w:w="150" w:type="dxa"/>
              <w:end w:w="150" w:type="dxa"/>
            </w:tcMar>
          </w:tcPr>
          <w:p>
            <w:pPr>
              <w:jc w:val="center"/>
            </w:pPr>
            <w:r>
              <w:t>Simulation</w:t>
            </w:r>
          </w:p>
        </w:tc>
        <w:tc>
          <w:tcPr>
            <w:tcW w:w="3120" w:type="dxa"/>
            <w:vAlign w:val="center"/>
            <w:shd w:fill="FFF7E6"/>
            <w:tcMar>
              <w:top w:w="120" w:type="dxa"/>
              <w:bottom w:w="120" w:type="dxa"/>
              <w:start w:w="150" w:type="dxa"/>
              <w:end w:w="150" w:type="dxa"/>
            </w:tcMar>
          </w:tcPr>
          <w:p>
            <w:pPr>
              <w:jc w:val="center"/>
            </w:pPr>
            <w:r>
              <w:t>Tagessteuerung</w:t>
            </w:r>
          </w:p>
        </w:tc>
      </w:tr>
    </w:tbl>
    <w:p>
      <w:pPr>
        <w:pStyle w:val="Heading1"/>
      </w:pPr>
      <w:r>
        <w:t>Geschäftliche Kennzahlen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2200"/>
        <w:gridCol w:w="4660"/>
      </w:tblGrid>
      <w:tr>
        <w:tc>
          <w:tcPr>
            <w:tcW w:w="2500" w:type="dxa"/>
            <w:vAlign w:val="center"/>
            <w:shd w:fill="F2F4F7"/>
            <w:tcMar>
              <w:top w:w="120" w:type="dxa"/>
              <w:bottom w:w="120" w:type="dxa"/>
              <w:start w:w="150" w:type="dxa"/>
              <w:end w:w="150" w:type="dxa"/>
            </w:tcMar>
          </w:tcPr>
          <w:p>
            <w:r>
              <w:rPr>
                <w:b/>
              </w:rPr>
              <w:t>Kennzahl</w:t>
            </w:r>
          </w:p>
        </w:tc>
        <w:tc>
          <w:tcPr>
            <w:tcW w:w="2200" w:type="dxa"/>
            <w:vAlign w:val="center"/>
            <w:shd w:fill="F2F4F7"/>
            <w:tcMar>
              <w:top w:w="120" w:type="dxa"/>
              <w:bottom w:w="120" w:type="dxa"/>
              <w:start w:w="150" w:type="dxa"/>
              <w:end w:w="150" w:type="dxa"/>
            </w:tcMar>
          </w:tcPr>
          <w:p>
            <w:r>
              <w:rPr>
                <w:b/>
              </w:rPr>
              <w:t>Bedeutung</w:t>
            </w:r>
          </w:p>
        </w:tc>
        <w:tc>
          <w:tcPr>
            <w:tcW w:w="4660" w:type="dxa"/>
            <w:vAlign w:val="center"/>
            <w:shd w:fill="F2F4F7"/>
            <w:tcMar>
              <w:top w:w="120" w:type="dxa"/>
              <w:bottom w:w="120" w:type="dxa"/>
              <w:start w:w="150" w:type="dxa"/>
              <w:end w:w="150" w:type="dxa"/>
            </w:tcMar>
          </w:tcPr>
          <w:p>
            <w:r>
              <w:rPr>
                <w:b/>
              </w:rPr>
              <w:t>Geschäftliche Lesart</w:t>
            </w:r>
          </w:p>
        </w:tc>
      </w:tr>
      <w:tr>
        <w:tc>
          <w:tcPr>
            <w:tcW w:w="2500" w:type="dxa"/>
            <w:vAlign w:val="center"/>
            <w:tcMar>
              <w:top w:w="120" w:type="dxa"/>
              <w:bottom w:w="120" w:type="dxa"/>
              <w:start w:w="150" w:type="dxa"/>
              <w:end w:w="150" w:type="dxa"/>
            </w:tcMar>
          </w:tcPr>
          <w:p>
            <w:r>
              <w:t>4/4 sichtbare Phasen</w:t>
            </w:r>
          </w:p>
        </w:tc>
        <w:tc>
          <w:tcPr>
            <w:tcW w:w="2200" w:type="dxa"/>
            <w:vAlign w:val="center"/>
            <w:tcMar>
              <w:top w:w="120" w:type="dxa"/>
              <w:bottom w:w="120" w:type="dxa"/>
              <w:start w:w="150" w:type="dxa"/>
              <w:end w:w="150" w:type="dxa"/>
            </w:tcMar>
          </w:tcPr>
          <w:p>
            <w:r>
              <w:t>Alle aktuell fertiggestellten Bereiche sind für Stakeholder erkennbar.</w:t>
            </w:r>
          </w:p>
        </w:tc>
        <w:tc>
          <w:tcPr>
            <w:tcW w:w="4660" w:type="dxa"/>
            <w:vAlign w:val="center"/>
            <w:tcMar>
              <w:top w:w="120" w:type="dxa"/>
              <w:bottom w:w="120" w:type="dxa"/>
              <w:start w:w="150" w:type="dxa"/>
              <w:end w:w="150" w:type="dxa"/>
            </w:tcMar>
          </w:tcPr>
          <w:p>
            <w:r>
              <w:t>Transparenz über Fortschritt und Nutzung.</w:t>
            </w:r>
          </w:p>
        </w:tc>
      </w:tr>
      <w:tr>
        <w:tc>
          <w:tcPr>
            <w:tcW w:w="2500" w:type="dxa"/>
            <w:vAlign w:val="center"/>
            <w:tcMar>
              <w:top w:w="120" w:type="dxa"/>
              <w:bottom w:w="120" w:type="dxa"/>
              <w:start w:w="150" w:type="dxa"/>
              <w:end w:w="150" w:type="dxa"/>
            </w:tcMar>
          </w:tcPr>
          <w:p>
            <w:r>
              <w:t>768+ verwaltete Einheiten</w:t>
            </w:r>
          </w:p>
        </w:tc>
        <w:tc>
          <w:tcPr>
            <w:tcW w:w="2200" w:type="dxa"/>
            <w:vAlign w:val="center"/>
            <w:tcMar>
              <w:top w:w="120" w:type="dxa"/>
              <w:bottom w:w="120" w:type="dxa"/>
              <w:start w:w="150" w:type="dxa"/>
              <w:end w:w="150" w:type="dxa"/>
            </w:tcMar>
          </w:tcPr>
          <w:p>
            <w:r>
              <w:t>Dashboard bildet den großen Objektumfang ab.</w:t>
            </w:r>
          </w:p>
        </w:tc>
        <w:tc>
          <w:tcPr>
            <w:tcW w:w="4660" w:type="dxa"/>
            <w:vAlign w:val="center"/>
            <w:tcMar>
              <w:top w:w="120" w:type="dxa"/>
              <w:bottom w:w="120" w:type="dxa"/>
              <w:start w:w="150" w:type="dxa"/>
              <w:end w:w="150" w:type="dxa"/>
            </w:tcMar>
          </w:tcPr>
          <w:p>
            <w:r>
              <w:t>Die Oberfläche ist für Portfolio-Betrieb ausgelegt.</w:t>
            </w:r>
          </w:p>
        </w:tc>
      </w:tr>
      <w:tr>
        <w:tc>
          <w:tcPr>
            <w:tcW w:w="2500" w:type="dxa"/>
            <w:vAlign w:val="center"/>
            <w:tcMar>
              <w:top w:w="120" w:type="dxa"/>
              <w:bottom w:w="120" w:type="dxa"/>
              <w:start w:w="150" w:type="dxa"/>
              <w:end w:w="150" w:type="dxa"/>
            </w:tcMar>
          </w:tcPr>
          <w:p>
            <w:r>
              <w:t>Mobile Ansicht vorhanden</w:t>
            </w:r>
          </w:p>
        </w:tc>
        <w:tc>
          <w:tcPr>
            <w:tcW w:w="2200" w:type="dxa"/>
            <w:vAlign w:val="center"/>
            <w:tcMar>
              <w:top w:w="120" w:type="dxa"/>
              <w:bottom w:w="120" w:type="dxa"/>
              <w:start w:w="150" w:type="dxa"/>
              <w:end w:w="150" w:type="dxa"/>
            </w:tcMar>
          </w:tcPr>
          <w:p>
            <w:r>
              <w:t>Dashboard ist auf kleiner Breite lesbar.</w:t>
            </w:r>
          </w:p>
        </w:tc>
        <w:tc>
          <w:tcPr>
            <w:tcW w:w="4660" w:type="dxa"/>
            <w:vAlign w:val="center"/>
            <w:tcMar>
              <w:top w:w="120" w:type="dxa"/>
              <w:bottom w:w="120" w:type="dxa"/>
              <w:start w:w="150" w:type="dxa"/>
              <w:end w:w="150" w:type="dxa"/>
            </w:tcMar>
          </w:tcPr>
          <w:p>
            <w:r>
              <w:t>Führungskräfte können unterwegs prüfen.</w:t>
            </w:r>
          </w:p>
        </w:tc>
      </w:tr>
    </w:tbl>
    <w:p>
      <w:r>
        <w:br w:type="page"/>
      </w:r>
    </w:p>
    <w:p>
      <w:pPr>
        <w:pStyle w:val="Heading1"/>
      </w:pPr>
      <w:r>
        <w:t>Screenshots mit fachlicher Erklärung</w:t>
      </w:r>
    </w:p>
    <w:p>
      <w:pPr>
        <w:pStyle w:val="Heading2"/>
      </w:pPr>
      <w:r>
        <w:t>Screenshot 1: Management Command Center</w:t>
      </w:r>
    </w:p>
    <w:p>
      <w:pPr>
        <w:jc w:val="center"/>
      </w:pPr>
      <w:r>
        <w:drawing>
          <wp:inline xmlns:wp="http://schemas.openxmlformats.org/drawingml/2006/wordprocessingDrawing" distT="0" distB="0" distL="0" distR="0">
            <wp:extent cx="5669280" cy="3543300"/>
            <wp:effectExtent l="0" t="0" r="0" b="0"/>
            <wp:docPr id="1" name="Screenshot 1: Management Command Center" descr="Startansicht mit Warnkarten, Phasenübersicht, Kennzahlen und Rollenmen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ase-02-dashboard-command-center.png" descr="Startansicht mit Warnkarten, Phasenübersicht, Kennzahlen und Rollenmenü."/>
                    <pic:cNvPicPr/>
                  </pic:nvPicPr>
                  <pic:blipFill>
                    <a:blip xmlns:r="http://schemas.openxmlformats.org/officeDocument/2006/relationships" r:embed="rIdImg1"/>
                    <a:stretch>
                      <a:fillRect/>
                    </a:stretch>
                  </pic:blipFill>
                  <pic:spPr>
                    <a:xfrm>
                      <a:off x="0" y="0"/>
                      <a:ext cx="5669280" cy="3543300"/>
                    </a:xfrm>
                    <a:prstGeom prst="rect">
                      <a:avLst/>
                    </a:prstGeom>
                  </pic:spPr>
                </pic:pic>
              </a:graphicData>
            </a:graphic>
          </wp:inline>
        </w:drawing>
      </w:r>
    </w:p>
    <w:p>
      <w:pPr>
        <w:pStyle w:val="Caption"/>
        <w:jc w:val="center"/>
      </w:pPr>
      <w:r>
        <w:t>Startansicht mit Warnkarten, Phasenübersicht, Kennzahlen und Rollenmenü.</w:t>
      </w:r>
    </w:p>
    <w:p>
      <w:pPr>
        <w:pStyle w:val="Heading2"/>
      </w:pPr>
      <w:r>
        <w:t>Screenshot 2: Simulation und AI-Hinweise</w:t>
      </w:r>
    </w:p>
    <w:p>
      <w:pPr>
        <w:jc w:val="center"/>
      </w:pPr>
      <w:r>
        <w:drawing>
          <wp:inline xmlns:wp="http://schemas.openxmlformats.org/drawingml/2006/wordprocessingDrawing" distT="0" distB="0" distL="0" distR="0">
            <wp:extent cx="5669280" cy="3543300"/>
            <wp:effectExtent l="0" t="0" r="0" b="0"/>
            <wp:docPr id="2" name="Screenshot 2: Simulation und AI-Hinweise" descr="Visuelle Objektlage mit AI-Prioritäten für Betrieb, Finanzen un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ase-02-simulation-ai.png" descr="Visuelle Objektlage mit AI-Prioritäten für Betrieb, Finanzen und Service."/>
                    <pic:cNvPicPr/>
                  </pic:nvPicPr>
                  <pic:blipFill>
                    <a:blip xmlns:r="http://schemas.openxmlformats.org/officeDocument/2006/relationships" r:embed="rIdImg2"/>
                    <a:stretch>
                      <a:fillRect/>
                    </a:stretch>
                  </pic:blipFill>
                  <pic:spPr>
                    <a:xfrm>
                      <a:off x="0" y="0"/>
                      <a:ext cx="5669280" cy="3543300"/>
                    </a:xfrm>
                    <a:prstGeom prst="rect">
                      <a:avLst/>
                    </a:prstGeom>
                  </pic:spPr>
                </pic:pic>
              </a:graphicData>
            </a:graphic>
          </wp:inline>
        </w:drawing>
      </w:r>
    </w:p>
    <w:p>
      <w:pPr>
        <w:pStyle w:val="Caption"/>
        <w:jc w:val="center"/>
      </w:pPr>
      <w:r>
        <w:t>Visuelle Objektlage mit AI-Prioritäten für Betrieb, Finanzen und Service.</w:t>
      </w:r>
    </w:p>
    <w:p>
      <w:pPr>
        <w:pStyle w:val="Heading2"/>
      </w:pPr>
      <w:r>
        <w:t>Screenshot 3: Mobile Management-Ansicht</w:t>
      </w:r>
    </w:p>
    <w:p>
      <w:pPr>
        <w:jc w:val="center"/>
      </w:pPr>
      <w:r>
        <w:drawing>
          <wp:inline xmlns:wp="http://schemas.openxmlformats.org/drawingml/2006/wordprocessingDrawing" distT="0" distB="0" distL="0" distR="0">
            <wp:extent cx="1647870" cy="3566160"/>
            <wp:effectExtent l="0" t="0" r="0" b="0"/>
            <wp:docPr id="3" name="Screenshot 3: Mobile Management-Ansicht" descr="Die wichtigsten Karten bleiben auch auf schmalem Bildschirm verständl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ase-02-mobile-dashboard.png" descr="Die wichtigsten Karten bleiben auch auf schmalem Bildschirm verständlich."/>
                    <pic:cNvPicPr/>
                  </pic:nvPicPr>
                  <pic:blipFill>
                    <a:blip xmlns:r="http://schemas.openxmlformats.org/officeDocument/2006/relationships" r:embed="rIdImg3"/>
                    <a:stretch>
                      <a:fillRect/>
                    </a:stretch>
                  </pic:blipFill>
                  <pic:spPr>
                    <a:xfrm>
                      <a:off x="0" y="0"/>
                      <a:ext cx="1647870" cy="3566160"/>
                    </a:xfrm>
                    <a:prstGeom prst="rect">
                      <a:avLst/>
                    </a:prstGeom>
                  </pic:spPr>
                </pic:pic>
              </a:graphicData>
            </a:graphic>
          </wp:inline>
        </w:drawing>
      </w:r>
    </w:p>
    <w:p>
      <w:pPr>
        <w:pStyle w:val="Caption"/>
        <w:jc w:val="center"/>
      </w:pPr>
      <w:r>
        <w:t>Die wichtigsten Karten bleiben auch auf schmalem Bildschirm verständlich.</w:t>
      </w:r>
    </w:p>
    <w:p>
      <w:pPr>
        <w:pStyle w:val="Heading1"/>
      </w:pPr>
      <w:r>
        <w:t>Geschäftsregeln, Sonderfälle und Fehlerverhalten</w:t>
      </w:r>
    </w:p>
    <w:p>
      <w:pPr>
        <w:pStyle w:val="BodyText"/>
      </w:pPr>
      <w:r>
        <w:t>Diese Punkte sind für den Fachbereich wichtig, weil echte Arbeit nicht immer dem Idealfall folgt. Die Anwendung muss deshalb verständlich reagieren, wenn Daten fehlen, Rollen nicht passen oder Entscheidungen offen sind.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600"/>
        <w:gridCol w:w="3660"/>
        <w:gridCol w:w="3100"/>
      </w:tblGrid>
      <w:tr>
        <w:tc>
          <w:tcPr>
            <w:tcW w:w="2600" w:type="dxa"/>
            <w:vAlign w:val="center"/>
            <w:shd w:fill="F2F4F7"/>
            <w:tcMar>
              <w:top w:w="120" w:type="dxa"/>
              <w:bottom w:w="120" w:type="dxa"/>
              <w:start w:w="150" w:type="dxa"/>
              <w:end w:w="150" w:type="dxa"/>
            </w:tcMar>
          </w:tcPr>
          <w:p>
            <w:r>
              <w:rPr>
                <w:b/>
              </w:rPr>
              <w:t>Situation</w:t>
            </w:r>
          </w:p>
        </w:tc>
        <w:tc>
          <w:tcPr>
            <w:tcW w:w="3660" w:type="dxa"/>
            <w:vAlign w:val="center"/>
            <w:shd w:fill="F2F4F7"/>
            <w:tcMar>
              <w:top w:w="120" w:type="dxa"/>
              <w:bottom w:w="120" w:type="dxa"/>
              <w:start w:w="150" w:type="dxa"/>
              <w:end w:w="150" w:type="dxa"/>
            </w:tcMar>
          </w:tcPr>
          <w:p>
            <w:r>
              <w:rPr>
                <w:b/>
              </w:rPr>
              <w:t>Business-Regel</w:t>
            </w:r>
          </w:p>
        </w:tc>
        <w:tc>
          <w:tcPr>
            <w:tcW w:w="3100" w:type="dxa"/>
            <w:vAlign w:val="center"/>
            <w:shd w:fill="F2F4F7"/>
            <w:tcMar>
              <w:top w:w="120" w:type="dxa"/>
              <w:bottom w:w="120" w:type="dxa"/>
              <w:start w:w="150" w:type="dxa"/>
              <w:end w:w="150" w:type="dxa"/>
            </w:tcMar>
          </w:tcPr>
          <w:p>
            <w:r>
              <w:rPr>
                <w:b/>
              </w:rPr>
              <w:t>Was der Anwender tun soll</w:t>
            </w:r>
          </w:p>
        </w:tc>
      </w:tr>
      <w:tr>
        <w:tc>
          <w:tcPr>
            <w:tcW w:w="2600" w:type="dxa"/>
            <w:vAlign w:val="center"/>
            <w:tcMar>
              <w:top w:w="120" w:type="dxa"/>
              <w:bottom w:w="120" w:type="dxa"/>
              <w:start w:w="150" w:type="dxa"/>
              <w:end w:w="150" w:type="dxa"/>
            </w:tcMar>
          </w:tcPr>
          <w:p>
            <w:r>
              <w:t>Benutzer hat falsche Rolle</w:t>
            </w:r>
          </w:p>
        </w:tc>
        <w:tc>
          <w:tcPr>
            <w:tcW w:w="3660" w:type="dxa"/>
            <w:vAlign w:val="center"/>
            <w:tcMar>
              <w:top w:w="120" w:type="dxa"/>
              <w:bottom w:w="120" w:type="dxa"/>
              <w:start w:w="150" w:type="dxa"/>
              <w:end w:w="150" w:type="dxa"/>
            </w:tcMar>
          </w:tcPr>
          <w:p>
            <w:r>
              <w:t>Die sichtbaren Menüpunkte passen dann nicht zur Aufgabe.</w:t>
            </w:r>
          </w:p>
        </w:tc>
        <w:tc>
          <w:tcPr>
            <w:tcW w:w="3100" w:type="dxa"/>
            <w:vAlign w:val="center"/>
            <w:tcMar>
              <w:top w:w="120" w:type="dxa"/>
              <w:bottom w:w="120" w:type="dxa"/>
              <w:start w:w="150" w:type="dxa"/>
              <w:end w:w="150" w:type="dxa"/>
            </w:tcMar>
          </w:tcPr>
          <w:p>
            <w:r>
              <w:t>Rolle durch Admin prüfen lassen, nicht Workaround über fremden Login nutzen.</w:t>
            </w:r>
          </w:p>
        </w:tc>
      </w:tr>
      <w:tr>
        <w:tc>
          <w:tcPr>
            <w:tcW w:w="2600" w:type="dxa"/>
            <w:vAlign w:val="center"/>
            <w:tcMar>
              <w:top w:w="120" w:type="dxa"/>
              <w:bottom w:w="120" w:type="dxa"/>
              <w:start w:w="150" w:type="dxa"/>
              <w:end w:w="150" w:type="dxa"/>
            </w:tcMar>
          </w:tcPr>
          <w:p>
            <w:r>
              <w:t>AI-Hinweis wirkt kritisch</w:t>
            </w:r>
          </w:p>
        </w:tc>
        <w:tc>
          <w:tcPr>
            <w:tcW w:w="3660" w:type="dxa"/>
            <w:vAlign w:val="center"/>
            <w:tcMar>
              <w:top w:w="120" w:type="dxa"/>
              <w:bottom w:w="120" w:type="dxa"/>
              <w:start w:w="150" w:type="dxa"/>
              <w:end w:w="150" w:type="dxa"/>
            </w:tcMar>
          </w:tcPr>
          <w:p>
            <w:r>
              <w:t>AI ist Entscheidungsvorbereitung, keine automatische Ausführung.</w:t>
            </w:r>
          </w:p>
        </w:tc>
        <w:tc>
          <w:tcPr>
            <w:tcW w:w="3100" w:type="dxa"/>
            <w:vAlign w:val="center"/>
            <w:tcMar>
              <w:top w:w="120" w:type="dxa"/>
              <w:bottom w:w="120" w:type="dxa"/>
              <w:start w:w="150" w:type="dxa"/>
              <w:end w:w="150" w:type="dxa"/>
            </w:tcMar>
          </w:tcPr>
          <w:p>
            <w:r>
              <w:t>Fachliche Prüfung durchführen und Entscheidung dokumentieren.</w:t>
            </w:r>
          </w:p>
        </w:tc>
      </w:tr>
      <w:tr>
        <w:tc>
          <w:tcPr>
            <w:tcW w:w="2600" w:type="dxa"/>
            <w:vAlign w:val="center"/>
            <w:tcMar>
              <w:top w:w="120" w:type="dxa"/>
              <w:bottom w:w="120" w:type="dxa"/>
              <w:start w:w="150" w:type="dxa"/>
              <w:end w:w="150" w:type="dxa"/>
            </w:tcMar>
          </w:tcPr>
          <w:p>
            <w:r>
              <w:t>Zu viele Warnungen</w:t>
            </w:r>
          </w:p>
        </w:tc>
        <w:tc>
          <w:tcPr>
            <w:tcW w:w="3660" w:type="dxa"/>
            <w:vAlign w:val="center"/>
            <w:tcMar>
              <w:top w:w="120" w:type="dxa"/>
              <w:bottom w:w="120" w:type="dxa"/>
              <w:start w:w="150" w:type="dxa"/>
              <w:end w:w="150" w:type="dxa"/>
            </w:tcMar>
          </w:tcPr>
          <w:p>
            <w:r>
              <w:t>Zuerst rote Warnungen, danach orange Hinweise bearbeiten.</w:t>
            </w:r>
          </w:p>
        </w:tc>
        <w:tc>
          <w:tcPr>
            <w:tcW w:w="3100" w:type="dxa"/>
            <w:vAlign w:val="center"/>
            <w:tcMar>
              <w:top w:w="120" w:type="dxa"/>
              <w:bottom w:w="120" w:type="dxa"/>
              <w:start w:w="150" w:type="dxa"/>
              <w:end w:w="150" w:type="dxa"/>
            </w:tcMar>
          </w:tcPr>
          <w:p>
            <w:r>
              <w:t>Tagesprioritäten aus den Warnkarten ableiten.</w:t>
            </w:r>
          </w:p>
        </w:tc>
      </w:tr>
      <w:tr>
        <w:tc>
          <w:tcPr>
            <w:tcW w:w="2600" w:type="dxa"/>
            <w:vAlign w:val="center"/>
            <w:tcMar>
              <w:top w:w="120" w:type="dxa"/>
              <w:bottom w:w="120" w:type="dxa"/>
              <w:start w:w="150" w:type="dxa"/>
              <w:end w:w="150" w:type="dxa"/>
            </w:tcMar>
          </w:tcPr>
          <w:p>
            <w:r>
              <w:t>Mobile Bildschirmbreite</w:t>
            </w:r>
          </w:p>
        </w:tc>
        <w:tc>
          <w:tcPr>
            <w:tcW w:w="3660" w:type="dxa"/>
            <w:vAlign w:val="center"/>
            <w:tcMar>
              <w:top w:w="120" w:type="dxa"/>
              <w:bottom w:w="120" w:type="dxa"/>
              <w:start w:w="150" w:type="dxa"/>
              <w:end w:w="150" w:type="dxa"/>
            </w:tcMar>
          </w:tcPr>
          <w:p>
            <w:r>
              <w:t>Inhalte stapeln sich untereinander.</w:t>
            </w:r>
          </w:p>
        </w:tc>
        <w:tc>
          <w:tcPr>
            <w:tcW w:w="3100" w:type="dxa"/>
            <w:vAlign w:val="center"/>
            <w:tcMar>
              <w:top w:w="120" w:type="dxa"/>
              <w:bottom w:w="120" w:type="dxa"/>
              <w:start w:w="150" w:type="dxa"/>
              <w:end w:w="150" w:type="dxa"/>
            </w:tcMar>
          </w:tcPr>
          <w:p>
            <w:r>
              <w:t>Nicht zoomen müssen; stattdessen nach unten scrollen.</w:t>
            </w:r>
          </w:p>
        </w:tc>
      </w:tr>
    </w:tbl>
    <w:p>
      <w:pPr>
        <w:pStyle w:val="Heading1"/>
      </w:pPr>
      <w:r>
        <w:t>Schulung: was Anwender wissen müssen</w:t>
      </w:r>
    </w:p>
    <w:p>
      <w:pPr>
        <w:pStyle w:val="BodyText"/>
        <w:numPr>
          <w:ilvl w:val="0"/>
          <w:numId w:val="1"/>
        </w:numPr>
      </w:pPr>
      <w:r>
        <w:t>Anwender sollen zuerst die Warnkarten lesen und erst danach in Detailtabellen wechseln.</w:t>
      </w:r>
    </w:p>
    <w:p>
      <w:pPr>
        <w:pStyle w:val="BodyText"/>
        <w:numPr>
          <w:ilvl w:val="0"/>
          <w:numId w:val="1"/>
        </w:numPr>
      </w:pPr>
      <w:r>
        <w:t>Die AI-Karten sind Empfehlungen. Die Verantwortung bleibt bei der zuständigen Rolle.</w:t>
      </w:r>
    </w:p>
    <w:p>
      <w:pPr>
        <w:pStyle w:val="BodyText"/>
        <w:numPr>
          <w:ilvl w:val="0"/>
          <w:numId w:val="1"/>
        </w:numPr>
      </w:pPr>
      <w:r>
        <w:t>Rollenmenü und Statusfarben müssen in der Einführung kurz erklärt werden.</w:t>
      </w:r>
    </w:p>
    <w:p>
      <w:pPr>
        <w:pStyle w:val="BodyText"/>
        <w:numPr>
          <w:ilvl w:val="0"/>
          <w:numId w:val="1"/>
        </w:numPr>
      </w:pPr>
      <w:r>
        <w:t>Für Management reicht die Dashboard-Ansicht häufig als täglicher Startpunkt.</w:t>
      </w:r>
    </w:p>
    <w:p>
      <w:pPr>
        <w:pStyle w:val="Heading1"/>
      </w:pPr>
      <w:r>
        <w:t>Offene fachliche Entscheidungen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4100"/>
        <w:gridCol w:w="2760"/>
      </w:tblGrid>
      <w:tr>
        <w:tc>
          <w:tcPr>
            <w:tcW w:w="2500" w:type="dxa"/>
            <w:vAlign w:val="center"/>
            <w:shd w:fill="F2F4F7"/>
            <w:tcMar>
              <w:top w:w="120" w:type="dxa"/>
              <w:bottom w:w="120" w:type="dxa"/>
              <w:start w:w="150" w:type="dxa"/>
              <w:end w:w="150" w:type="dxa"/>
            </w:tcMar>
          </w:tcPr>
          <w:p>
            <w:r>
              <w:rPr>
                <w:b/>
              </w:rPr>
              <w:t>Thema</w:t>
            </w:r>
          </w:p>
        </w:tc>
        <w:tc>
          <w:tcPr>
            <w:tcW w:w="4100" w:type="dxa"/>
            <w:vAlign w:val="center"/>
            <w:shd w:fill="F2F4F7"/>
            <w:tcMar>
              <w:top w:w="120" w:type="dxa"/>
              <w:bottom w:w="120" w:type="dxa"/>
              <w:start w:w="150" w:type="dxa"/>
              <w:end w:w="150" w:type="dxa"/>
            </w:tcMar>
          </w:tcPr>
          <w:p>
            <w:r>
              <w:rPr>
                <w:b/>
              </w:rPr>
              <w:t>Entscheidung durch Management/Fachbereich</w:t>
            </w:r>
          </w:p>
        </w:tc>
        <w:tc>
          <w:tcPr>
            <w:tcW w:w="2760" w:type="dxa"/>
            <w:vAlign w:val="center"/>
            <w:shd w:fill="F2F4F7"/>
            <w:tcMar>
              <w:top w:w="120" w:type="dxa"/>
              <w:bottom w:w="120" w:type="dxa"/>
              <w:start w:w="150" w:type="dxa"/>
              <w:end w:w="150" w:type="dxa"/>
            </w:tcMar>
          </w:tcPr>
          <w:p>
            <w:r>
              <w:rPr>
                <w:b/>
              </w:rPr>
              <w:t>Warum relevant?</w:t>
            </w:r>
          </w:p>
        </w:tc>
      </w:tr>
      <w:tr>
        <w:tc>
          <w:tcPr>
            <w:tcW w:w="2500" w:type="dxa"/>
            <w:vAlign w:val="center"/>
            <w:tcMar>
              <w:top w:w="120" w:type="dxa"/>
              <w:bottom w:w="120" w:type="dxa"/>
              <w:start w:w="150" w:type="dxa"/>
              <w:end w:w="150" w:type="dxa"/>
            </w:tcMar>
          </w:tcPr>
          <w:p>
            <w:r>
              <w:t>Statussprache</w:t>
            </w:r>
          </w:p>
        </w:tc>
        <w:tc>
          <w:tcPr>
            <w:tcW w:w="4100" w:type="dxa"/>
            <w:vAlign w:val="center"/>
            <w:tcMar>
              <w:top w:w="120" w:type="dxa"/>
              <w:bottom w:w="120" w:type="dxa"/>
              <w:start w:w="150" w:type="dxa"/>
              <w:end w:w="150" w:type="dxa"/>
            </w:tcMar>
          </w:tcPr>
          <w:p>
            <w:r>
              <w:t>Welche Begriffe gelten final für rot, orange, grün und neutral?</w:t>
            </w:r>
          </w:p>
        </w:tc>
        <w:tc>
          <w:tcPr>
            <w:tcW w:w="2760" w:type="dxa"/>
            <w:vAlign w:val="center"/>
            <w:tcMar>
              <w:top w:w="120" w:type="dxa"/>
              <w:bottom w:w="120" w:type="dxa"/>
              <w:start w:w="150" w:type="dxa"/>
              <w:end w:w="150" w:type="dxa"/>
            </w:tcMar>
          </w:tcPr>
          <w:p>
            <w:r>
              <w:t>Einheitliche Sprache reduziert Missverständnisse.</w:t>
            </w:r>
          </w:p>
        </w:tc>
      </w:tr>
      <w:tr>
        <w:tc>
          <w:tcPr>
            <w:tcW w:w="2500" w:type="dxa"/>
            <w:vAlign w:val="center"/>
            <w:tcMar>
              <w:top w:w="120" w:type="dxa"/>
              <w:bottom w:w="120" w:type="dxa"/>
              <w:start w:w="150" w:type="dxa"/>
              <w:end w:w="150" w:type="dxa"/>
            </w:tcMar>
          </w:tcPr>
          <w:p>
            <w:r>
              <w:t>Management-KPIs</w:t>
            </w:r>
          </w:p>
        </w:tc>
        <w:tc>
          <w:tcPr>
            <w:tcW w:w="4100" w:type="dxa"/>
            <w:vAlign w:val="center"/>
            <w:tcMar>
              <w:top w:w="120" w:type="dxa"/>
              <w:bottom w:w="120" w:type="dxa"/>
              <w:start w:w="150" w:type="dxa"/>
              <w:end w:w="150" w:type="dxa"/>
            </w:tcMar>
          </w:tcPr>
          <w:p>
            <w:r>
              <w:t>Welche 5 Kennzahlen sollen dauerhaft ganz oben stehen?</w:t>
            </w:r>
          </w:p>
        </w:tc>
        <w:tc>
          <w:tcPr>
            <w:tcW w:w="2760" w:type="dxa"/>
            <w:vAlign w:val="center"/>
            <w:tcMar>
              <w:top w:w="120" w:type="dxa"/>
              <w:bottom w:w="120" w:type="dxa"/>
              <w:start w:w="150" w:type="dxa"/>
              <w:end w:w="150" w:type="dxa"/>
            </w:tcMar>
          </w:tcPr>
          <w:p>
            <w:r>
              <w:t>Zu viele Kennzahlen machen die Oberfläche langsamer verständlich.</w:t>
            </w:r>
          </w:p>
        </w:tc>
      </w:tr>
      <w:tr>
        <w:tc>
          <w:tcPr>
            <w:tcW w:w="2500" w:type="dxa"/>
            <w:vAlign w:val="center"/>
            <w:tcMar>
              <w:top w:w="120" w:type="dxa"/>
              <w:bottom w:w="120" w:type="dxa"/>
              <w:start w:w="150" w:type="dxa"/>
              <w:end w:w="150" w:type="dxa"/>
            </w:tcMar>
          </w:tcPr>
          <w:p>
            <w:r>
              <w:t>AI-Freigabe</w:t>
            </w:r>
          </w:p>
        </w:tc>
        <w:tc>
          <w:tcPr>
            <w:tcW w:w="4100" w:type="dxa"/>
            <w:vAlign w:val="center"/>
            <w:tcMar>
              <w:top w:w="120" w:type="dxa"/>
              <w:bottom w:w="120" w:type="dxa"/>
              <w:start w:w="150" w:type="dxa"/>
              <w:end w:w="150" w:type="dxa"/>
            </w:tcMar>
          </w:tcPr>
          <w:p>
            <w:r>
              <w:t>Welche AI-Hinweise dürfen nur nach menschlicher Bestätigung umgesetzt werden?</w:t>
            </w:r>
          </w:p>
        </w:tc>
        <w:tc>
          <w:tcPr>
            <w:tcW w:w="2760" w:type="dxa"/>
            <w:vAlign w:val="center"/>
            <w:tcMar>
              <w:top w:w="120" w:type="dxa"/>
              <w:bottom w:w="120" w:type="dxa"/>
              <w:start w:w="150" w:type="dxa"/>
              <w:end w:w="150" w:type="dxa"/>
            </w:tcMar>
          </w:tcPr>
          <w:p>
            <w:r>
              <w:t>Verantwortung und Vertrauen bleiben klar.</w:t>
            </w:r>
          </w:p>
        </w:tc>
      </w:tr>
    </w:tbl>
    <w:p>
      <w:pPr>
        <w:pStyle w:val="Heading1"/>
      </w:pPr>
      <w:r>
        <w:t>Verbindung zu den nächsten Phasen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4200"/>
        <w:gridCol w:w="2960"/>
      </w:tblGrid>
      <w:tr>
        <w:tc>
          <w:tcPr>
            <w:tcW w:w="2200" w:type="dxa"/>
            <w:vAlign w:val="center"/>
            <w:shd w:fill="F2F4F7"/>
            <w:tcMar>
              <w:top w:w="120" w:type="dxa"/>
              <w:bottom w:w="120" w:type="dxa"/>
              <w:start w:w="150" w:type="dxa"/>
              <w:end w:w="150" w:type="dxa"/>
            </w:tcMar>
          </w:tcPr>
          <w:p>
            <w:r>
              <w:rPr>
                <w:b/>
              </w:rPr>
              <w:t>Nächste Phase</w:t>
            </w:r>
          </w:p>
        </w:tc>
        <w:tc>
          <w:tcPr>
            <w:tcW w:w="4200" w:type="dxa"/>
            <w:vAlign w:val="center"/>
            <w:shd w:fill="F2F4F7"/>
            <w:tcMar>
              <w:top w:w="120" w:type="dxa"/>
              <w:bottom w:w="120" w:type="dxa"/>
              <w:start w:w="150" w:type="dxa"/>
              <w:end w:w="150" w:type="dxa"/>
            </w:tcMar>
          </w:tcPr>
          <w:p>
            <w:r>
              <w:rPr>
                <w:b/>
              </w:rPr>
              <w:t>Warum diese Phase davon abhängt</w:t>
            </w:r>
          </w:p>
        </w:tc>
        <w:tc>
          <w:tcPr>
            <w:tcW w:w="2960" w:type="dxa"/>
            <w:vAlign w:val="center"/>
            <w:shd w:fill="F2F4F7"/>
            <w:tcMar>
              <w:top w:w="120" w:type="dxa"/>
              <w:bottom w:w="120" w:type="dxa"/>
              <w:start w:w="150" w:type="dxa"/>
              <w:end w:w="150" w:type="dxa"/>
            </w:tcMar>
          </w:tcPr>
          <w:p>
            <w:r>
              <w:rPr>
                <w:b/>
              </w:rPr>
              <w:t>Empfehlung</w:t>
            </w:r>
          </w:p>
        </w:tc>
      </w:tr>
      <w:tr>
        <w:tc>
          <w:tcPr>
            <w:tcW w:w="2200" w:type="dxa"/>
            <w:vAlign w:val="center"/>
            <w:tcMar>
              <w:top w:w="120" w:type="dxa"/>
              <w:bottom w:w="120" w:type="dxa"/>
              <w:start w:w="150" w:type="dxa"/>
              <w:end w:w="150" w:type="dxa"/>
            </w:tcMar>
          </w:tcPr>
          <w:p>
            <w:r>
              <w:t>Phase 3</w:t>
            </w:r>
          </w:p>
        </w:tc>
        <w:tc>
          <w:tcPr>
            <w:tcW w:w="4200" w:type="dxa"/>
            <w:vAlign w:val="center"/>
            <w:tcMar>
              <w:top w:w="120" w:type="dxa"/>
              <w:bottom w:w="120" w:type="dxa"/>
              <w:start w:w="150" w:type="dxa"/>
              <w:end w:w="150" w:type="dxa"/>
            </w:tcMar>
          </w:tcPr>
          <w:p>
            <w:r>
              <w:t>Rollen und Rechte steuern, was im Menü sichtbar ist.</w:t>
            </w:r>
          </w:p>
        </w:tc>
        <w:tc>
          <w:tcPr>
            <w:tcW w:w="2960" w:type="dxa"/>
            <w:vAlign w:val="center"/>
            <w:tcMar>
              <w:top w:w="120" w:type="dxa"/>
              <w:bottom w:w="120" w:type="dxa"/>
              <w:start w:w="150" w:type="dxa"/>
              <w:end w:w="150" w:type="dxa"/>
            </w:tcMar>
          </w:tcPr>
          <w:p>
            <w:r>
              <w:t>Rollenmodell finalisieren.</w:t>
            </w:r>
          </w:p>
        </w:tc>
      </w:tr>
      <w:tr>
        <w:tc>
          <w:tcPr>
            <w:tcW w:w="2200" w:type="dxa"/>
            <w:vAlign w:val="center"/>
            <w:tcMar>
              <w:top w:w="120" w:type="dxa"/>
              <w:bottom w:w="120" w:type="dxa"/>
              <w:start w:w="150" w:type="dxa"/>
              <w:end w:w="150" w:type="dxa"/>
            </w:tcMar>
          </w:tcPr>
          <w:p>
            <w:r>
              <w:t>Phase 4</w:t>
            </w:r>
          </w:p>
        </w:tc>
        <w:tc>
          <w:tcPr>
            <w:tcW w:w="4200" w:type="dxa"/>
            <w:vAlign w:val="center"/>
            <w:tcMar>
              <w:top w:w="120" w:type="dxa"/>
              <w:bottom w:w="120" w:type="dxa"/>
              <w:start w:w="150" w:type="dxa"/>
              <w:end w:w="150" w:type="dxa"/>
            </w:tcMar>
          </w:tcPr>
          <w:p>
            <w:r>
              <w:t>Dashboard-Kennzahlen hängen an sauberen Objekt- und Einheitendaten.</w:t>
            </w:r>
          </w:p>
        </w:tc>
        <w:tc>
          <w:tcPr>
            <w:tcW w:w="2960" w:type="dxa"/>
            <w:vAlign w:val="center"/>
            <w:tcMar>
              <w:top w:w="120" w:type="dxa"/>
              <w:bottom w:w="120" w:type="dxa"/>
              <w:start w:w="150" w:type="dxa"/>
              <w:end w:w="150" w:type="dxa"/>
            </w:tcMar>
          </w:tcPr>
          <w:p>
            <w:r>
              <w:t>Import- und Datenregeln festlegen.</w:t>
            </w:r>
          </w:p>
        </w:tc>
      </w:tr>
      <w:tr>
        <w:tc>
          <w:tcPr>
            <w:tcW w:w="2200" w:type="dxa"/>
            <w:vAlign w:val="center"/>
            <w:tcMar>
              <w:top w:w="120" w:type="dxa"/>
              <w:bottom w:w="120" w:type="dxa"/>
              <w:start w:w="150" w:type="dxa"/>
              <w:end w:w="150" w:type="dxa"/>
            </w:tcMar>
          </w:tcPr>
          <w:p>
            <w:r>
              <w:t>Phase 6+</w:t>
            </w:r>
          </w:p>
        </w:tc>
        <w:tc>
          <w:tcPr>
            <w:tcW w:w="4200" w:type="dxa"/>
            <w:vAlign w:val="center"/>
            <w:tcMar>
              <w:top w:w="120" w:type="dxa"/>
              <w:bottom w:w="120" w:type="dxa"/>
              <w:start w:w="150" w:type="dxa"/>
              <w:end w:w="150" w:type="dxa"/>
            </w:tcMar>
          </w:tcPr>
          <w:p>
            <w:r>
              <w:t>Service- und Finanzprozesse nutzen das Dashboard als Steuerungszentrale.</w:t>
            </w:r>
          </w:p>
        </w:tc>
        <w:tc>
          <w:tcPr>
            <w:tcW w:w="2960" w:type="dxa"/>
            <w:vAlign w:val="center"/>
            <w:tcMar>
              <w:top w:w="120" w:type="dxa"/>
              <w:bottom w:w="120" w:type="dxa"/>
              <w:start w:w="150" w:type="dxa"/>
              <w:end w:w="150" w:type="dxa"/>
            </w:tcMar>
          </w:tcPr>
          <w:p>
            <w:r>
              <w:t>Dashboard als tägliches Operating-Modell nutzen.</w:t>
            </w:r>
          </w:p>
        </w:tc>
      </w:tr>
    </w:tbl>
    <w:p>
      <w:pPr>
        <w:pStyle w:val="Heading1"/>
      </w:pPr>
      <w:r>
        <w:t>Jira-Hinweis</w:t>
      </w:r>
    </w:p>
    <w:p>
      <w:pPr>
        <w:pStyle w:val="BodyText"/>
      </w:pPr>
      <w:r>
        <w:t>Dieses Dokument ist als fachliche Anlage für das jeweilige Jira-Phasen-Ticket gedacht. Im Ticket sollte es als aktuelle Business-Dokumentation referenziert werden, damit Management, Umsetzung und Abnahme dieselbe fachliche Grundlage verwenden.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1F2937"/>
    </w:rPr>
  </w:style>
  <w:style w:type="paragraph" w:styleId="BodyText">
    <w:name w:val="Body Text"/>
    <w:basedOn w:val="Normal"/>
    <w:pPr>
      <w:spacing w:after="120" w:line="264" w:lineRule="auto"/>
    </w:pPr>
    <w:rPr>
      <w:sz w:val="22"/>
      <w:color w:val="344054"/>
    </w:rPr>
  </w:style>
  <w:style w:type="paragraph" w:styleId="Title">
    <w:name w:val="Title"/>
    <w:qFormat/>
    <w:pPr>
      <w:spacing w:after="160"/>
    </w:pPr>
    <w:rPr>
      <w:b/>
      <w:sz w:val="40"/>
      <w:color w:val="0B2545"/>
    </w:rPr>
  </w:style>
  <w:style w:type="paragraph" w:styleId="Heading1">
    <w:name w:val="heading 1"/>
    <w:basedOn w:val="Normal"/>
    <w:qFormat/>
    <w:pPr>
      <w:keepNext/>
      <w:spacing w:before="320" w:after="160"/>
    </w:pPr>
    <w:rPr>
      <w:b/>
      <w:sz w:val="32"/>
      <w:color w:val="2E74B5"/>
    </w:rPr>
  </w:style>
  <w:style w:type="paragraph" w:styleId="Heading2">
    <w:name w:val="heading 2"/>
    <w:basedOn w:val="Normal"/>
    <w:qFormat/>
    <w:pPr>
      <w:keepNext/>
      <w:spacing w:before="240" w:after="120"/>
    </w:pPr>
    <w:rPr>
      <w:b/>
      <w:sz w:val="26"/>
      <w:color w:val="2E74B5"/>
    </w:rPr>
  </w:style>
  <w:style w:type="paragraph" w:styleId="Caption">
    <w:name w:val="caption"/>
    <w:basedOn w:val="Normal"/>
    <w:pPr>
      <w:spacing w:before="80" w:after="120"/>
    </w:pPr>
    <w:rPr>
      <w:i/>
      <w:sz w:val="18"/>
      <w:color w:val="667085"/>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Img1" Type="http://schemas.openxmlformats.org/officeDocument/2006/relationships/image" Target="media/phase-02-dashboard-command-center.png"/><Relationship Id="rIdImg2" Type="http://schemas.openxmlformats.org/officeDocument/2006/relationships/image" Target="media/phase-02-simulation-ai.png"/><Relationship Id="rIdImg3" Type="http://schemas.openxmlformats.org/officeDocument/2006/relationships/image" Target="media/phase-02-mobile-dashboard.png"/></Relationships>

</file>

<file path=docProps/app.xml><?xml version="1.0" encoding="utf-8"?>
<Properties xmlns="http://schemas.openxmlformats.org/officeDocument/2006/extended-properties" xmlns:vt="http://schemas.openxmlformats.org/officeDocument/2006/docPropsVTypes">
  <Application>Codex OOXML Builder</Application>
  <Company>Wamocon</Company>
</Properties>
</file>

<file path=docProps/core.xml><?xml version="1.0" encoding="utf-8"?>
<cp:coreProperties xmlns:cp="http://schemas.openxmlformats.org/package/2006/metadata/core-properties" xmlns:dc="http://purl.org/dc/elements/1.1/" xmlns:dcterms="http://purl.org/dc/terms/" xmlns:xsi="http://www.w3.org/2001/XMLSchema-instance">
  <dc:title>Phase 2: UX/UI und rollenbasierte Navigation</dc:title>
  <dc:creator>Codex</dc:creator>
  <cp:lastModifiedBy>Codex</cp:lastModifiedBy>
  <dcterms:created xsi:type="dcterms:W3CDTF">2026-06-25T11:49:34Z</dcterms:created>
  <dcterms:modified xsi:type="dcterms:W3CDTF">2026-06-25T11:49:34Z</dcterms:modified>
</cp:coreProperties>
</file>