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media/phase-04-unit-matrix.png" ContentType="image/png"/>
  <Override PartName="/word/media/phase-04-import-quality-gate.png" ContentType="image/png"/>
  <Override PartName="/word/media/phase-04-unit-search.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Phase 4: Site-, Block-, Etagen-, Wohnungs- und Importmodell</w:t>
      </w:r>
    </w:p>
    <w:p>
      <w:r>
        <w:rPr>
          <w:color w:val="667085"/>
        </w:rPr>
        <w:t>Ataberk Estate / New Level Premium Avsallar | Business-Dokumentation für Management und Fachbereiche | Stand: 25. Juni 2026</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7460"/>
      </w:tblGrid>
      <w:tr>
        <w:tc>
          <w:tcPr>
            <w:tcW w:w="1900" w:type="dxa"/>
            <w:vAlign w:val="center"/>
            <w:tcMar>
              <w:top w:w="120" w:type="dxa"/>
              <w:bottom w:w="120" w:type="dxa"/>
              <w:start w:w="150" w:type="dxa"/>
              <w:end w:w="150" w:type="dxa"/>
            </w:tcMar>
          </w:tcPr>
          <w:p>
            <w:r>
              <w:t>Zielgruppe</w:t>
            </w:r>
          </w:p>
        </w:tc>
        <w:tc>
          <w:tcPr>
            <w:tcW w:w="7460" w:type="dxa"/>
            <w:vAlign w:val="center"/>
            <w:tcMar>
              <w:top w:w="120" w:type="dxa"/>
              <w:bottom w:w="120" w:type="dxa"/>
              <w:start w:w="150" w:type="dxa"/>
              <w:end w:w="150" w:type="dxa"/>
            </w:tcMar>
          </w:tcPr>
          <w:p>
            <w:r>
              <w:t>Operations, Objektmanagement, Datenverantwortliche, Buchhaltung</w:t>
            </w:r>
          </w:p>
        </w:tc>
      </w:tr>
      <w:tr>
        <w:tc>
          <w:tcPr>
            <w:tcW w:w="1900" w:type="dxa"/>
            <w:vAlign w:val="center"/>
            <w:tcMar>
              <w:top w:w="120" w:type="dxa"/>
              <w:bottom w:w="120" w:type="dxa"/>
              <w:start w:w="150" w:type="dxa"/>
              <w:end w:w="150" w:type="dxa"/>
            </w:tcMar>
          </w:tcPr>
          <w:p>
            <w:r>
              <w:t>Business-Ziel</w:t>
            </w:r>
          </w:p>
        </w:tc>
        <w:tc>
          <w:tcPr>
            <w:tcW w:w="7460" w:type="dxa"/>
            <w:vAlign w:val="center"/>
            <w:tcMar>
              <w:top w:w="120" w:type="dxa"/>
              <w:bottom w:w="120" w:type="dxa"/>
              <w:start w:w="150" w:type="dxa"/>
              <w:end w:w="150" w:type="dxa"/>
            </w:tcMar>
          </w:tcPr>
          <w:p>
            <w:r>
              <w:t>Objekt- und Wohnungsdaten sollen zuverlässig, suchbar und vor dem operativen Einsatz kontrolliert sein.</w:t>
            </w:r>
          </w:p>
        </w:tc>
      </w:tr>
      <w:tr>
        <w:tc>
          <w:tcPr>
            <w:tcW w:w="1900" w:type="dxa"/>
            <w:vAlign w:val="center"/>
            <w:tcMar>
              <w:top w:w="120" w:type="dxa"/>
              <w:bottom w:w="120" w:type="dxa"/>
              <w:start w:w="150" w:type="dxa"/>
              <w:end w:w="150" w:type="dxa"/>
            </w:tcMar>
          </w:tcPr>
          <w:p>
            <w:r>
              <w:t>Kundenfokus</w:t>
            </w:r>
          </w:p>
        </w:tc>
        <w:tc>
          <w:tcPr>
            <w:tcW w:w="7460" w:type="dxa"/>
            <w:vAlign w:val="center"/>
            <w:tcMar>
              <w:top w:w="120" w:type="dxa"/>
              <w:bottom w:w="120" w:type="dxa"/>
              <w:start w:w="150" w:type="dxa"/>
              <w:end w:w="150" w:type="dxa"/>
            </w:tcMar>
          </w:tcPr>
          <w:p>
            <w:r>
              <w:t>Ataberk Estate, New Level Premium, Avsallar / Alanya</w:t>
            </w:r>
          </w:p>
        </w:tc>
      </w:tr>
      <w:tr>
        <w:tc>
          <w:tcPr>
            <w:tcW w:w="1900" w:type="dxa"/>
            <w:vAlign w:val="center"/>
            <w:tcMar>
              <w:top w:w="120" w:type="dxa"/>
              <w:bottom w:w="120" w:type="dxa"/>
              <w:start w:w="150" w:type="dxa"/>
              <w:end w:w="150" w:type="dxa"/>
            </w:tcMar>
          </w:tcPr>
          <w:p>
            <w:r>
              <w:t>Dokumenttyp</w:t>
            </w:r>
          </w:p>
        </w:tc>
        <w:tc>
          <w:tcPr>
            <w:tcW w:w="7460" w:type="dxa"/>
            <w:vAlign w:val="center"/>
            <w:tcMar>
              <w:top w:w="120" w:type="dxa"/>
              <w:bottom w:w="120" w:type="dxa"/>
              <w:start w:w="150" w:type="dxa"/>
              <w:end w:w="150" w:type="dxa"/>
            </w:tcMar>
          </w:tcPr>
          <w:p>
            <w:r>
              <w:t>Fachliche Erklärung, Know-how, Bedienlogik und Management-Entscheidungen</w:t>
            </w:r>
          </w:p>
        </w:tc>
      </w:tr>
    </w:tbl>
    <w:p>
      <w:pPr>
        <w:pStyle w:val="Heading1"/>
      </w:pPr>
      <w:r>
        <w:t>Management Summary</w:t>
      </w:r>
    </w:p>
    <w:p>
      <w:pPr>
        <w:pStyle w:val="BodyText"/>
        <w:shd w:fill="EFF6FF"/>
      </w:pPr>
      <w:r>
        <w:rPr>
          <w:b/>
          <w:color w:val="0B2545"/>
        </w:rPr>
        <w:t>Phase 4 verwandelt eine große Objektliste in eine steuerbare Betriebsstruktur. Blöcke, Einheiten, Status, Schulden, Zugriff und Importqualität werden so dargestellt, dass Operations und Management Datenfehler früh sehen und nicht erst im Tagesbetrieb bemerken.</w:t>
      </w:r>
    </w:p>
    <w:p>
      <w:pPr>
        <w:pStyle w:val="Heading1"/>
      </w:pPr>
      <w:r>
        <w:t>Kunden- und Projektkontext: Ataberk Estate</w:t>
      </w:r>
    </w:p>
    <w:p>
      <w:pPr>
        <w:pStyle w:val="BodyText"/>
      </w:pPr>
      <w:r>
        <w:t>Diese Dokumentation wurde nachträglich auf den tatsächlichen Kundenkontext geschärft. Der fachliche Fokus liegt jetzt nicht auf einem anonymen CRM, sondern auf Ataberk Estate und dem Projekt New Level Premium in Avsallar. Das ist wichtig, weil Vertrieb, Beratung, Exposé, Zahlungslogik, Dokumente, After-Sales und Vermietungsargumente für diesen Kunden besonders eng zusammenarbeiten müssen.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7260"/>
      </w:tblGrid>
      <w:tr>
        <w:tc>
          <w:tcPr>
            <w:tcW w:w="2100" w:type="dxa"/>
            <w:vAlign w:val="center"/>
            <w:tcMar>
              <w:top w:w="120" w:type="dxa"/>
              <w:bottom w:w="120" w:type="dxa"/>
              <w:start w:w="150" w:type="dxa"/>
              <w:end w:w="150" w:type="dxa"/>
            </w:tcMar>
          </w:tcPr>
          <w:p>
            <w:r>
              <w:t>Kunde</w:t>
            </w:r>
          </w:p>
        </w:tc>
        <w:tc>
          <w:tcPr>
            <w:tcW w:w="7260" w:type="dxa"/>
            <w:vAlign w:val="center"/>
            <w:tcMar>
              <w:top w:w="120" w:type="dxa"/>
              <w:bottom w:w="120" w:type="dxa"/>
              <w:start w:w="150" w:type="dxa"/>
              <w:end w:w="150" w:type="dxa"/>
            </w:tcMar>
          </w:tcPr>
          <w:p>
            <w:r>
              <w:t>Ataberk Estate</w:t>
            </w:r>
          </w:p>
        </w:tc>
      </w:tr>
      <w:tr>
        <w:tc>
          <w:tcPr>
            <w:tcW w:w="2100" w:type="dxa"/>
            <w:vAlign w:val="center"/>
            <w:tcMar>
              <w:top w:w="120" w:type="dxa"/>
              <w:bottom w:w="120" w:type="dxa"/>
              <w:start w:w="150" w:type="dxa"/>
              <w:end w:w="150" w:type="dxa"/>
            </w:tcMar>
          </w:tcPr>
          <w:p>
            <w:r>
              <w:t>Pilotprojekt</w:t>
            </w:r>
          </w:p>
        </w:tc>
        <w:tc>
          <w:tcPr>
            <w:tcW w:w="7260" w:type="dxa"/>
            <w:vAlign w:val="center"/>
            <w:tcMar>
              <w:top w:w="120" w:type="dxa"/>
              <w:bottom w:w="120" w:type="dxa"/>
              <w:start w:w="150" w:type="dxa"/>
              <w:end w:w="150" w:type="dxa"/>
            </w:tcMar>
          </w:tcPr>
          <w:p>
            <w:r>
              <w:t>New Level Premium, Avsallar / Alanya</w:t>
            </w:r>
          </w:p>
        </w:tc>
      </w:tr>
      <w:tr>
        <w:tc>
          <w:tcPr>
            <w:tcW w:w="2100" w:type="dxa"/>
            <w:vAlign w:val="center"/>
            <w:tcMar>
              <w:top w:w="120" w:type="dxa"/>
              <w:bottom w:w="120" w:type="dxa"/>
              <w:start w:w="150" w:type="dxa"/>
              <w:end w:w="150" w:type="dxa"/>
            </w:tcMar>
          </w:tcPr>
          <w:p>
            <w:r>
              <w:t>Projektangebot</w:t>
            </w:r>
          </w:p>
        </w:tc>
        <w:tc>
          <w:tcPr>
            <w:tcW w:w="7260" w:type="dxa"/>
            <w:vAlign w:val="center"/>
            <w:tcMar>
              <w:top w:w="120" w:type="dxa"/>
              <w:bottom w:w="120" w:type="dxa"/>
              <w:start w:w="150" w:type="dxa"/>
              <w:end w:w="150" w:type="dxa"/>
            </w:tcMar>
          </w:tcPr>
          <w:p>
            <w:r>
              <w:t>Wohnungen zum Verkauf aus einem 5-Sterne-Projekt</w:t>
            </w:r>
          </w:p>
        </w:tc>
      </w:tr>
      <w:tr>
        <w:tc>
          <w:tcPr>
            <w:tcW w:w="2100" w:type="dxa"/>
            <w:vAlign w:val="center"/>
            <w:tcMar>
              <w:top w:w="120" w:type="dxa"/>
              <w:bottom w:w="120" w:type="dxa"/>
              <w:start w:w="150" w:type="dxa"/>
              <w:end w:w="150" w:type="dxa"/>
            </w:tcMar>
          </w:tcPr>
          <w:p>
            <w:r>
              <w:t>Aktuelle Ausrichtung</w:t>
            </w:r>
          </w:p>
        </w:tc>
        <w:tc>
          <w:tcPr>
            <w:tcW w:w="7260" w:type="dxa"/>
            <w:vAlign w:val="center"/>
            <w:tcMar>
              <w:top w:w="120" w:type="dxa"/>
              <w:bottom w:w="120" w:type="dxa"/>
              <w:start w:w="150" w:type="dxa"/>
              <w:end w:w="150" w:type="dxa"/>
            </w:tcMar>
          </w:tcPr>
          <w:p>
            <w:r>
              <w:t>Die erste CRM-Version wird bewusst für Ataberk Estate und dieses Premium-Projekt geschärft.</w:t>
            </w:r>
          </w:p>
        </w:tc>
      </w:tr>
      <w:tr>
        <w:tc>
          <w:tcPr>
            <w:tcW w:w="2100" w:type="dxa"/>
            <w:vAlign w:val="center"/>
            <w:tcMar>
              <w:top w:w="120" w:type="dxa"/>
              <w:bottom w:w="120" w:type="dxa"/>
              <w:start w:w="150" w:type="dxa"/>
              <w:end w:w="150" w:type="dxa"/>
            </w:tcMar>
          </w:tcPr>
          <w:p>
            <w:r>
              <w:t>Spätere Ausbaustufe</w:t>
            </w:r>
          </w:p>
        </w:tc>
        <w:tc>
          <w:tcPr>
            <w:tcW w:w="7260" w:type="dxa"/>
            <w:vAlign w:val="center"/>
            <w:tcMar>
              <w:top w:w="120" w:type="dxa"/>
              <w:bottom w:w="120" w:type="dxa"/>
              <w:start w:w="150" w:type="dxa"/>
              <w:end w:w="150" w:type="dxa"/>
            </w:tcMar>
          </w:tcPr>
          <w:p>
            <w:r>
              <w:t>Die Logik soll danach als allgemeines CRM für weitere Projekte, Standorte und Unternehmen nutzbar bleiben.</w:t>
            </w:r>
          </w:p>
        </w:tc>
      </w:tr>
    </w:tbl>
    <w:p>
      <w:pPr>
        <w:pStyle w:val="Heading2"/>
      </w:pPr>
      <w:r>
        <w:t>Was daraus für die Phase folgt</w:t>
      </w:r>
    </w:p>
    <w:p>
      <w:pPr>
        <w:pStyle w:val="BodyText"/>
        <w:numPr>
          <w:ilvl w:val="0"/>
          <w:numId w:val="1"/>
        </w:numPr>
      </w:pPr>
      <w:r>
        <w:t>Ataberk Estate arbeitet öffentlich mit Kauf, Miete, Neubau-/Bauträgerangeboten und Services rund um Immobilien in der Türkei.</w:t>
      </w:r>
    </w:p>
    <w:p>
      <w:pPr>
        <w:pStyle w:val="BodyText"/>
        <w:numPr>
          <w:ilvl w:val="0"/>
          <w:numId w:val="1"/>
        </w:numPr>
      </w:pPr>
      <w:r>
        <w:t>Für die erste Version ist New Level Premium in Avsallar der fachliche Anker: ein Premium-Projekt, bei dem Verkauf, Beratung, Dokumente, Zahlung, Online-Besichtigung und After-Sales eng zusammenhängen.</w:t>
      </w:r>
    </w:p>
    <w:p>
      <w:pPr>
        <w:pStyle w:val="BodyText"/>
        <w:numPr>
          <w:ilvl w:val="0"/>
          <w:numId w:val="1"/>
        </w:numPr>
      </w:pPr>
      <w:r>
        <w:t>Die öffentliche Ataberk-Präsenz zeigt WhatsApp, Telegram, Rückruf und Anfrageformulare als wichtige Kontaktkanäle. Das CRM muss diese Kanäle deshalb als Lead- und Servicefluss berücksichtigen.</w:t>
      </w:r>
    </w:p>
    <w:p>
      <w:pPr>
        <w:pStyle w:val="BodyText"/>
        <w:numPr>
          <w:ilvl w:val="0"/>
          <w:numId w:val="1"/>
        </w:numPr>
      </w:pPr>
      <w:r>
        <w:t>Die Website stellt Alanya und Avsallar als wichtige Standortkontexte dar. Die CRM-Oberfläche soll Standort, Projekt, verfügbare Einheiten und Kundeninteresse schnell verständlich machen.</w:t>
      </w:r>
    </w:p>
    <w:p>
      <w:pPr>
        <w:pStyle w:val="BodyText"/>
        <w:numPr>
          <w:ilvl w:val="0"/>
          <w:numId w:val="1"/>
        </w:numPr>
      </w:pPr>
      <w:r>
        <w:t>Services wie Online-Besichtigung, Möbelkauf, Verkaufshilfe, Mietthemen, TAPU-/Kaufprozess, Ratenzahlung und Investmentargumente müssen in der fachlichen Planung sichtbar bleiben.</w:t>
      </w:r>
    </w:p>
    <w:p>
      <w:pPr>
        <w:pStyle w:val="Heading2"/>
      </w:pPr>
      <w:r>
        <w:t>Öffentliche Referenzpunkte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800"/>
        <w:gridCol w:w="6560"/>
      </w:tblGrid>
      <w:tr>
        <w:tc>
          <w:tcPr>
            <w:tcW w:w="2800" w:type="dxa"/>
            <w:vAlign w:val="center"/>
            <w:tcMar>
              <w:top w:w="120" w:type="dxa"/>
              <w:bottom w:w="120" w:type="dxa"/>
              <w:start w:w="150" w:type="dxa"/>
              <w:end w:w="150" w:type="dxa"/>
            </w:tcMar>
          </w:tcPr>
          <w:p>
            <w:r>
              <w:t>Ataberk Website</w:t>
            </w:r>
          </w:p>
        </w:tc>
        <w:tc>
          <w:tcPr>
            <w:tcW w:w="6560" w:type="dxa"/>
            <w:vAlign w:val="center"/>
            <w:tcMar>
              <w:top w:w="120" w:type="dxa"/>
              <w:bottom w:w="120" w:type="dxa"/>
              <w:start w:w="150" w:type="dxa"/>
              <w:end w:w="150" w:type="dxa"/>
            </w:tcMar>
          </w:tcPr>
          <w:p>
            <w:r>
              <w:t>https://www.ataberkestate.com/</w:t>
            </w:r>
          </w:p>
        </w:tc>
      </w:tr>
      <w:tr>
        <w:tc>
          <w:tcPr>
            <w:tcW w:w="2800" w:type="dxa"/>
            <w:vAlign w:val="center"/>
            <w:tcMar>
              <w:top w:w="120" w:type="dxa"/>
              <w:bottom w:w="120" w:type="dxa"/>
              <w:start w:w="150" w:type="dxa"/>
              <w:end w:w="150" w:type="dxa"/>
            </w:tcMar>
          </w:tcPr>
          <w:p>
            <w:r>
              <w:t>New Level Premium Artikel</w:t>
            </w:r>
          </w:p>
        </w:tc>
        <w:tc>
          <w:tcPr>
            <w:tcW w:w="6560" w:type="dxa"/>
            <w:vAlign w:val="center"/>
            <w:tcMar>
              <w:top w:w="120" w:type="dxa"/>
              <w:bottom w:w="120" w:type="dxa"/>
              <w:start w:w="150" w:type="dxa"/>
              <w:end w:w="150" w:type="dxa"/>
            </w:tcMar>
          </w:tcPr>
          <w:p>
            <w:r>
              <w:t>https://www.ataberkestate.com/articles/proekt-new-level-premium-investiruy-zarabatyvay-i-otdykhay</w:t>
            </w:r>
          </w:p>
        </w:tc>
      </w:tr>
      <w:tr>
        <w:tc>
          <w:tcPr>
            <w:tcW w:w="2800" w:type="dxa"/>
            <w:vAlign w:val="center"/>
            <w:tcMar>
              <w:top w:w="120" w:type="dxa"/>
              <w:bottom w:w="120" w:type="dxa"/>
              <w:start w:w="150" w:type="dxa"/>
              <w:end w:w="150" w:type="dxa"/>
            </w:tcMar>
          </w:tcPr>
          <w:p>
            <w:r>
              <w:t>Avsallar Kontext</w:t>
            </w:r>
          </w:p>
        </w:tc>
        <w:tc>
          <w:tcPr>
            <w:tcW w:w="6560" w:type="dxa"/>
            <w:vAlign w:val="center"/>
            <w:tcMar>
              <w:top w:w="120" w:type="dxa"/>
              <w:bottom w:w="120" w:type="dxa"/>
              <w:start w:w="150" w:type="dxa"/>
              <w:end w:w="150" w:type="dxa"/>
            </w:tcMar>
          </w:tcPr>
          <w:p>
            <w:r>
              <w:t>https://www.ataberkestate.com/turkey/complex-in-avsallar</w:t>
            </w:r>
          </w:p>
        </w:tc>
      </w:tr>
    </w:tbl>
    <w:p>
      <w:pPr>
        <w:pStyle w:val="Heading1"/>
      </w:pPr>
      <w:r>
        <w:t>Warum diese Phase wichtig ist</w:t>
      </w:r>
    </w:p>
    <w:p>
      <w:pPr>
        <w:pStyle w:val="BodyText"/>
        <w:numPr>
          <w:ilvl w:val="0"/>
          <w:numId w:val="1"/>
        </w:numPr>
      </w:pPr>
      <w:r>
        <w:t>Bei hunderten Einheiten führen kleine Datenfehler schnell zu falschen Rechnungen, falschem Zugang oder falscher Kommunikation.</w:t>
      </w:r>
    </w:p>
    <w:p>
      <w:pPr>
        <w:pStyle w:val="BodyText"/>
        <w:numPr>
          <w:ilvl w:val="0"/>
          <w:numId w:val="1"/>
        </w:numPr>
      </w:pPr>
      <w:r>
        <w:t>Der Importbereich schafft Vertrauen, weil Warnungen vor der Übernahme sichtbar werden.</w:t>
      </w:r>
    </w:p>
    <w:p>
      <w:pPr>
        <w:pStyle w:val="BodyText"/>
        <w:numPr>
          <w:ilvl w:val="0"/>
          <w:numId w:val="1"/>
        </w:numPr>
      </w:pPr>
      <w:r>
        <w:t>Die visuelle Matrix hilft Teams, Bestand, Blockierung, Leerstand und Wartung schneller zu verstehen.</w:t>
      </w:r>
    </w:p>
    <w:p>
      <w:pPr>
        <w:pStyle w:val="BodyText"/>
        <w:numPr>
          <w:ilvl w:val="0"/>
          <w:numId w:val="1"/>
        </w:numPr>
      </w:pPr>
      <w:r>
        <w:t>Suche nach Einheit oder Bewohner spart Zeit im operativen Alltag.</w:t>
      </w:r>
    </w:p>
    <w:p>
      <w:pPr>
        <w:pStyle w:val="Heading1"/>
      </w:pPr>
      <w:r>
        <w:t>Funktionsübersicht und Know-how</w:t>
      </w:r>
    </w:p>
    <w:p>
      <w:pPr>
        <w:pStyle w:val="BodyText"/>
      </w:pPr>
      <w:r>
        <w:t>Die folgende Tabelle erklärt jede Funktion aus Geschäftssicht. Sie beschreibt nicht, wie der Code gebaut ist, sondern welchen Arbeitsnutzen die Funktion liefert und welche Regeln der Fachbereich kennen muss.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2800"/>
        <w:gridCol w:w="2500"/>
        <w:gridCol w:w="2260"/>
      </w:tblGrid>
      <w:tr>
        <w:tc>
          <w:tcPr>
            <w:tcW w:w="1800" w:type="dxa"/>
            <w:vAlign w:val="center"/>
            <w:shd w:fill="F2F4F7"/>
            <w:tcMar>
              <w:top w:w="120" w:type="dxa"/>
              <w:bottom w:w="120" w:type="dxa"/>
              <w:start w:w="150" w:type="dxa"/>
              <w:end w:w="150" w:type="dxa"/>
            </w:tcMar>
          </w:tcPr>
          <w:p>
            <w:r>
              <w:rPr>
                <w:b/>
              </w:rPr>
              <w:t>Funktion</w:t>
            </w:r>
          </w:p>
        </w:tc>
        <w:tc>
          <w:tcPr>
            <w:tcW w:w="2800" w:type="dxa"/>
            <w:vAlign w:val="center"/>
            <w:shd w:fill="F2F4F7"/>
            <w:tcMar>
              <w:top w:w="120" w:type="dxa"/>
              <w:bottom w:w="120" w:type="dxa"/>
              <w:start w:w="150" w:type="dxa"/>
              <w:end w:w="150" w:type="dxa"/>
            </w:tcMar>
          </w:tcPr>
          <w:p>
            <w:r>
              <w:rPr>
                <w:b/>
              </w:rPr>
              <w:t>Was ist enthalten?</w:t>
            </w:r>
          </w:p>
        </w:tc>
        <w:tc>
          <w:tcPr>
            <w:tcW w:w="2500" w:type="dxa"/>
            <w:vAlign w:val="center"/>
            <w:shd w:fill="F2F4F7"/>
            <w:tcMar>
              <w:top w:w="120" w:type="dxa"/>
              <w:bottom w:w="120" w:type="dxa"/>
              <w:start w:w="150" w:type="dxa"/>
              <w:end w:w="150" w:type="dxa"/>
            </w:tcMar>
          </w:tcPr>
          <w:p>
            <w:r>
              <w:rPr>
                <w:b/>
              </w:rPr>
              <w:t>Business-Nutzen</w:t>
            </w:r>
          </w:p>
        </w:tc>
        <w:tc>
          <w:tcPr>
            <w:tcW w:w="2260" w:type="dxa"/>
            <w:vAlign w:val="center"/>
            <w:shd w:fill="F2F4F7"/>
            <w:tcMar>
              <w:top w:w="120" w:type="dxa"/>
              <w:bottom w:w="120" w:type="dxa"/>
              <w:start w:w="150" w:type="dxa"/>
              <w:end w:w="150" w:type="dxa"/>
            </w:tcMar>
          </w:tcPr>
          <w:p>
            <w:r>
              <w:rPr>
                <w:b/>
              </w:rPr>
              <w:t>Know-how für Anwender</w:t>
            </w:r>
          </w:p>
        </w:tc>
      </w:tr>
      <w:tr>
        <w:tc>
          <w:tcPr>
            <w:tcW w:w="1800" w:type="dxa"/>
            <w:vAlign w:val="center"/>
            <w:tcMar>
              <w:top w:w="120" w:type="dxa"/>
              <w:bottom w:w="120" w:type="dxa"/>
              <w:start w:w="150" w:type="dxa"/>
              <w:end w:w="150" w:type="dxa"/>
            </w:tcMar>
          </w:tcPr>
          <w:p>
            <w:r>
              <w:t>Blockübersicht</w:t>
            </w:r>
          </w:p>
        </w:tc>
        <w:tc>
          <w:tcPr>
            <w:tcW w:w="2800" w:type="dxa"/>
            <w:vAlign w:val="center"/>
            <w:tcMar>
              <w:top w:w="120" w:type="dxa"/>
              <w:bottom w:w="120" w:type="dxa"/>
              <w:start w:w="150" w:type="dxa"/>
              <w:end w:w="150" w:type="dxa"/>
            </w:tcMar>
          </w:tcPr>
          <w:p>
            <w:r>
              <w:t>Karten je Block mit Belegung, Leerstand, Wartung und Schuldenlast.</w:t>
            </w:r>
          </w:p>
        </w:tc>
        <w:tc>
          <w:tcPr>
            <w:tcW w:w="2500" w:type="dxa"/>
            <w:vAlign w:val="center"/>
            <w:tcMar>
              <w:top w:w="120" w:type="dxa"/>
              <w:bottom w:w="120" w:type="dxa"/>
              <w:start w:w="150" w:type="dxa"/>
              <w:end w:w="150" w:type="dxa"/>
            </w:tcMar>
          </w:tcPr>
          <w:p>
            <w:r>
              <w:t>Management erkennt schnell problematische Blöcke.</w:t>
            </w:r>
          </w:p>
        </w:tc>
        <w:tc>
          <w:tcPr>
            <w:tcW w:w="2260" w:type="dxa"/>
            <w:vAlign w:val="center"/>
            <w:tcMar>
              <w:top w:w="120" w:type="dxa"/>
              <w:bottom w:w="120" w:type="dxa"/>
              <w:start w:w="150" w:type="dxa"/>
              <w:end w:w="150" w:type="dxa"/>
            </w:tcMar>
          </w:tcPr>
          <w:p>
            <w:r>
              <w:t>Blockwerte sind Steuerungswerte, keine endgültige Buchhaltung.</w:t>
            </w:r>
          </w:p>
        </w:tc>
      </w:tr>
      <w:tr>
        <w:tc>
          <w:tcPr>
            <w:tcW w:w="1800" w:type="dxa"/>
            <w:vAlign w:val="center"/>
            <w:tcMar>
              <w:top w:w="120" w:type="dxa"/>
              <w:bottom w:w="120" w:type="dxa"/>
              <w:start w:w="150" w:type="dxa"/>
              <w:end w:w="150" w:type="dxa"/>
            </w:tcMar>
          </w:tcPr>
          <w:p>
            <w:r>
              <w:t>Wohnungsmatrix</w:t>
            </w:r>
          </w:p>
        </w:tc>
        <w:tc>
          <w:tcPr>
            <w:tcW w:w="2800" w:type="dxa"/>
            <w:vAlign w:val="center"/>
            <w:tcMar>
              <w:top w:w="120" w:type="dxa"/>
              <w:bottom w:w="120" w:type="dxa"/>
              <w:start w:w="150" w:type="dxa"/>
              <w:end w:w="150" w:type="dxa"/>
            </w:tcMar>
          </w:tcPr>
          <w:p>
            <w:r>
              <w:t>Farbliche Darstellung von Einheiten nach Status.</w:t>
            </w:r>
          </w:p>
        </w:tc>
        <w:tc>
          <w:tcPr>
            <w:tcW w:w="2500" w:type="dxa"/>
            <w:vAlign w:val="center"/>
            <w:tcMar>
              <w:top w:w="120" w:type="dxa"/>
              <w:bottom w:w="120" w:type="dxa"/>
              <w:start w:w="150" w:type="dxa"/>
              <w:end w:w="150" w:type="dxa"/>
            </w:tcMar>
          </w:tcPr>
          <w:p>
            <w:r>
              <w:t>Teams sehen Muster und Ausnahmen schnell.</w:t>
            </w:r>
          </w:p>
        </w:tc>
        <w:tc>
          <w:tcPr>
            <w:tcW w:w="2260" w:type="dxa"/>
            <w:vAlign w:val="center"/>
            <w:tcMar>
              <w:top w:w="120" w:type="dxa"/>
              <w:bottom w:w="120" w:type="dxa"/>
              <w:start w:w="150" w:type="dxa"/>
              <w:end w:w="150" w:type="dxa"/>
            </w:tcMar>
          </w:tcPr>
          <w:p>
            <w:r>
              <w:t>Farben müssen fachlich trainiert werden.</w:t>
            </w:r>
          </w:p>
        </w:tc>
      </w:tr>
      <w:tr>
        <w:tc>
          <w:tcPr>
            <w:tcW w:w="1800" w:type="dxa"/>
            <w:vAlign w:val="center"/>
            <w:tcMar>
              <w:top w:w="120" w:type="dxa"/>
              <w:bottom w:w="120" w:type="dxa"/>
              <w:start w:w="150" w:type="dxa"/>
              <w:end w:w="150" w:type="dxa"/>
            </w:tcMar>
          </w:tcPr>
          <w:p>
            <w:r>
              <w:t>Import-Qualitätstor</w:t>
            </w:r>
          </w:p>
        </w:tc>
        <w:tc>
          <w:tcPr>
            <w:tcW w:w="2800" w:type="dxa"/>
            <w:vAlign w:val="center"/>
            <w:tcMar>
              <w:top w:w="120" w:type="dxa"/>
              <w:bottom w:w="120" w:type="dxa"/>
              <w:start w:w="150" w:type="dxa"/>
              <w:end w:w="150" w:type="dxa"/>
            </w:tcMar>
          </w:tcPr>
          <w:p>
            <w:r>
              <w:t>Gültige Zeilen, Warnungen und abgelehnte Zeilen vor Datenübernahme.</w:t>
            </w:r>
          </w:p>
        </w:tc>
        <w:tc>
          <w:tcPr>
            <w:tcW w:w="2500" w:type="dxa"/>
            <w:vAlign w:val="center"/>
            <w:tcMar>
              <w:top w:w="120" w:type="dxa"/>
              <w:bottom w:w="120" w:type="dxa"/>
              <w:start w:w="150" w:type="dxa"/>
              <w:end w:w="150" w:type="dxa"/>
            </w:tcMar>
          </w:tcPr>
          <w:p>
            <w:r>
              <w:t>Verhindert Blindimport und schlechte Stammdaten.</w:t>
            </w:r>
          </w:p>
        </w:tc>
        <w:tc>
          <w:tcPr>
            <w:tcW w:w="2260" w:type="dxa"/>
            <w:vAlign w:val="center"/>
            <w:tcMar>
              <w:top w:w="120" w:type="dxa"/>
              <w:bottom w:w="120" w:type="dxa"/>
              <w:start w:w="150" w:type="dxa"/>
              <w:end w:w="150" w:type="dxa"/>
            </w:tcMar>
          </w:tcPr>
          <w:p>
            <w:r>
              <w:t>Warnung bedeutet prüfen, nicht ignorieren.</w:t>
            </w:r>
          </w:p>
        </w:tc>
      </w:tr>
      <w:tr>
        <w:tc>
          <w:tcPr>
            <w:tcW w:w="1800" w:type="dxa"/>
            <w:vAlign w:val="center"/>
            <w:tcMar>
              <w:top w:w="120" w:type="dxa"/>
              <w:bottom w:w="120" w:type="dxa"/>
              <w:start w:w="150" w:type="dxa"/>
              <w:end w:w="150" w:type="dxa"/>
            </w:tcMar>
          </w:tcPr>
          <w:p>
            <w:r>
              <w:t>Einheitensuche</w:t>
            </w:r>
          </w:p>
        </w:tc>
        <w:tc>
          <w:tcPr>
            <w:tcW w:w="2800" w:type="dxa"/>
            <w:vAlign w:val="center"/>
            <w:tcMar>
              <w:top w:w="120" w:type="dxa"/>
              <w:bottom w:w="120" w:type="dxa"/>
              <w:start w:w="150" w:type="dxa"/>
              <w:end w:w="150" w:type="dxa"/>
            </w:tcMar>
          </w:tcPr>
          <w:p>
            <w:r>
              <w:t>Direkte Suche nach Einheit wie A-0101.</w:t>
            </w:r>
          </w:p>
        </w:tc>
        <w:tc>
          <w:tcPr>
            <w:tcW w:w="2500" w:type="dxa"/>
            <w:vAlign w:val="center"/>
            <w:tcMar>
              <w:top w:w="120" w:type="dxa"/>
              <w:bottom w:w="120" w:type="dxa"/>
              <w:start w:w="150" w:type="dxa"/>
              <w:end w:w="150" w:type="dxa"/>
            </w:tcMar>
          </w:tcPr>
          <w:p>
            <w:r>
              <w:t>Support und Operations finden Details schneller.</w:t>
            </w:r>
          </w:p>
        </w:tc>
        <w:tc>
          <w:tcPr>
            <w:tcW w:w="2260" w:type="dxa"/>
            <w:vAlign w:val="center"/>
            <w:tcMar>
              <w:top w:w="120" w:type="dxa"/>
              <w:bottom w:w="120" w:type="dxa"/>
              <w:start w:w="150" w:type="dxa"/>
              <w:end w:w="150" w:type="dxa"/>
            </w:tcMar>
          </w:tcPr>
          <w:p>
            <w:r>
              <w:t>Suche nutzt aktuelle Datenbasis.</w:t>
            </w:r>
          </w:p>
        </w:tc>
      </w:tr>
      <w:tr>
        <w:tc>
          <w:tcPr>
            <w:tcW w:w="1800" w:type="dxa"/>
            <w:vAlign w:val="center"/>
            <w:tcMar>
              <w:top w:w="120" w:type="dxa"/>
              <w:bottom w:w="120" w:type="dxa"/>
              <w:start w:w="150" w:type="dxa"/>
              <w:end w:w="150" w:type="dxa"/>
            </w:tcMar>
          </w:tcPr>
          <w:p>
            <w:r>
              <w:t>Datenmodell-Hinweise</w:t>
            </w:r>
          </w:p>
        </w:tc>
        <w:tc>
          <w:tcPr>
            <w:tcW w:w="2800" w:type="dxa"/>
            <w:vAlign w:val="center"/>
            <w:tcMar>
              <w:top w:w="120" w:type="dxa"/>
              <w:bottom w:w="120" w:type="dxa"/>
              <w:start w:w="150" w:type="dxa"/>
              <w:end w:w="150" w:type="dxa"/>
            </w:tcMar>
          </w:tcPr>
          <w:p>
            <w:r>
              <w:t>Erklärung, welche Daten miteinander verbunden sind.</w:t>
            </w:r>
          </w:p>
        </w:tc>
        <w:tc>
          <w:tcPr>
            <w:tcW w:w="2500" w:type="dxa"/>
            <w:vAlign w:val="center"/>
            <w:tcMar>
              <w:top w:w="120" w:type="dxa"/>
              <w:bottom w:w="120" w:type="dxa"/>
              <w:start w:w="150" w:type="dxa"/>
              <w:end w:w="150" w:type="dxa"/>
            </w:tcMar>
          </w:tcPr>
          <w:p>
            <w:r>
              <w:t>Fachbereiche verstehen Abhängigkeiten.</w:t>
            </w:r>
          </w:p>
        </w:tc>
        <w:tc>
          <w:tcPr>
            <w:tcW w:w="2260" w:type="dxa"/>
            <w:vAlign w:val="center"/>
            <w:tcMar>
              <w:top w:w="120" w:type="dxa"/>
              <w:bottom w:w="120" w:type="dxa"/>
              <w:start w:w="150" w:type="dxa"/>
              <w:end w:w="150" w:type="dxa"/>
            </w:tcMar>
          </w:tcPr>
          <w:p>
            <w:r>
              <w:t>Wohnung, Person, Schuld und Zugriff müssen zusammenpassen.</w:t>
            </w:r>
          </w:p>
        </w:tc>
      </w:tr>
    </w:tbl>
    <w:p>
      <w:pPr>
        <w:pStyle w:val="Heading1"/>
      </w:pPr>
      <w:r>
        <w:t>Täglicher Arbeitsablauf</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4300"/>
        <w:gridCol w:w="4160"/>
      </w:tblGrid>
      <w:tr>
        <w:tc>
          <w:tcPr>
            <w:tcW w:w="900" w:type="dxa"/>
            <w:vAlign w:val="center"/>
            <w:shd w:fill="F2F4F7"/>
            <w:tcMar>
              <w:top w:w="120" w:type="dxa"/>
              <w:bottom w:w="120" w:type="dxa"/>
              <w:start w:w="150" w:type="dxa"/>
              <w:end w:w="150" w:type="dxa"/>
            </w:tcMar>
          </w:tcPr>
          <w:p>
            <w:r>
              <w:rPr>
                <w:b/>
              </w:rPr>
              <w:t>Schritt</w:t>
            </w:r>
          </w:p>
        </w:tc>
        <w:tc>
          <w:tcPr>
            <w:tcW w:w="4300" w:type="dxa"/>
            <w:vAlign w:val="center"/>
            <w:shd w:fill="F2F4F7"/>
            <w:tcMar>
              <w:top w:w="120" w:type="dxa"/>
              <w:bottom w:w="120" w:type="dxa"/>
              <w:start w:w="150" w:type="dxa"/>
              <w:end w:w="150" w:type="dxa"/>
            </w:tcMar>
          </w:tcPr>
          <w:p>
            <w:r>
              <w:rPr>
                <w:b/>
              </w:rPr>
              <w:t>Aktion im Alltag</w:t>
            </w:r>
          </w:p>
        </w:tc>
        <w:tc>
          <w:tcPr>
            <w:tcW w:w="4160" w:type="dxa"/>
            <w:vAlign w:val="center"/>
            <w:shd w:fill="F2F4F7"/>
            <w:tcMar>
              <w:top w:w="120" w:type="dxa"/>
              <w:bottom w:w="120" w:type="dxa"/>
              <w:start w:w="150" w:type="dxa"/>
              <w:end w:w="150" w:type="dxa"/>
            </w:tcMar>
          </w:tcPr>
          <w:p>
            <w:r>
              <w:rPr>
                <w:b/>
              </w:rPr>
              <w:t>Entscheidung / Ergebnis</w:t>
            </w:r>
          </w:p>
        </w:tc>
      </w:tr>
      <w:tr>
        <w:tc>
          <w:tcPr>
            <w:tcW w:w="900" w:type="dxa"/>
            <w:vAlign w:val="center"/>
            <w:tcMar>
              <w:top w:w="120" w:type="dxa"/>
              <w:bottom w:w="120" w:type="dxa"/>
              <w:start w:w="150" w:type="dxa"/>
              <w:end w:w="150" w:type="dxa"/>
            </w:tcMar>
          </w:tcPr>
          <w:p>
            <w:r>
              <w:t>1</w:t>
            </w:r>
          </w:p>
        </w:tc>
        <w:tc>
          <w:tcPr>
            <w:tcW w:w="4300" w:type="dxa"/>
            <w:vAlign w:val="center"/>
            <w:tcMar>
              <w:top w:w="120" w:type="dxa"/>
              <w:bottom w:w="120" w:type="dxa"/>
              <w:start w:w="150" w:type="dxa"/>
              <w:end w:w="150" w:type="dxa"/>
            </w:tcMar>
          </w:tcPr>
          <w:p>
            <w:r>
              <w:t>Daire Matrisi öffnen.</w:t>
            </w:r>
          </w:p>
        </w:tc>
        <w:tc>
          <w:tcPr>
            <w:tcW w:w="4160" w:type="dxa"/>
            <w:vAlign w:val="center"/>
            <w:tcMar>
              <w:top w:w="120" w:type="dxa"/>
              <w:bottom w:w="120" w:type="dxa"/>
              <w:start w:w="150" w:type="dxa"/>
              <w:end w:w="150" w:type="dxa"/>
            </w:tcMar>
          </w:tcPr>
          <w:p>
            <w:r>
              <w:t>Der Gesamtzustand der Anlage wird sichtbar.</w:t>
            </w:r>
          </w:p>
        </w:tc>
      </w:tr>
      <w:tr>
        <w:tc>
          <w:tcPr>
            <w:tcW w:w="900" w:type="dxa"/>
            <w:vAlign w:val="center"/>
            <w:tcMar>
              <w:top w:w="120" w:type="dxa"/>
              <w:bottom w:w="120" w:type="dxa"/>
              <w:start w:w="150" w:type="dxa"/>
              <w:end w:w="150" w:type="dxa"/>
            </w:tcMar>
          </w:tcPr>
          <w:p>
            <w:r>
              <w:t>2</w:t>
            </w:r>
          </w:p>
        </w:tc>
        <w:tc>
          <w:tcPr>
            <w:tcW w:w="4300" w:type="dxa"/>
            <w:vAlign w:val="center"/>
            <w:tcMar>
              <w:top w:w="120" w:type="dxa"/>
              <w:bottom w:w="120" w:type="dxa"/>
              <w:start w:w="150" w:type="dxa"/>
              <w:end w:w="150" w:type="dxa"/>
            </w:tcMar>
          </w:tcPr>
          <w:p>
            <w:r>
              <w:t>Blockübersicht lesen.</w:t>
            </w:r>
          </w:p>
        </w:tc>
        <w:tc>
          <w:tcPr>
            <w:tcW w:w="4160" w:type="dxa"/>
            <w:vAlign w:val="center"/>
            <w:tcMar>
              <w:top w:w="120" w:type="dxa"/>
              <w:bottom w:w="120" w:type="dxa"/>
              <w:start w:w="150" w:type="dxa"/>
              <w:end w:w="150" w:type="dxa"/>
            </w:tcMar>
          </w:tcPr>
          <w:p>
            <w:r>
              <w:t>Auffällige Blöcke werden priorisiert.</w:t>
            </w:r>
          </w:p>
        </w:tc>
      </w:tr>
      <w:tr>
        <w:tc>
          <w:tcPr>
            <w:tcW w:w="900" w:type="dxa"/>
            <w:vAlign w:val="center"/>
            <w:tcMar>
              <w:top w:w="120" w:type="dxa"/>
              <w:bottom w:w="120" w:type="dxa"/>
              <w:start w:w="150" w:type="dxa"/>
              <w:end w:w="150" w:type="dxa"/>
            </w:tcMar>
          </w:tcPr>
          <w:p>
            <w:r>
              <w:t>3</w:t>
            </w:r>
          </w:p>
        </w:tc>
        <w:tc>
          <w:tcPr>
            <w:tcW w:w="4300" w:type="dxa"/>
            <w:vAlign w:val="center"/>
            <w:tcMar>
              <w:top w:w="120" w:type="dxa"/>
              <w:bottom w:w="120" w:type="dxa"/>
              <w:start w:w="150" w:type="dxa"/>
              <w:end w:w="150" w:type="dxa"/>
            </w:tcMar>
          </w:tcPr>
          <w:p>
            <w:r>
              <w:t>Import-Qualität prüfen.</w:t>
            </w:r>
          </w:p>
        </w:tc>
        <w:tc>
          <w:tcPr>
            <w:tcW w:w="4160" w:type="dxa"/>
            <w:vAlign w:val="center"/>
            <w:tcMar>
              <w:top w:w="120" w:type="dxa"/>
              <w:bottom w:w="120" w:type="dxa"/>
              <w:start w:w="150" w:type="dxa"/>
              <w:end w:w="150" w:type="dxa"/>
            </w:tcMar>
          </w:tcPr>
          <w:p>
            <w:r>
              <w:t>Daten werden nicht blind übernommen.</w:t>
            </w:r>
          </w:p>
        </w:tc>
      </w:tr>
      <w:tr>
        <w:tc>
          <w:tcPr>
            <w:tcW w:w="900" w:type="dxa"/>
            <w:vAlign w:val="center"/>
            <w:tcMar>
              <w:top w:w="120" w:type="dxa"/>
              <w:bottom w:w="120" w:type="dxa"/>
              <w:start w:w="150" w:type="dxa"/>
              <w:end w:w="150" w:type="dxa"/>
            </w:tcMar>
          </w:tcPr>
          <w:p>
            <w:r>
              <w:t>4</w:t>
            </w:r>
          </w:p>
        </w:tc>
        <w:tc>
          <w:tcPr>
            <w:tcW w:w="4300" w:type="dxa"/>
            <w:vAlign w:val="center"/>
            <w:tcMar>
              <w:top w:w="120" w:type="dxa"/>
              <w:bottom w:w="120" w:type="dxa"/>
              <w:start w:w="150" w:type="dxa"/>
              <w:end w:w="150" w:type="dxa"/>
            </w:tcMar>
          </w:tcPr>
          <w:p>
            <w:r>
              <w:t>Warnungen fachlich klären.</w:t>
            </w:r>
          </w:p>
        </w:tc>
        <w:tc>
          <w:tcPr>
            <w:tcW w:w="4160" w:type="dxa"/>
            <w:vAlign w:val="center"/>
            <w:tcMar>
              <w:top w:w="120" w:type="dxa"/>
              <w:bottom w:w="120" w:type="dxa"/>
              <w:start w:w="150" w:type="dxa"/>
              <w:end w:w="150" w:type="dxa"/>
            </w:tcMar>
          </w:tcPr>
          <w:p>
            <w:r>
              <w:t>Operations entscheidet, welche Daten korrigiert werden.</w:t>
            </w:r>
          </w:p>
        </w:tc>
      </w:tr>
      <w:tr>
        <w:tc>
          <w:tcPr>
            <w:tcW w:w="900" w:type="dxa"/>
            <w:vAlign w:val="center"/>
            <w:tcMar>
              <w:top w:w="120" w:type="dxa"/>
              <w:bottom w:w="120" w:type="dxa"/>
              <w:start w:w="150" w:type="dxa"/>
              <w:end w:w="150" w:type="dxa"/>
            </w:tcMar>
          </w:tcPr>
          <w:p>
            <w:r>
              <w:t>5</w:t>
            </w:r>
          </w:p>
        </w:tc>
        <w:tc>
          <w:tcPr>
            <w:tcW w:w="4300" w:type="dxa"/>
            <w:vAlign w:val="center"/>
            <w:tcMar>
              <w:top w:w="120" w:type="dxa"/>
              <w:bottom w:w="120" w:type="dxa"/>
              <w:start w:w="150" w:type="dxa"/>
              <w:end w:w="150" w:type="dxa"/>
            </w:tcMar>
          </w:tcPr>
          <w:p>
            <w:r>
              <w:t>Einheit suchen und Details prüfen.</w:t>
            </w:r>
          </w:p>
        </w:tc>
        <w:tc>
          <w:tcPr>
            <w:tcW w:w="4160" w:type="dxa"/>
            <w:vAlign w:val="center"/>
            <w:tcMar>
              <w:top w:w="120" w:type="dxa"/>
              <w:bottom w:w="120" w:type="dxa"/>
              <w:start w:w="150" w:type="dxa"/>
              <w:end w:w="150" w:type="dxa"/>
            </w:tcMar>
          </w:tcPr>
          <w:p>
            <w:r>
              <w:t>Einzelfälle werden schnell bearbeitet.</w:t>
            </w:r>
          </w:p>
        </w:tc>
      </w:tr>
    </w:tbl>
    <w:p>
      <w:pPr>
        <w:pStyle w:val="Heading1"/>
      </w:pPr>
      <w:r>
        <w:t>Mindmap der Phase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w="3120" w:type="dxa"/>
            <w:vAlign w:val="center"/>
            <w:shd w:fill="ECFDF3"/>
            <w:tcMar>
              <w:top w:w="120" w:type="dxa"/>
              <w:bottom w:w="120" w:type="dxa"/>
              <w:start w:w="150" w:type="dxa"/>
              <w:end w:w="150" w:type="dxa"/>
            </w:tcMar>
          </w:tcPr>
          <w:p>
            <w:pPr>
              <w:jc w:val="center"/>
            </w:pPr>
            <w:r>
              <w:t>Blöcke</w:t>
            </w:r>
          </w:p>
        </w:tc>
        <w:tc>
          <w:tcPr>
            <w:tcW w:w="3120" w:type="dxa"/>
            <w:vAlign w:val="center"/>
            <w:shd w:fill="EFF6FF"/>
            <w:tcMar>
              <w:top w:w="120" w:type="dxa"/>
              <w:bottom w:w="120" w:type="dxa"/>
              <w:start w:w="150" w:type="dxa"/>
              <w:end w:w="150" w:type="dxa"/>
            </w:tcMar>
          </w:tcPr>
          <w:p>
            <w:pPr>
              <w:jc w:val="center"/>
            </w:pPr>
            <w:r>
              <w:t>Etagen</w:t>
            </w:r>
          </w:p>
        </w:tc>
        <w:tc>
          <w:tcPr>
            <w:tcW w:w="3120" w:type="dxa"/>
            <w:vAlign w:val="center"/>
            <w:shd w:fill="ECFDF3"/>
            <w:tcMar>
              <w:top w:w="120" w:type="dxa"/>
              <w:bottom w:w="120" w:type="dxa"/>
              <w:start w:w="150" w:type="dxa"/>
              <w:end w:w="150" w:type="dxa"/>
            </w:tcMar>
          </w:tcPr>
          <w:p>
            <w:pPr>
              <w:jc w:val="center"/>
            </w:pPr>
            <w:r>
              <w:t>Einheiten</w:t>
            </w:r>
          </w:p>
        </w:tc>
      </w:tr>
      <w:tr>
        <w:tc>
          <w:tcPr>
            <w:tcW w:w="3120" w:type="dxa"/>
            <w:vAlign w:val="center"/>
            <w:shd w:fill="F2F4F7"/>
            <w:tcMar>
              <w:top w:w="120" w:type="dxa"/>
              <w:bottom w:w="120" w:type="dxa"/>
              <w:start w:w="150" w:type="dxa"/>
              <w:end w:w="150" w:type="dxa"/>
            </w:tcMar>
          </w:tcPr>
          <w:p>
            <w:pPr>
              <w:jc w:val="center"/>
            </w:pPr>
            <w:r>
              <w:t>Import</w:t>
            </w:r>
          </w:p>
        </w:tc>
        <w:tc>
          <w:tcPr>
            <w:tcW w:w="3120" w:type="dxa"/>
            <w:vAlign w:val="center"/>
            <w:shd w:fill="DBEAFE"/>
            <w:tcMar>
              <w:top w:w="120" w:type="dxa"/>
              <w:bottom w:w="120" w:type="dxa"/>
              <w:start w:w="150" w:type="dxa"/>
              <w:end w:w="150" w:type="dxa"/>
            </w:tcMar>
          </w:tcPr>
          <w:p>
            <w:pPr>
              <w:jc w:val="center"/>
            </w:pPr>
            <w:r>
              <w:rPr>
                <w:b/>
              </w:rPr>
              <w:t>Phase 4
Stammdaten</w:t>
            </w:r>
          </w:p>
        </w:tc>
        <w:tc>
          <w:tcPr>
            <w:tcW w:w="3120" w:type="dxa"/>
            <w:vAlign w:val="center"/>
            <w:shd w:fill="F2F4F7"/>
            <w:tcMar>
              <w:top w:w="120" w:type="dxa"/>
              <w:bottom w:w="120" w:type="dxa"/>
              <w:start w:w="150" w:type="dxa"/>
              <w:end w:w="150" w:type="dxa"/>
            </w:tcMar>
          </w:tcPr>
          <w:p>
            <w:pPr>
              <w:jc w:val="center"/>
            </w:pPr>
            <w:r>
              <w:t>Qualitätstor</w:t>
            </w:r>
          </w:p>
        </w:tc>
      </w:tr>
      <w:tr>
        <w:tc>
          <w:tcPr>
            <w:tcW w:w="3120" w:type="dxa"/>
            <w:vAlign w:val="center"/>
            <w:shd w:fill="FFF7E6"/>
            <w:tcMar>
              <w:top w:w="120" w:type="dxa"/>
              <w:bottom w:w="120" w:type="dxa"/>
              <w:start w:w="150" w:type="dxa"/>
              <w:end w:w="150" w:type="dxa"/>
            </w:tcMar>
          </w:tcPr>
          <w:p>
            <w:pPr>
              <w:jc w:val="center"/>
            </w:pPr>
            <w:r>
              <w:t>Schulden</w:t>
            </w:r>
          </w:p>
        </w:tc>
        <w:tc>
          <w:tcPr>
            <w:tcW w:w="3120" w:type="dxa"/>
            <w:vAlign w:val="center"/>
            <w:shd w:fill="F2FCE2"/>
            <w:tcMar>
              <w:top w:w="120" w:type="dxa"/>
              <w:bottom w:w="120" w:type="dxa"/>
              <w:start w:w="150" w:type="dxa"/>
              <w:end w:w="150" w:type="dxa"/>
            </w:tcMar>
          </w:tcPr>
          <w:p>
            <w:pPr>
              <w:jc w:val="center"/>
            </w:pPr>
            <w:r>
              <w:t>Zugriff</w:t>
            </w:r>
          </w:p>
        </w:tc>
        <w:tc>
          <w:tcPr>
            <w:tcW w:w="3120" w:type="dxa"/>
            <w:vAlign w:val="center"/>
            <w:shd w:fill="FFF7E6"/>
            <w:tcMar>
              <w:top w:w="120" w:type="dxa"/>
              <w:bottom w:w="120" w:type="dxa"/>
              <w:start w:w="150" w:type="dxa"/>
              <w:end w:w="150" w:type="dxa"/>
            </w:tcMar>
          </w:tcPr>
          <w:p>
            <w:pPr>
              <w:jc w:val="center"/>
            </w:pPr>
            <w:r>
              <w:t>Service</w:t>
            </w:r>
          </w:p>
        </w:tc>
      </w:tr>
    </w:tbl>
    <w:p>
      <w:pPr>
        <w:pStyle w:val="Heading1"/>
      </w:pPr>
      <w:r>
        <w:t>Geschäftliche Kennzahlen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2200"/>
        <w:gridCol w:w="4660"/>
      </w:tblGrid>
      <w:tr>
        <w:tc>
          <w:tcPr>
            <w:tcW w:w="2500" w:type="dxa"/>
            <w:vAlign w:val="center"/>
            <w:shd w:fill="F2F4F7"/>
            <w:tcMar>
              <w:top w:w="120" w:type="dxa"/>
              <w:bottom w:w="120" w:type="dxa"/>
              <w:start w:w="150" w:type="dxa"/>
              <w:end w:w="150" w:type="dxa"/>
            </w:tcMar>
          </w:tcPr>
          <w:p>
            <w:r>
              <w:rPr>
                <w:b/>
              </w:rPr>
              <w:t>Kennzahl</w:t>
            </w:r>
          </w:p>
        </w:tc>
        <w:tc>
          <w:tcPr>
            <w:tcW w:w="2200" w:type="dxa"/>
            <w:vAlign w:val="center"/>
            <w:shd w:fill="F2F4F7"/>
            <w:tcMar>
              <w:top w:w="120" w:type="dxa"/>
              <w:bottom w:w="120" w:type="dxa"/>
              <w:start w:w="150" w:type="dxa"/>
              <w:end w:w="150" w:type="dxa"/>
            </w:tcMar>
          </w:tcPr>
          <w:p>
            <w:r>
              <w:rPr>
                <w:b/>
              </w:rPr>
              <w:t>Bedeutung</w:t>
            </w:r>
          </w:p>
        </w:tc>
        <w:tc>
          <w:tcPr>
            <w:tcW w:w="4660" w:type="dxa"/>
            <w:vAlign w:val="center"/>
            <w:shd w:fill="F2F4F7"/>
            <w:tcMar>
              <w:top w:w="120" w:type="dxa"/>
              <w:bottom w:w="120" w:type="dxa"/>
              <w:start w:w="150" w:type="dxa"/>
              <w:end w:w="150" w:type="dxa"/>
            </w:tcMar>
          </w:tcPr>
          <w:p>
            <w:r>
              <w:rPr>
                <w:b/>
              </w:rPr>
              <w:t>Geschäftliche Lesart</w:t>
            </w:r>
          </w:p>
        </w:tc>
      </w:tr>
      <w:tr>
        <w:tc>
          <w:tcPr>
            <w:tcW w:w="2500" w:type="dxa"/>
            <w:vAlign w:val="center"/>
            <w:tcMar>
              <w:top w:w="120" w:type="dxa"/>
              <w:bottom w:w="120" w:type="dxa"/>
              <w:start w:w="150" w:type="dxa"/>
              <w:end w:w="150" w:type="dxa"/>
            </w:tcMar>
          </w:tcPr>
          <w:p>
            <w:r>
              <w:t>2.156 Importzeilen</w:t>
            </w:r>
          </w:p>
        </w:tc>
        <w:tc>
          <w:tcPr>
            <w:tcW w:w="2200" w:type="dxa"/>
            <w:vAlign w:val="center"/>
            <w:tcMar>
              <w:top w:w="120" w:type="dxa"/>
              <w:bottom w:w="120" w:type="dxa"/>
              <w:start w:w="150" w:type="dxa"/>
              <w:end w:w="150" w:type="dxa"/>
            </w:tcMar>
          </w:tcPr>
          <w:p>
            <w:r>
              <w:t>Importumfang ist sichtbar.</w:t>
            </w:r>
          </w:p>
        </w:tc>
        <w:tc>
          <w:tcPr>
            <w:tcW w:w="4660" w:type="dxa"/>
            <w:vAlign w:val="center"/>
            <w:tcMar>
              <w:top w:w="120" w:type="dxa"/>
              <w:bottom w:w="120" w:type="dxa"/>
              <w:start w:w="150" w:type="dxa"/>
              <w:end w:w="150" w:type="dxa"/>
            </w:tcMar>
          </w:tcPr>
          <w:p>
            <w:r>
              <w:t>Fachbereich versteht Datenmenge.</w:t>
            </w:r>
          </w:p>
        </w:tc>
      </w:tr>
      <w:tr>
        <w:tc>
          <w:tcPr>
            <w:tcW w:w="2500" w:type="dxa"/>
            <w:vAlign w:val="center"/>
            <w:tcMar>
              <w:top w:w="120" w:type="dxa"/>
              <w:bottom w:w="120" w:type="dxa"/>
              <w:start w:w="150" w:type="dxa"/>
              <w:end w:w="150" w:type="dxa"/>
            </w:tcMar>
          </w:tcPr>
          <w:p>
            <w:r>
              <w:t>2.124 gültige Zeilen</w:t>
            </w:r>
          </w:p>
        </w:tc>
        <w:tc>
          <w:tcPr>
            <w:tcW w:w="2200" w:type="dxa"/>
            <w:vAlign w:val="center"/>
            <w:tcMar>
              <w:top w:w="120" w:type="dxa"/>
              <w:bottom w:w="120" w:type="dxa"/>
              <w:start w:w="150" w:type="dxa"/>
              <w:end w:w="150" w:type="dxa"/>
            </w:tcMar>
          </w:tcPr>
          <w:p>
            <w:r>
              <w:t>Großer Teil ist direkt nutzbar.</w:t>
            </w:r>
          </w:p>
        </w:tc>
        <w:tc>
          <w:tcPr>
            <w:tcW w:w="4660" w:type="dxa"/>
            <w:vAlign w:val="center"/>
            <w:tcMar>
              <w:top w:w="120" w:type="dxa"/>
              <w:bottom w:w="120" w:type="dxa"/>
              <w:start w:w="150" w:type="dxa"/>
              <w:end w:w="150" w:type="dxa"/>
            </w:tcMar>
          </w:tcPr>
          <w:p>
            <w:r>
              <w:t>Gute Grundlage, aber nicht blind übernehmen.</w:t>
            </w:r>
          </w:p>
        </w:tc>
      </w:tr>
      <w:tr>
        <w:tc>
          <w:tcPr>
            <w:tcW w:w="2500" w:type="dxa"/>
            <w:vAlign w:val="center"/>
            <w:tcMar>
              <w:top w:w="120" w:type="dxa"/>
              <w:bottom w:w="120" w:type="dxa"/>
              <w:start w:w="150" w:type="dxa"/>
              <w:end w:w="150" w:type="dxa"/>
            </w:tcMar>
          </w:tcPr>
          <w:p>
            <w:r>
              <w:t>32 Warnungen</w:t>
            </w:r>
          </w:p>
        </w:tc>
        <w:tc>
          <w:tcPr>
            <w:tcW w:w="2200" w:type="dxa"/>
            <w:vAlign w:val="center"/>
            <w:tcMar>
              <w:top w:w="120" w:type="dxa"/>
              <w:bottom w:w="120" w:type="dxa"/>
              <w:start w:w="150" w:type="dxa"/>
              <w:end w:w="150" w:type="dxa"/>
            </w:tcMar>
          </w:tcPr>
          <w:p>
            <w:r>
              <w:t>Fachliche Nacharbeit ist nötig.</w:t>
            </w:r>
          </w:p>
        </w:tc>
        <w:tc>
          <w:tcPr>
            <w:tcW w:w="4660" w:type="dxa"/>
            <w:vAlign w:val="center"/>
            <w:tcMar>
              <w:top w:w="120" w:type="dxa"/>
              <w:bottom w:w="120" w:type="dxa"/>
              <w:start w:w="150" w:type="dxa"/>
              <w:end w:w="150" w:type="dxa"/>
            </w:tcMar>
          </w:tcPr>
          <w:p>
            <w:r>
              <w:t>Warnungen vor Go-live klären.</w:t>
            </w:r>
          </w:p>
        </w:tc>
      </w:tr>
      <w:tr>
        <w:tc>
          <w:tcPr>
            <w:tcW w:w="2500" w:type="dxa"/>
            <w:vAlign w:val="center"/>
            <w:tcMar>
              <w:top w:w="120" w:type="dxa"/>
              <w:bottom w:w="120" w:type="dxa"/>
              <w:start w:w="150" w:type="dxa"/>
              <w:end w:w="150" w:type="dxa"/>
            </w:tcMar>
          </w:tcPr>
          <w:p>
            <w:r>
              <w:t>0 abgelehnte Zeilen</w:t>
            </w:r>
          </w:p>
        </w:tc>
        <w:tc>
          <w:tcPr>
            <w:tcW w:w="2200" w:type="dxa"/>
            <w:vAlign w:val="center"/>
            <w:tcMar>
              <w:top w:w="120" w:type="dxa"/>
              <w:bottom w:w="120" w:type="dxa"/>
              <w:start w:w="150" w:type="dxa"/>
              <w:end w:w="150" w:type="dxa"/>
            </w:tcMar>
          </w:tcPr>
          <w:p>
            <w:r>
              <w:t>Kein harter Blocker im aktuellen Muster.</w:t>
            </w:r>
          </w:p>
        </w:tc>
        <w:tc>
          <w:tcPr>
            <w:tcW w:w="4660" w:type="dxa"/>
            <w:vAlign w:val="center"/>
            <w:tcMar>
              <w:top w:w="120" w:type="dxa"/>
              <w:bottom w:w="120" w:type="dxa"/>
              <w:start w:w="150" w:type="dxa"/>
              <w:end w:w="150" w:type="dxa"/>
            </w:tcMar>
          </w:tcPr>
          <w:p>
            <w:r>
              <w:t>Import kann vorbereitet werden.</w:t>
            </w:r>
          </w:p>
        </w:tc>
      </w:tr>
    </w:tbl>
    <w:p>
      <w:r>
        <w:br w:type="page"/>
      </w:r>
    </w:p>
    <w:p>
      <w:pPr>
        <w:pStyle w:val="Heading1"/>
      </w:pPr>
      <w:r>
        <w:t>Screenshots mit fachlicher Erklärung</w:t>
      </w:r>
    </w:p>
    <w:p>
      <w:pPr>
        <w:pStyle w:val="Heading2"/>
      </w:pPr>
      <w:r>
        <w:t>Screenshot 1: Block- und Wohnungsmatrix</w:t>
      </w:r>
    </w:p>
    <w:p>
      <w:pPr>
        <w:jc w:val="center"/>
      </w:pPr>
      <w:r>
        <w:drawing>
          <wp:inline xmlns:wp="http://schemas.openxmlformats.org/drawingml/2006/wordprocessingDrawing" distT="0" distB="0" distL="0" distR="0">
            <wp:extent cx="5669280" cy="3543300"/>
            <wp:effectExtent l="0" t="0" r="0" b="0"/>
            <wp:docPr id="1" name="Screenshot 1: Block- und Wohnungsmatrix" descr="Visuelle Übersicht über Einheiten und dere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04-unit-matrix.png" descr="Visuelle Übersicht über Einheiten und deren Status."/>
                    <pic:cNvPicPr/>
                  </pic:nvPicPr>
                  <pic:blipFill>
                    <a:blip xmlns:r="http://schemas.openxmlformats.org/officeDocument/2006/relationships" r:embed="rIdImg1"/>
                    <a:stretch>
                      <a:fillRect/>
                    </a:stretch>
                  </pic:blipFill>
                  <pic:spPr>
                    <a:xfrm>
                      <a:off x="0" y="0"/>
                      <a:ext cx="5669280" cy="3543300"/>
                    </a:xfrm>
                    <a:prstGeom prst="rect">
                      <a:avLst/>
                    </a:prstGeom>
                  </pic:spPr>
                </pic:pic>
              </a:graphicData>
            </a:graphic>
          </wp:inline>
        </w:drawing>
      </w:r>
    </w:p>
    <w:p>
      <w:pPr>
        <w:pStyle w:val="Caption"/>
        <w:jc w:val="center"/>
      </w:pPr>
      <w:r>
        <w:t>Visuelle Übersicht über Einheiten und deren Status.</w:t>
      </w:r>
    </w:p>
    <w:p>
      <w:pPr>
        <w:pStyle w:val="Heading2"/>
      </w:pPr>
      <w:r>
        <w:t>Screenshot 2: Import-Qualitätstor</w:t>
      </w:r>
    </w:p>
    <w:p>
      <w:pPr>
        <w:jc w:val="center"/>
      </w:pPr>
      <w:r>
        <w:drawing>
          <wp:inline xmlns:wp="http://schemas.openxmlformats.org/drawingml/2006/wordprocessingDrawing" distT="0" distB="0" distL="0" distR="0">
            <wp:extent cx="5669280" cy="3543300"/>
            <wp:effectExtent l="0" t="0" r="0" b="0"/>
            <wp:docPr id="2" name="Screenshot 2: Import-Qualitätstor" descr="Importstatus mit gültigen Zeilen, Warnungen und abgelehnten Z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ase-04-import-quality-gate.png" descr="Importstatus mit gültigen Zeilen, Warnungen und abgelehnten Zeilen."/>
                    <pic:cNvPicPr/>
                  </pic:nvPicPr>
                  <pic:blipFill>
                    <a:blip xmlns:r="http://schemas.openxmlformats.org/officeDocument/2006/relationships" r:embed="rIdImg2"/>
                    <a:stretch>
                      <a:fillRect/>
                    </a:stretch>
                  </pic:blipFill>
                  <pic:spPr>
                    <a:xfrm>
                      <a:off x="0" y="0"/>
                      <a:ext cx="5669280" cy="3543300"/>
                    </a:xfrm>
                    <a:prstGeom prst="rect">
                      <a:avLst/>
                    </a:prstGeom>
                  </pic:spPr>
                </pic:pic>
              </a:graphicData>
            </a:graphic>
          </wp:inline>
        </w:drawing>
      </w:r>
    </w:p>
    <w:p>
      <w:pPr>
        <w:pStyle w:val="Caption"/>
        <w:jc w:val="center"/>
      </w:pPr>
      <w:r>
        <w:t>Importstatus mit gültigen Zeilen, Warnungen und abgelehnten Zeilen.</w:t>
      </w:r>
    </w:p>
    <w:p>
      <w:pPr>
        <w:pStyle w:val="Heading2"/>
      </w:pPr>
      <w:r>
        <w:t>Screenshot 3: Einheitensuche</w:t>
      </w:r>
    </w:p>
    <w:p>
      <w:pPr>
        <w:jc w:val="center"/>
      </w:pPr>
      <w:r>
        <w:drawing>
          <wp:inline xmlns:wp="http://schemas.openxmlformats.org/drawingml/2006/wordprocessingDrawing" distT="0" distB="0" distL="0" distR="0">
            <wp:extent cx="5669280" cy="3543300"/>
            <wp:effectExtent l="0" t="0" r="0" b="0"/>
            <wp:docPr id="3" name="Screenshot 3: Einheitensuche" descr="Suche nach A-0101 zeigt, wie Einzelfälle schnell gefunden we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ase-04-unit-search.png" descr="Suche nach A-0101 zeigt, wie Einzelfälle schnell gefunden werden."/>
                    <pic:cNvPicPr/>
                  </pic:nvPicPr>
                  <pic:blipFill>
                    <a:blip xmlns:r="http://schemas.openxmlformats.org/officeDocument/2006/relationships" r:embed="rIdImg3"/>
                    <a:stretch>
                      <a:fillRect/>
                    </a:stretch>
                  </pic:blipFill>
                  <pic:spPr>
                    <a:xfrm>
                      <a:off x="0" y="0"/>
                      <a:ext cx="5669280" cy="3543300"/>
                    </a:xfrm>
                    <a:prstGeom prst="rect">
                      <a:avLst/>
                    </a:prstGeom>
                  </pic:spPr>
                </pic:pic>
              </a:graphicData>
            </a:graphic>
          </wp:inline>
        </w:drawing>
      </w:r>
    </w:p>
    <w:p>
      <w:pPr>
        <w:pStyle w:val="Caption"/>
        <w:jc w:val="center"/>
      </w:pPr>
      <w:r>
        <w:t>Suche nach A-0101 zeigt, wie Einzelfälle schnell gefunden werden.</w:t>
      </w:r>
    </w:p>
    <w:p>
      <w:pPr>
        <w:pStyle w:val="Heading1"/>
      </w:pPr>
      <w:r>
        <w:t>Geschäftsregeln, Sonderfälle und Fehlerverhalten</w:t>
      </w:r>
    </w:p>
    <w:p>
      <w:pPr>
        <w:pStyle w:val="BodyText"/>
      </w:pPr>
      <w:r>
        <w:t>Diese Punkte sind für den Fachbereich wichtig, weil echte Arbeit nicht immer dem Idealfall folgt. Die Anwendung muss deshalb verständlich reagieren, wenn Daten fehlen, Rollen nicht passen oder Entscheidungen offen sind.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3660"/>
        <w:gridCol w:w="3100"/>
      </w:tblGrid>
      <w:tr>
        <w:tc>
          <w:tcPr>
            <w:tcW w:w="2600" w:type="dxa"/>
            <w:vAlign w:val="center"/>
            <w:shd w:fill="F2F4F7"/>
            <w:tcMar>
              <w:top w:w="120" w:type="dxa"/>
              <w:bottom w:w="120" w:type="dxa"/>
              <w:start w:w="150" w:type="dxa"/>
              <w:end w:w="150" w:type="dxa"/>
            </w:tcMar>
          </w:tcPr>
          <w:p>
            <w:r>
              <w:rPr>
                <w:b/>
              </w:rPr>
              <w:t>Situation</w:t>
            </w:r>
          </w:p>
        </w:tc>
        <w:tc>
          <w:tcPr>
            <w:tcW w:w="3660" w:type="dxa"/>
            <w:vAlign w:val="center"/>
            <w:shd w:fill="F2F4F7"/>
            <w:tcMar>
              <w:top w:w="120" w:type="dxa"/>
              <w:bottom w:w="120" w:type="dxa"/>
              <w:start w:w="150" w:type="dxa"/>
              <w:end w:w="150" w:type="dxa"/>
            </w:tcMar>
          </w:tcPr>
          <w:p>
            <w:r>
              <w:rPr>
                <w:b/>
              </w:rPr>
              <w:t>Business-Regel</w:t>
            </w:r>
          </w:p>
        </w:tc>
        <w:tc>
          <w:tcPr>
            <w:tcW w:w="3100" w:type="dxa"/>
            <w:vAlign w:val="center"/>
            <w:shd w:fill="F2F4F7"/>
            <w:tcMar>
              <w:top w:w="120" w:type="dxa"/>
              <w:bottom w:w="120" w:type="dxa"/>
              <w:start w:w="150" w:type="dxa"/>
              <w:end w:w="150" w:type="dxa"/>
            </w:tcMar>
          </w:tcPr>
          <w:p>
            <w:r>
              <w:rPr>
                <w:b/>
              </w:rPr>
              <w:t>Was der Anwender tun soll</w:t>
            </w:r>
          </w:p>
        </w:tc>
      </w:tr>
      <w:tr>
        <w:tc>
          <w:tcPr>
            <w:tcW w:w="2600" w:type="dxa"/>
            <w:vAlign w:val="center"/>
            <w:tcMar>
              <w:top w:w="120" w:type="dxa"/>
              <w:bottom w:w="120" w:type="dxa"/>
              <w:start w:w="150" w:type="dxa"/>
              <w:end w:w="150" w:type="dxa"/>
            </w:tcMar>
          </w:tcPr>
          <w:p>
            <w:r>
              <w:t>Fehlende Telefonnummer</w:t>
            </w:r>
          </w:p>
        </w:tc>
        <w:tc>
          <w:tcPr>
            <w:tcW w:w="3660" w:type="dxa"/>
            <w:vAlign w:val="center"/>
            <w:tcMar>
              <w:top w:w="120" w:type="dxa"/>
              <w:bottom w:w="120" w:type="dxa"/>
              <w:start w:w="150" w:type="dxa"/>
              <w:end w:w="150" w:type="dxa"/>
            </w:tcMar>
          </w:tcPr>
          <w:p>
            <w:r>
              <w:t>Warnung statt harter Stopp.</w:t>
            </w:r>
          </w:p>
        </w:tc>
        <w:tc>
          <w:tcPr>
            <w:tcW w:w="3100" w:type="dxa"/>
            <w:vAlign w:val="center"/>
            <w:tcMar>
              <w:top w:w="120" w:type="dxa"/>
              <w:bottom w:w="120" w:type="dxa"/>
              <w:start w:w="150" w:type="dxa"/>
              <w:end w:w="150" w:type="dxa"/>
            </w:tcMar>
          </w:tcPr>
          <w:p>
            <w:r>
              <w:t>Kontakt später nachpflegen, aber Risiko markieren.</w:t>
            </w:r>
          </w:p>
        </w:tc>
      </w:tr>
      <w:tr>
        <w:tc>
          <w:tcPr>
            <w:tcW w:w="2600" w:type="dxa"/>
            <w:vAlign w:val="center"/>
            <w:tcMar>
              <w:top w:w="120" w:type="dxa"/>
              <w:bottom w:w="120" w:type="dxa"/>
              <w:start w:w="150" w:type="dxa"/>
              <w:end w:w="150" w:type="dxa"/>
            </w:tcMar>
          </w:tcPr>
          <w:p>
            <w:r>
              <w:t>Unklare Identität</w:t>
            </w:r>
          </w:p>
        </w:tc>
        <w:tc>
          <w:tcPr>
            <w:tcW w:w="3660" w:type="dxa"/>
            <w:vAlign w:val="center"/>
            <w:tcMar>
              <w:top w:w="120" w:type="dxa"/>
              <w:bottom w:w="120" w:type="dxa"/>
              <w:start w:w="150" w:type="dxa"/>
              <w:end w:w="150" w:type="dxa"/>
            </w:tcMar>
          </w:tcPr>
          <w:p>
            <w:r>
              <w:t>Datensatz bleibt prüfpflichtig.</w:t>
            </w:r>
          </w:p>
        </w:tc>
        <w:tc>
          <w:tcPr>
            <w:tcW w:w="3100" w:type="dxa"/>
            <w:vAlign w:val="center"/>
            <w:tcMar>
              <w:top w:w="120" w:type="dxa"/>
              <w:bottom w:w="120" w:type="dxa"/>
              <w:start w:w="150" w:type="dxa"/>
              <w:end w:w="150" w:type="dxa"/>
            </w:tcMar>
          </w:tcPr>
          <w:p>
            <w:r>
              <w:t>Keine kritische Aktion ohne Klärung.</w:t>
            </w:r>
          </w:p>
        </w:tc>
      </w:tr>
      <w:tr>
        <w:tc>
          <w:tcPr>
            <w:tcW w:w="2600" w:type="dxa"/>
            <w:vAlign w:val="center"/>
            <w:tcMar>
              <w:top w:w="120" w:type="dxa"/>
              <w:bottom w:w="120" w:type="dxa"/>
              <w:start w:w="150" w:type="dxa"/>
              <w:end w:w="150" w:type="dxa"/>
            </w:tcMar>
          </w:tcPr>
          <w:p>
            <w:r>
              <w:t>Einheit blockiert</w:t>
            </w:r>
          </w:p>
        </w:tc>
        <w:tc>
          <w:tcPr>
            <w:tcW w:w="3660" w:type="dxa"/>
            <w:vAlign w:val="center"/>
            <w:tcMar>
              <w:top w:w="120" w:type="dxa"/>
              <w:bottom w:w="120" w:type="dxa"/>
              <w:start w:w="150" w:type="dxa"/>
              <w:end w:w="150" w:type="dxa"/>
            </w:tcMar>
          </w:tcPr>
          <w:p>
            <w:r>
              <w:t>Zugriff und Service können eingeschränkt sein.</w:t>
            </w:r>
          </w:p>
        </w:tc>
        <w:tc>
          <w:tcPr>
            <w:tcW w:w="3100" w:type="dxa"/>
            <w:vAlign w:val="center"/>
            <w:tcMar>
              <w:top w:w="120" w:type="dxa"/>
              <w:bottom w:w="120" w:type="dxa"/>
              <w:start w:w="150" w:type="dxa"/>
              <w:end w:w="150" w:type="dxa"/>
            </w:tcMar>
          </w:tcPr>
          <w:p>
            <w:r>
              <w:t>Grund prüfen, bevor Freigabe erfolgt.</w:t>
            </w:r>
          </w:p>
        </w:tc>
      </w:tr>
      <w:tr>
        <w:tc>
          <w:tcPr>
            <w:tcW w:w="2600" w:type="dxa"/>
            <w:vAlign w:val="center"/>
            <w:tcMar>
              <w:top w:w="120" w:type="dxa"/>
              <w:bottom w:w="120" w:type="dxa"/>
              <w:start w:w="150" w:type="dxa"/>
              <w:end w:w="150" w:type="dxa"/>
            </w:tcMar>
          </w:tcPr>
          <w:p>
            <w:r>
              <w:t>Doppelte Einheit</w:t>
            </w:r>
          </w:p>
        </w:tc>
        <w:tc>
          <w:tcPr>
            <w:tcW w:w="3660" w:type="dxa"/>
            <w:vAlign w:val="center"/>
            <w:tcMar>
              <w:top w:w="120" w:type="dxa"/>
              <w:bottom w:w="120" w:type="dxa"/>
              <w:start w:w="150" w:type="dxa"/>
              <w:end w:w="150" w:type="dxa"/>
            </w:tcMar>
          </w:tcPr>
          <w:p>
            <w:r>
              <w:t>Muss vor Übernahme bereinigt werden.</w:t>
            </w:r>
          </w:p>
        </w:tc>
        <w:tc>
          <w:tcPr>
            <w:tcW w:w="3100" w:type="dxa"/>
            <w:vAlign w:val="center"/>
            <w:tcMar>
              <w:top w:w="120" w:type="dxa"/>
              <w:bottom w:w="120" w:type="dxa"/>
              <w:start w:w="150" w:type="dxa"/>
              <w:end w:w="150" w:type="dxa"/>
            </w:tcMar>
          </w:tcPr>
          <w:p>
            <w:r>
              <w:t>Dubletten führen zu falscher Rechnung oder Kommunikation.</w:t>
            </w:r>
          </w:p>
        </w:tc>
      </w:tr>
    </w:tbl>
    <w:p>
      <w:pPr>
        <w:pStyle w:val="Heading1"/>
      </w:pPr>
      <w:r>
        <w:t>Schulung: was Anwender wissen müssen</w:t>
      </w:r>
    </w:p>
    <w:p>
      <w:pPr>
        <w:pStyle w:val="BodyText"/>
        <w:numPr>
          <w:ilvl w:val="0"/>
          <w:numId w:val="1"/>
        </w:numPr>
      </w:pPr>
      <w:r>
        <w:t>Operations muss verstehen, dass Importwarnungen fachliche Entscheidungen erfordern.</w:t>
      </w:r>
    </w:p>
    <w:p>
      <w:pPr>
        <w:pStyle w:val="BodyText"/>
        <w:numPr>
          <w:ilvl w:val="0"/>
          <w:numId w:val="1"/>
        </w:numPr>
      </w:pPr>
      <w:r>
        <w:t>Die Wohnungsmatrix ist ein Überblick; Details werden über Suche und Tabellen geprüft.</w:t>
      </w:r>
    </w:p>
    <w:p>
      <w:pPr>
        <w:pStyle w:val="BodyText"/>
        <w:numPr>
          <w:ilvl w:val="0"/>
          <w:numId w:val="1"/>
        </w:numPr>
      </w:pPr>
      <w:r>
        <w:t>Datenpflege ist kein einmaliges Projekt, sondern Teil des laufenden Betriebs.</w:t>
      </w:r>
    </w:p>
    <w:p>
      <w:pPr>
        <w:pStyle w:val="BodyText"/>
        <w:numPr>
          <w:ilvl w:val="0"/>
          <w:numId w:val="1"/>
        </w:numPr>
      </w:pPr>
      <w:r>
        <w:t>Jede Datenänderung kann Auswirkungen auf Finanzen, Zugriff und Service haben.</w:t>
      </w:r>
    </w:p>
    <w:p>
      <w:pPr>
        <w:pStyle w:val="Heading1"/>
      </w:pPr>
      <w:r>
        <w:t>Offene fachliche Entscheidungen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4100"/>
        <w:gridCol w:w="2760"/>
      </w:tblGrid>
      <w:tr>
        <w:tc>
          <w:tcPr>
            <w:tcW w:w="2500" w:type="dxa"/>
            <w:vAlign w:val="center"/>
            <w:shd w:fill="F2F4F7"/>
            <w:tcMar>
              <w:top w:w="120" w:type="dxa"/>
              <w:bottom w:w="120" w:type="dxa"/>
              <w:start w:w="150" w:type="dxa"/>
              <w:end w:w="150" w:type="dxa"/>
            </w:tcMar>
          </w:tcPr>
          <w:p>
            <w:r>
              <w:rPr>
                <w:b/>
              </w:rPr>
              <w:t>Thema</w:t>
            </w:r>
          </w:p>
        </w:tc>
        <w:tc>
          <w:tcPr>
            <w:tcW w:w="4100" w:type="dxa"/>
            <w:vAlign w:val="center"/>
            <w:shd w:fill="F2F4F7"/>
            <w:tcMar>
              <w:top w:w="120" w:type="dxa"/>
              <w:bottom w:w="120" w:type="dxa"/>
              <w:start w:w="150" w:type="dxa"/>
              <w:end w:w="150" w:type="dxa"/>
            </w:tcMar>
          </w:tcPr>
          <w:p>
            <w:r>
              <w:rPr>
                <w:b/>
              </w:rPr>
              <w:t>Entscheidung durch Management/Fachbereich</w:t>
            </w:r>
          </w:p>
        </w:tc>
        <w:tc>
          <w:tcPr>
            <w:tcW w:w="2760" w:type="dxa"/>
            <w:vAlign w:val="center"/>
            <w:shd w:fill="F2F4F7"/>
            <w:tcMar>
              <w:top w:w="120" w:type="dxa"/>
              <w:bottom w:w="120" w:type="dxa"/>
              <w:start w:w="150" w:type="dxa"/>
              <w:end w:w="150" w:type="dxa"/>
            </w:tcMar>
          </w:tcPr>
          <w:p>
            <w:r>
              <w:rPr>
                <w:b/>
              </w:rPr>
              <w:t>Warum relevant?</w:t>
            </w:r>
          </w:p>
        </w:tc>
      </w:tr>
      <w:tr>
        <w:tc>
          <w:tcPr>
            <w:tcW w:w="2500" w:type="dxa"/>
            <w:vAlign w:val="center"/>
            <w:tcMar>
              <w:top w:w="120" w:type="dxa"/>
              <w:bottom w:w="120" w:type="dxa"/>
              <w:start w:w="150" w:type="dxa"/>
              <w:end w:w="150" w:type="dxa"/>
            </w:tcMar>
          </w:tcPr>
          <w:p>
            <w:r>
              <w:t>Importfreigabe</w:t>
            </w:r>
          </w:p>
        </w:tc>
        <w:tc>
          <w:tcPr>
            <w:tcW w:w="4100" w:type="dxa"/>
            <w:vAlign w:val="center"/>
            <w:tcMar>
              <w:top w:w="120" w:type="dxa"/>
              <w:bottom w:w="120" w:type="dxa"/>
              <w:start w:w="150" w:type="dxa"/>
              <w:end w:w="150" w:type="dxa"/>
            </w:tcMar>
          </w:tcPr>
          <w:p>
            <w:r>
              <w:t>Wer darf einen geprüften Import final übernehmen?</w:t>
            </w:r>
          </w:p>
        </w:tc>
        <w:tc>
          <w:tcPr>
            <w:tcW w:w="2760" w:type="dxa"/>
            <w:vAlign w:val="center"/>
            <w:tcMar>
              <w:top w:w="120" w:type="dxa"/>
              <w:bottom w:w="120" w:type="dxa"/>
              <w:start w:w="150" w:type="dxa"/>
              <w:end w:w="150" w:type="dxa"/>
            </w:tcMar>
          </w:tcPr>
          <w:p>
            <w:r>
              <w:t>Verhindert unkontrollierte Datenänderungen.</w:t>
            </w:r>
          </w:p>
        </w:tc>
      </w:tr>
      <w:tr>
        <w:tc>
          <w:tcPr>
            <w:tcW w:w="2500" w:type="dxa"/>
            <w:vAlign w:val="center"/>
            <w:tcMar>
              <w:top w:w="120" w:type="dxa"/>
              <w:bottom w:w="120" w:type="dxa"/>
              <w:start w:w="150" w:type="dxa"/>
              <w:end w:w="150" w:type="dxa"/>
            </w:tcMar>
          </w:tcPr>
          <w:p>
            <w:r>
              <w:t>Warnlogik</w:t>
            </w:r>
          </w:p>
        </w:tc>
        <w:tc>
          <w:tcPr>
            <w:tcW w:w="4100" w:type="dxa"/>
            <w:vAlign w:val="center"/>
            <w:tcMar>
              <w:top w:w="120" w:type="dxa"/>
              <w:bottom w:w="120" w:type="dxa"/>
              <w:start w:w="150" w:type="dxa"/>
              <w:end w:w="150" w:type="dxa"/>
            </w:tcMar>
          </w:tcPr>
          <w:p>
            <w:r>
              <w:t>Welche Warnungen stoppen den Prozess, welche sind nur Hinweise?</w:t>
            </w:r>
          </w:p>
        </w:tc>
        <w:tc>
          <w:tcPr>
            <w:tcW w:w="2760" w:type="dxa"/>
            <w:vAlign w:val="center"/>
            <w:tcMar>
              <w:top w:w="120" w:type="dxa"/>
              <w:bottom w:w="120" w:type="dxa"/>
              <w:start w:w="150" w:type="dxa"/>
              <w:end w:w="150" w:type="dxa"/>
            </w:tcMar>
          </w:tcPr>
          <w:p>
            <w:r>
              <w:t>Fachliche Priorisierung ist nötig.</w:t>
            </w:r>
          </w:p>
        </w:tc>
      </w:tr>
      <w:tr>
        <w:tc>
          <w:tcPr>
            <w:tcW w:w="2500" w:type="dxa"/>
            <w:vAlign w:val="center"/>
            <w:tcMar>
              <w:top w:w="120" w:type="dxa"/>
              <w:bottom w:w="120" w:type="dxa"/>
              <w:start w:w="150" w:type="dxa"/>
              <w:end w:w="150" w:type="dxa"/>
            </w:tcMar>
          </w:tcPr>
          <w:p>
            <w:r>
              <w:t>Datenverantwortung</w:t>
            </w:r>
          </w:p>
        </w:tc>
        <w:tc>
          <w:tcPr>
            <w:tcW w:w="4100" w:type="dxa"/>
            <w:vAlign w:val="center"/>
            <w:tcMar>
              <w:top w:w="120" w:type="dxa"/>
              <w:bottom w:w="120" w:type="dxa"/>
              <w:start w:w="150" w:type="dxa"/>
              <w:end w:w="150" w:type="dxa"/>
            </w:tcMar>
          </w:tcPr>
          <w:p>
            <w:r>
              <w:t>Wer besitzt die Qualität von Wohnungs- und Personendaten?</w:t>
            </w:r>
          </w:p>
        </w:tc>
        <w:tc>
          <w:tcPr>
            <w:tcW w:w="2760" w:type="dxa"/>
            <w:vAlign w:val="center"/>
            <w:tcMar>
              <w:top w:w="120" w:type="dxa"/>
              <w:bottom w:w="120" w:type="dxa"/>
              <w:start w:w="150" w:type="dxa"/>
              <w:end w:w="150" w:type="dxa"/>
            </w:tcMar>
          </w:tcPr>
          <w:p>
            <w:r>
              <w:t>Ohne Verantwortlichen veralten Daten schnell.</w:t>
            </w:r>
          </w:p>
        </w:tc>
      </w:tr>
    </w:tbl>
    <w:p>
      <w:pPr>
        <w:pStyle w:val="Heading1"/>
      </w:pPr>
      <w:r>
        <w:t>Verbindung zu den nächsten Phasen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4200"/>
        <w:gridCol w:w="2960"/>
      </w:tblGrid>
      <w:tr>
        <w:tc>
          <w:tcPr>
            <w:tcW w:w="2200" w:type="dxa"/>
            <w:vAlign w:val="center"/>
            <w:shd w:fill="F2F4F7"/>
            <w:tcMar>
              <w:top w:w="120" w:type="dxa"/>
              <w:bottom w:w="120" w:type="dxa"/>
              <w:start w:w="150" w:type="dxa"/>
              <w:end w:w="150" w:type="dxa"/>
            </w:tcMar>
          </w:tcPr>
          <w:p>
            <w:r>
              <w:rPr>
                <w:b/>
              </w:rPr>
              <w:t>Nächste Phase</w:t>
            </w:r>
          </w:p>
        </w:tc>
        <w:tc>
          <w:tcPr>
            <w:tcW w:w="4200" w:type="dxa"/>
            <w:vAlign w:val="center"/>
            <w:shd w:fill="F2F4F7"/>
            <w:tcMar>
              <w:top w:w="120" w:type="dxa"/>
              <w:bottom w:w="120" w:type="dxa"/>
              <w:start w:w="150" w:type="dxa"/>
              <w:end w:w="150" w:type="dxa"/>
            </w:tcMar>
          </w:tcPr>
          <w:p>
            <w:r>
              <w:rPr>
                <w:b/>
              </w:rPr>
              <w:t>Warum diese Phase davon abhängt</w:t>
            </w:r>
          </w:p>
        </w:tc>
        <w:tc>
          <w:tcPr>
            <w:tcW w:w="2960" w:type="dxa"/>
            <w:vAlign w:val="center"/>
            <w:shd w:fill="F2F4F7"/>
            <w:tcMar>
              <w:top w:w="120" w:type="dxa"/>
              <w:bottom w:w="120" w:type="dxa"/>
              <w:start w:w="150" w:type="dxa"/>
              <w:end w:w="150" w:type="dxa"/>
            </w:tcMar>
          </w:tcPr>
          <w:p>
            <w:r>
              <w:rPr>
                <w:b/>
              </w:rPr>
              <w:t>Empfehlung</w:t>
            </w:r>
          </w:p>
        </w:tc>
      </w:tr>
      <w:tr>
        <w:tc>
          <w:tcPr>
            <w:tcW w:w="2200" w:type="dxa"/>
            <w:vAlign w:val="center"/>
            <w:tcMar>
              <w:top w:w="120" w:type="dxa"/>
              <w:bottom w:w="120" w:type="dxa"/>
              <w:start w:w="150" w:type="dxa"/>
              <w:end w:w="150" w:type="dxa"/>
            </w:tcMar>
          </w:tcPr>
          <w:p>
            <w:r>
              <w:t>Phase 5</w:t>
            </w:r>
          </w:p>
        </w:tc>
        <w:tc>
          <w:tcPr>
            <w:tcW w:w="4200" w:type="dxa"/>
            <w:vAlign w:val="center"/>
            <w:tcMar>
              <w:top w:w="120" w:type="dxa"/>
              <w:bottom w:w="120" w:type="dxa"/>
              <w:start w:w="150" w:type="dxa"/>
              <w:end w:w="150" w:type="dxa"/>
            </w:tcMar>
          </w:tcPr>
          <w:p>
            <w:r>
              <w:t>Personen und Rollen müssen mit Einheiten verbunden werden.</w:t>
            </w:r>
          </w:p>
        </w:tc>
        <w:tc>
          <w:tcPr>
            <w:tcW w:w="2960" w:type="dxa"/>
            <w:vAlign w:val="center"/>
            <w:tcMar>
              <w:top w:w="120" w:type="dxa"/>
              <w:bottom w:w="120" w:type="dxa"/>
              <w:start w:w="150" w:type="dxa"/>
              <w:end w:w="150" w:type="dxa"/>
            </w:tcMar>
          </w:tcPr>
          <w:p>
            <w:r>
              <w:t>Datenbeziehungen finalisieren.</w:t>
            </w:r>
          </w:p>
        </w:tc>
      </w:tr>
      <w:tr>
        <w:tc>
          <w:tcPr>
            <w:tcW w:w="2200" w:type="dxa"/>
            <w:vAlign w:val="center"/>
            <w:tcMar>
              <w:top w:w="120" w:type="dxa"/>
              <w:bottom w:w="120" w:type="dxa"/>
              <w:start w:w="150" w:type="dxa"/>
              <w:end w:w="150" w:type="dxa"/>
            </w:tcMar>
          </w:tcPr>
          <w:p>
            <w:r>
              <w:t>Phase 7</w:t>
            </w:r>
          </w:p>
        </w:tc>
        <w:tc>
          <w:tcPr>
            <w:tcW w:w="4200" w:type="dxa"/>
            <w:vAlign w:val="center"/>
            <w:tcMar>
              <w:top w:w="120" w:type="dxa"/>
              <w:bottom w:w="120" w:type="dxa"/>
              <w:start w:w="150" w:type="dxa"/>
              <w:end w:w="150" w:type="dxa"/>
            </w:tcMar>
          </w:tcPr>
          <w:p>
            <w:r>
              <w:t>Finanzprozesse brauchen korrekte Einheiten und Personen.</w:t>
            </w:r>
          </w:p>
        </w:tc>
        <w:tc>
          <w:tcPr>
            <w:tcW w:w="2960" w:type="dxa"/>
            <w:vAlign w:val="center"/>
            <w:tcMar>
              <w:top w:w="120" w:type="dxa"/>
              <w:bottom w:w="120" w:type="dxa"/>
              <w:start w:w="150" w:type="dxa"/>
              <w:end w:w="150" w:type="dxa"/>
            </w:tcMar>
          </w:tcPr>
          <w:p>
            <w:r>
              <w:t>Dubletten vermeiden.</w:t>
            </w:r>
          </w:p>
        </w:tc>
      </w:tr>
      <w:tr>
        <w:tc>
          <w:tcPr>
            <w:tcW w:w="2200" w:type="dxa"/>
            <w:vAlign w:val="center"/>
            <w:tcMar>
              <w:top w:w="120" w:type="dxa"/>
              <w:bottom w:w="120" w:type="dxa"/>
              <w:start w:w="150" w:type="dxa"/>
              <w:end w:w="150" w:type="dxa"/>
            </w:tcMar>
          </w:tcPr>
          <w:p>
            <w:r>
              <w:t>Phase 10</w:t>
            </w:r>
          </w:p>
        </w:tc>
        <w:tc>
          <w:tcPr>
            <w:tcW w:w="4200" w:type="dxa"/>
            <w:vAlign w:val="center"/>
            <w:tcMar>
              <w:top w:w="120" w:type="dxa"/>
              <w:bottom w:w="120" w:type="dxa"/>
              <w:start w:w="150" w:type="dxa"/>
              <w:end w:w="150" w:type="dxa"/>
            </w:tcMar>
          </w:tcPr>
          <w:p>
            <w:r>
              <w:t>Einzug, Auszug und Zugang hängen von sauberem Einheitenstatus ab.</w:t>
            </w:r>
          </w:p>
        </w:tc>
        <w:tc>
          <w:tcPr>
            <w:tcW w:w="2960" w:type="dxa"/>
            <w:vAlign w:val="center"/>
            <w:tcMar>
              <w:top w:w="120" w:type="dxa"/>
              <w:bottom w:w="120" w:type="dxa"/>
              <w:start w:w="150" w:type="dxa"/>
              <w:end w:w="150" w:type="dxa"/>
            </w:tcMar>
          </w:tcPr>
          <w:p>
            <w:r>
              <w:t>Statusregeln definieren.</w:t>
            </w:r>
          </w:p>
        </w:tc>
      </w:tr>
    </w:tbl>
    <w:p>
      <w:pPr>
        <w:pStyle w:val="Heading1"/>
      </w:pPr>
      <w:r>
        <w:t>Jira-Hinweis</w:t>
      </w:r>
    </w:p>
    <w:p>
      <w:pPr>
        <w:pStyle w:val="BodyText"/>
      </w:pPr>
      <w:r>
        <w:t>Dieses Dokument ist als fachliche Anlage für das jeweilige Jira-Phasen-Ticket gedacht. Im Ticket sollte es als aktuelle Business-Dokumentation referenziert werden, damit Management, Umsetzung und Abnahme dieselbe fachliche Grundlage verwenden.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F2937"/>
    </w:rPr>
  </w:style>
  <w:style w:type="paragraph" w:styleId="BodyText">
    <w:name w:val="Body Text"/>
    <w:basedOn w:val="Normal"/>
    <w:pPr>
      <w:spacing w:after="120" w:line="264" w:lineRule="auto"/>
    </w:pPr>
    <w:rPr>
      <w:sz w:val="22"/>
      <w:color w:val="344054"/>
    </w:rPr>
  </w:style>
  <w:style w:type="paragraph" w:styleId="Title">
    <w:name w:val="Title"/>
    <w:qFormat/>
    <w:pPr>
      <w:spacing w:after="160"/>
    </w:pPr>
    <w:rPr>
      <w:b/>
      <w:sz w:val="40"/>
      <w:color w:val="0B2545"/>
    </w:rPr>
  </w:style>
  <w:style w:type="paragraph" w:styleId="Heading1">
    <w:name w:val="heading 1"/>
    <w:basedOn w:val="Normal"/>
    <w:qFormat/>
    <w:pPr>
      <w:keepNext/>
      <w:spacing w:before="320" w:after="160"/>
    </w:pPr>
    <w:rPr>
      <w:b/>
      <w:sz w:val="32"/>
      <w:color w:val="2E74B5"/>
    </w:rPr>
  </w:style>
  <w:style w:type="paragraph" w:styleId="Heading2">
    <w:name w:val="heading 2"/>
    <w:basedOn w:val="Normal"/>
    <w:qFormat/>
    <w:pPr>
      <w:keepNext/>
      <w:spacing w:before="240" w:after="120"/>
    </w:pPr>
    <w:rPr>
      <w:b/>
      <w:sz w:val="26"/>
      <w:color w:val="2E74B5"/>
    </w:rPr>
  </w:style>
  <w:style w:type="paragraph" w:styleId="Caption">
    <w:name w:val="caption"/>
    <w:basedOn w:val="Normal"/>
    <w:pPr>
      <w:spacing w:before="80" w:after="120"/>
    </w:pPr>
    <w:rPr>
      <w:i/>
      <w:sz w:val="18"/>
      <w:color w:val="66708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Img1" Type="http://schemas.openxmlformats.org/officeDocument/2006/relationships/image" Target="media/phase-04-unit-matrix.png"/><Relationship Id="rIdImg2" Type="http://schemas.openxmlformats.org/officeDocument/2006/relationships/image" Target="media/phase-04-import-quality-gate.png"/><Relationship Id="rIdImg3" Type="http://schemas.openxmlformats.org/officeDocument/2006/relationships/image" Target="media/phase-04-unit-search.png"/></Relationships>

</file>

<file path=docProps/app.xml><?xml version="1.0" encoding="utf-8"?>
<Properties xmlns="http://schemas.openxmlformats.org/officeDocument/2006/extended-properties" xmlns:vt="http://schemas.openxmlformats.org/officeDocument/2006/docPropsVTypes">
  <Application>Codex OOXML Builder</Application>
  <Company>Wamocon</Company>
</Properties>
</file>

<file path=docProps/core.xml><?xml version="1.0" encoding="utf-8"?>
<cp:coreProperties xmlns:cp="http://schemas.openxmlformats.org/package/2006/metadata/core-properties" xmlns:dc="http://purl.org/dc/elements/1.1/" xmlns:dcterms="http://purl.org/dc/terms/" xmlns:xsi="http://www.w3.org/2001/XMLSchema-instance">
  <dc:title>Phase 4: Site-, Block-, Etagen-, Wohnungs- und Importmodell</dc:title>
  <dc:creator>Codex</dc:creator>
  <cp:lastModifiedBy>Codex</cp:lastModifiedBy>
  <dcterms:created xsi:type="dcterms:W3CDTF">2026-06-25T11:49:34Z</dcterms:created>
  <dcterms:modified xsi:type="dcterms:W3CDTF">2026-06-25T11:49:34Z</dcterms:modified>
</cp:coreProperties>
</file>