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540" w:line="276" w:lineRule="auto"/>
        <w:jc w:val="right"/>
      </w:pPr>
      <w:r>
        <w:rPr>
          <w:rFonts w:ascii="Arial Narrow" w:hAnsi="Arial Narrow"/>
          <w:color w:val="E11D48"/>
          <w:sz w:val="20"/>
          <w:szCs w:val="20"/>
          <w:b/>
        </w:rPr>
        <w:t>STRENG VERTRAULICH</w:t>
      </w:r>
    </w:p>
    <w:p>
      <w:pPr>
        <w:pStyle w:val="Title"/>
        <w:spacing w:after="150" w:line="276" w:lineRule="auto"/>
      </w:pPr>
      <w:r>
        <w:rPr>
          <w:rFonts w:ascii="Arial Narrow" w:hAnsi="Arial Narrow"/>
          <w:color w:val="111827"/>
          <w:sz w:val="46"/>
          <w:szCs w:val="46"/>
          <w:b/>
        </w:rPr>
        <w:t>1Çatı Management-Dokumentation</w:t>
      </w:r>
    </w:p>
    <w:p>
      <w:pPr>
        <w:spacing w:after="420" w:line="276" w:lineRule="auto"/>
      </w:pPr>
      <w:r>
        <w:rPr>
          <w:rFonts w:ascii="Arial Narrow" w:hAnsi="Arial Narrow"/>
          <w:color w:val="334155"/>
          <w:sz w:val="28"/>
          <w:szCs w:val="28"/>
        </w:rPr>
        <w:t>Deutsche Entscheidungsunterlage für Geschäftsführung und obere Führungsebene</w:t>
      </w:r>
    </w:p>
    <w:p>
      <w:pPr>
        <w:spacing w:after="70" w:line="276" w:lineRule="auto"/>
      </w:pPr>
      <w:r>
        <w:rPr>
          <w:rFonts w:ascii="Arial Narrow" w:hAnsi="Arial Narrow"/>
          <w:color w:val="111827"/>
          <w:sz w:val="22"/>
          <w:szCs w:val="22"/>
          <w:b/>
        </w:rPr>
        <w:t>Erstellt für: Ataberk Estate</w:t>
      </w:r>
    </w:p>
    <w:p>
      <w:pPr>
        <w:spacing w:after="70" w:line="276" w:lineRule="auto"/>
      </w:pPr>
      <w:r>
        <w:rPr>
          <w:rFonts w:ascii="Arial Narrow" w:hAnsi="Arial Narrow"/>
          <w:color w:val="111827"/>
          <w:sz w:val="22"/>
          <w:szCs w:val="22"/>
        </w:rPr>
        <w:t>Erstellt durch: WAMOCON GmbH und 1Çatı Product Engineering</w:t>
      </w:r>
    </w:p>
    <w:p>
      <w:pPr>
        <w:spacing w:after="70" w:line="276" w:lineRule="auto"/>
      </w:pPr>
      <w:r>
        <w:rPr>
          <w:rFonts w:ascii="Arial Narrow" w:hAnsi="Arial Narrow"/>
          <w:color w:val="111827"/>
          <w:sz w:val="22"/>
          <w:szCs w:val="22"/>
        </w:rPr>
        <w:t>Stand: 25. Juni 2026</w:t>
      </w:r>
    </w:p>
    <w:p>
      <w:pPr>
        <w:spacing w:after="600" w:line="276" w:lineRule="auto"/>
      </w:pPr>
      <w:r>
        <w:rPr>
          <w:rFonts w:ascii="Arial Narrow" w:hAnsi="Arial Narrow"/>
          <w:color w:val="111827"/>
          <w:sz w:val="22"/>
          <w:szCs w:val="22"/>
        </w:rPr>
        <w:t>Zweck: Managementverständnis, Umfangsfreigabe, Projektsteuerung und Entscheidung zum Produktivstart</w:t>
      </w:r>
    </w:p>
    <w:p>
      <w:r>
        <w:br w:type="page"/>
      </w:r>
    </w:p>
    <w:p>
      <w:pPr>
        <w:pStyle w:val="Heading1"/>
        <w:spacing w:after="120" w:line="276" w:lineRule="auto"/>
      </w:pPr>
      <w:bookmarkStart w:id="1" w:name="toc"/>
      <w:r>
        <w:rPr>
          <w:rFonts w:ascii="Arial Narrow" w:hAnsi="Arial Narrow"/>
          <w:color w:val="111827"/>
          <w:sz w:val="22"/>
          <w:szCs w:val="22"/>
        </w:rPr>
        <w:t>Inhaltsverzeichnis</w:t>
      </w:r>
      <w:bookmarkEnd w:id="1"/>
    </w:p>
    <w:p>
      <w:pPr>
        <w:spacing w:after="200" w:line="276" w:lineRule="auto"/>
      </w:pPr>
      <w:r>
        <w:rPr>
          <w:rFonts w:ascii="Arial Narrow" w:hAnsi="Arial Narrow"/>
          <w:color w:val="64748B"/>
          <w:sz w:val="22"/>
          <w:szCs w:val="22"/>
        </w:rPr>
        <w:t>Die Einträge sind in Word anklickbar und führen direkt zu den Hauptkapiteln.</w:t>
      </w:r>
    </w:p>
    <w:p>
      <w:pPr>
        <w:spacing w:after="70" w:line="260" w:lineRule="auto"/>
      </w:pPr>
      <w:hyperlink w:anchor="sec_2">
        <w:r>
          <w:rPr>
            <w:rFonts w:ascii="Arial Narrow" w:hAnsi="Arial Narrow"/>
            <w:color w:val="2563EB"/>
            <w:sz w:val="22"/>
            <w:szCs w:val="22"/>
            <w:u w:val="single"/>
          </w:rPr>
          <w:t>1. Management-Zusammenfassung</w:t>
        </w:r>
      </w:hyperlink>
    </w:p>
    <w:p>
      <w:pPr>
        <w:spacing w:after="70" w:line="260" w:lineRule="auto"/>
      </w:pPr>
      <w:hyperlink w:anchor="sec_3">
        <w:r>
          <w:rPr>
            <w:rFonts w:ascii="Arial Narrow" w:hAnsi="Arial Narrow"/>
            <w:color w:val="2563EB"/>
            <w:sz w:val="22"/>
            <w:szCs w:val="22"/>
            <w:u w:val="single"/>
          </w:rPr>
          <w:t>2. Gesamtbild und Management-Mindmap</w:t>
        </w:r>
      </w:hyperlink>
    </w:p>
    <w:p>
      <w:pPr>
        <w:spacing w:after="70" w:line="260" w:lineRule="auto"/>
      </w:pPr>
      <w:hyperlink w:anchor="sec_4">
        <w:r>
          <w:rPr>
            <w:rFonts w:ascii="Arial Narrow" w:hAnsi="Arial Narrow"/>
            <w:color w:val="2563EB"/>
            <w:sz w:val="22"/>
            <w:szCs w:val="22"/>
            <w:u w:val="single"/>
          </w:rPr>
          <w:t>3. Warum das Projekt wichtig ist</w:t>
        </w:r>
      </w:hyperlink>
    </w:p>
    <w:p>
      <w:pPr>
        <w:spacing w:after="70" w:line="260" w:lineRule="auto"/>
      </w:pPr>
      <w:hyperlink w:anchor="sec_5">
        <w:r>
          <w:rPr>
            <w:rFonts w:ascii="Arial Narrow" w:hAnsi="Arial Narrow"/>
            <w:color w:val="2563EB"/>
            <w:sz w:val="22"/>
            <w:szCs w:val="22"/>
            <w:u w:val="single"/>
          </w:rPr>
          <w:t>4. Zielbild des Betriebsmodells</w:t>
        </w:r>
      </w:hyperlink>
    </w:p>
    <w:p>
      <w:pPr>
        <w:spacing w:after="70" w:line="260" w:lineRule="auto"/>
      </w:pPr>
      <w:hyperlink w:anchor="sec_6">
        <w:r>
          <w:rPr>
            <w:rFonts w:ascii="Arial Narrow" w:hAnsi="Arial Narrow"/>
            <w:color w:val="2563EB"/>
            <w:sz w:val="22"/>
            <w:szCs w:val="22"/>
            <w:u w:val="single"/>
          </w:rPr>
          <w:t>5. Funktionsumfang für den Start</w:t>
        </w:r>
      </w:hyperlink>
    </w:p>
    <w:p>
      <w:pPr>
        <w:spacing w:after="70" w:line="260" w:lineRule="auto"/>
      </w:pPr>
      <w:hyperlink w:anchor="sec_7">
        <w:r>
          <w:rPr>
            <w:rFonts w:ascii="Arial Narrow" w:hAnsi="Arial Narrow"/>
            <w:color w:val="2563EB"/>
            <w:sz w:val="22"/>
            <w:szCs w:val="22"/>
            <w:u w:val="single"/>
          </w:rPr>
          <w:t>6. Roadmap und Freigabepunkte</w:t>
        </w:r>
      </w:hyperlink>
    </w:p>
    <w:p>
      <w:pPr>
        <w:spacing w:after="70" w:line="260" w:lineRule="auto"/>
      </w:pPr>
      <w:hyperlink w:anchor="sec_8">
        <w:r>
          <w:rPr>
            <w:rFonts w:ascii="Arial Narrow" w:hAnsi="Arial Narrow"/>
            <w:color w:val="2563EB"/>
            <w:sz w:val="22"/>
            <w:szCs w:val="22"/>
            <w:u w:val="single"/>
          </w:rPr>
          <w:t>7. Beispielablauf für den Betrieb</w:t>
        </w:r>
      </w:hyperlink>
    </w:p>
    <w:p>
      <w:pPr>
        <w:spacing w:after="70" w:line="260" w:lineRule="auto"/>
      </w:pPr>
      <w:hyperlink w:anchor="sec_9">
        <w:r>
          <w:rPr>
            <w:rFonts w:ascii="Arial Narrow" w:hAnsi="Arial Narrow"/>
            <w:color w:val="2563EB"/>
            <w:sz w:val="22"/>
            <w:szCs w:val="22"/>
            <w:u w:val="single"/>
          </w:rPr>
          <w:t>8. Risiken, Sonderfälle und Management-Kontrolle</w:t>
        </w:r>
      </w:hyperlink>
    </w:p>
    <w:p>
      <w:pPr>
        <w:spacing w:after="70" w:line="260" w:lineRule="auto"/>
      </w:pPr>
      <w:hyperlink w:anchor="sec_10">
        <w:r>
          <w:rPr>
            <w:rFonts w:ascii="Arial Narrow" w:hAnsi="Arial Narrow"/>
            <w:color w:val="2563EB"/>
            <w:sz w:val="22"/>
            <w:szCs w:val="22"/>
            <w:u w:val="single"/>
          </w:rPr>
          <w:t>9. Technisches Zielbild in einfacher Sprache</w:t>
        </w:r>
      </w:hyperlink>
    </w:p>
    <w:p>
      <w:pPr>
        <w:spacing w:after="70" w:line="260" w:lineRule="auto"/>
      </w:pPr>
      <w:hyperlink w:anchor="sec_11">
        <w:r>
          <w:rPr>
            <w:rFonts w:ascii="Arial Narrow" w:hAnsi="Arial Narrow"/>
            <w:color w:val="2563EB"/>
            <w:sz w:val="22"/>
            <w:szCs w:val="22"/>
            <w:u w:val="single"/>
          </w:rPr>
          <w:t>10. Projektsteuerung, Fachabnahme und Produktivstart</w:t>
        </w:r>
      </w:hyperlink>
    </w:p>
    <w:p>
      <w:pPr>
        <w:spacing w:after="70" w:line="260" w:lineRule="auto"/>
      </w:pPr>
      <w:hyperlink w:anchor="sec_12">
        <w:r>
          <w:rPr>
            <w:rFonts w:ascii="Arial Narrow" w:hAnsi="Arial Narrow"/>
            <w:color w:val="2563EB"/>
            <w:sz w:val="22"/>
            <w:szCs w:val="22"/>
            <w:u w:val="single"/>
          </w:rPr>
          <w:t>11. Empfohlene nächste Schritte</w:t>
        </w:r>
      </w:hyperlink>
    </w:p>
    <w:p>
      <w:r>
        <w:br w:type="page"/>
      </w:r>
    </w:p>
    <w:p>
      <w:pPr>
        <w:pStyle w:val="Heading1"/>
        <w:spacing w:after="120" w:line="276" w:lineRule="auto"/>
      </w:pPr>
      <w:bookmarkStart w:id="21" w:name="sec_2"/>
      <w:r>
        <w:rPr>
          <w:rFonts w:ascii="Arial Narrow" w:hAnsi="Arial Narrow"/>
          <w:color w:val="111827"/>
          <w:sz w:val="22"/>
          <w:szCs w:val="22"/>
        </w:rPr>
        <w:t>1. Management-Zusammenfassung</w:t>
      </w:r>
      <w:bookmarkEnd w:id="21"/>
    </w:p>
    <w:p>
      <w:pPr>
        <w:spacing w:after="120" w:line="276" w:lineRule="auto"/>
      </w:pPr>
      <w:r>
        <w:rPr>
          <w:rFonts w:ascii="Arial Narrow" w:hAnsi="Arial Narrow"/>
          <w:color w:val="111827"/>
          <w:sz w:val="22"/>
          <w:szCs w:val="22"/>
        </w:rPr>
        <w:t>1Çatı ist nicht nur eine Website. Es ist das geplante Betriebssystem für Wohnanlagen, Eigentümer, Bewohner, Verwaltung, Technik und Buchhaltung.</w:t>
      </w:r>
    </w:p>
    <w:p>
      <w:pPr>
        <w:spacing w:after="120" w:line="276" w:lineRule="auto"/>
      </w:pPr>
      <w:r>
        <w:rPr>
          <w:rFonts w:ascii="Arial Narrow" w:hAnsi="Arial Narrow"/>
          <w:color w:val="111827"/>
          <w:sz w:val="22"/>
          <w:szCs w:val="22"/>
        </w:rPr>
        <w:t>Der größte Nutzen entsteht, wenn Finanzen, Servicefälle, Buchungen, Dokumente, Kommunikation und Rollensteuerung in einem gemeinsamen Arbeitsfluss zusammengeführt werden.</w:t>
      </w:r>
    </w:p>
    <w:p>
      <w:pPr>
        <w:spacing w:after="120" w:line="276" w:lineRule="auto"/>
      </w:pPr>
      <w:r>
        <w:rPr>
          <w:rFonts w:ascii="Arial Narrow" w:hAnsi="Arial Narrow"/>
          <w:color w:val="111827"/>
          <w:sz w:val="22"/>
          <w:szCs w:val="22"/>
        </w:rPr>
        <w:t>Die empfohlene Umsetzung beginnt bewusst mit der Web-App und einer mobilen Ansicht. Dadurch wird der Start schneller, kontrollierbarer und günstiger, ohne wichtige mobile Nutzungsszenarien zu verlieren.</w:t>
      </w:r>
    </w:p>
    <w:p>
      <w:pPr>
        <w:numPr>
          <w:ilvl w:val="0"/>
          <w:numId w:val="1"/>
        </w:numPr>
        <w:spacing w:after="80" w:line="260" w:lineRule="auto"/>
      </w:pPr>
      <w:r>
        <w:rPr>
          <w:rFonts w:ascii="Arial Narrow" w:hAnsi="Arial Narrow"/>
          <w:sz w:val="22"/>
          <w:szCs w:val="22"/>
        </w:rPr>
        <w:t>Entscheidung 1: Umfang der Startversion verbindlich freigeben.</w:t>
      </w:r>
    </w:p>
    <w:p>
      <w:pPr>
        <w:numPr>
          <w:ilvl w:val="0"/>
          <w:numId w:val="1"/>
        </w:numPr>
        <w:spacing w:after="80" w:line="260" w:lineRule="auto"/>
      </w:pPr>
      <w:r>
        <w:rPr>
          <w:rFonts w:ascii="Arial Narrow" w:hAnsi="Arial Narrow"/>
          <w:sz w:val="22"/>
          <w:szCs w:val="22"/>
        </w:rPr>
        <w:t>Entscheidung 2: Verantwortliche für Finanzen, Betrieb, Daten und Fachabnahme benennen.</w:t>
      </w:r>
    </w:p>
    <w:p>
      <w:pPr>
        <w:numPr>
          <w:ilvl w:val="0"/>
          <w:numId w:val="1"/>
        </w:numPr>
        <w:spacing w:after="80" w:line="260" w:lineRule="auto"/>
      </w:pPr>
      <w:r>
        <w:rPr>
          <w:rFonts w:ascii="Arial Narrow" w:hAnsi="Arial Narrow"/>
          <w:sz w:val="22"/>
          <w:szCs w:val="22"/>
        </w:rPr>
        <w:t>Entscheidung 3: Datenmigration und Pilotanlage früh absichern.</w:t>
      </w:r>
    </w:p>
    <w:p>
      <w:pPr>
        <w:pStyle w:val="Heading1"/>
        <w:spacing w:after="120" w:line="276" w:lineRule="auto"/>
      </w:pPr>
      <w:bookmarkStart w:id="22" w:name="sec_3"/>
      <w:r>
        <w:rPr>
          <w:rFonts w:ascii="Arial Narrow" w:hAnsi="Arial Narrow"/>
          <w:color w:val="111827"/>
          <w:sz w:val="22"/>
          <w:szCs w:val="22"/>
        </w:rPr>
        <w:t>2. Gesamtbild und Management-Mindmap</w:t>
      </w:r>
      <w:bookmarkEnd w:id="22"/>
    </w:p>
    <w:p>
      <w:pPr>
        <w:spacing w:after="120" w:line="276" w:lineRule="auto"/>
      </w:pPr>
      <w:r>
        <w:rPr>
          <w:rFonts w:ascii="Arial Narrow" w:hAnsi="Arial Narrow"/>
          <w:color w:val="111827"/>
          <w:sz w:val="22"/>
          <w:szCs w:val="22"/>
        </w:rPr>
        <w:t>Die Mindmap zeigt den Zusammenhang der wichtigsten Themen. Für Führungskräfte ist wichtig: Jeder Bereich ist fachlich eigenständig, technisch aber über Daten, Rollen und Prüfbarkeit verbunden.</w:t>
      </w:r>
    </w:p>
    <w:p>
      <w:pPr>
        <w:jc w:val="center"/>
        <w:spacing w:before="120" w:after="80"/>
      </w:pPr>
      <w:r>
        <w:drawing>
          <wp:inline distT="0" distB="0" distL="0" distR="0">
            <wp:extent cx="6126480" cy="3763409"/>
            <wp:effectExtent l="0" t="0" r="0" b="0"/>
            <wp:docPr id="1" name="Management-Mindmap.png"/>
            <wp:cNvGraphicFramePr/>
            <a:graphic>
              <a:graphicData uri="http://schemas.openxmlformats.org/drawingml/2006/picture">
                <pic:pic>
                  <pic:nvPicPr>
                    <pic:cNvPr id="0" name="Management-Mindmap.png"/>
                    <pic:cNvPicPr/>
                  </pic:nvPicPr>
                  <pic:blipFill>
                    <a:blip r:embed="rId1"/>
                    <a:stretch>
                      <a:fillRect/>
                    </a:stretch>
                  </pic:blipFill>
                  <pic:spPr>
                    <a:xfrm>
                      <a:off x="0" y="0"/>
                      <a:ext cx="6126480" cy="3763409"/>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Management-Mindmap</w:t>
      </w:r>
    </w:p>
    <w:p>
      <w:r>
        <w:br w:type="page"/>
      </w:r>
    </w:p>
    <w:p>
      <w:pPr>
        <w:pStyle w:val="Heading1"/>
        <w:spacing w:after="120" w:line="276" w:lineRule="auto"/>
      </w:pPr>
      <w:bookmarkStart w:id="23" w:name="sec_4"/>
      <w:r>
        <w:rPr>
          <w:rFonts w:ascii="Arial Narrow" w:hAnsi="Arial Narrow"/>
          <w:color w:val="111827"/>
          <w:sz w:val="22"/>
          <w:szCs w:val="22"/>
        </w:rPr>
        <w:t>3. Warum das Projekt wichtig ist</w:t>
      </w:r>
      <w:bookmarkEnd w:id="23"/>
    </w:p>
    <w:p>
      <w:pPr>
        <w:spacing w:after="120" w:line="276" w:lineRule="auto"/>
      </w:pPr>
      <w:r>
        <w:rPr>
          <w:rFonts w:ascii="Arial Narrow" w:hAnsi="Arial Narrow"/>
          <w:color w:val="111827"/>
          <w:sz w:val="22"/>
          <w:szCs w:val="22"/>
        </w:rPr>
        <w:t>In klassischen Verwaltungsprozessen entstehen Medienbrüche: Anfragen laufen über Telefon oder Messenger, Zahlungen werden getrennt geprüft, Dokumente liegen verteilt und Entscheidungen sind später schwer nachvollziehbar.</w:t>
      </w:r>
    </w:p>
    <w:p>
      <w:pPr>
        <w:spacing w:after="120" w:line="276" w:lineRule="auto"/>
      </w:pPr>
      <w:r>
        <w:rPr>
          <w:rFonts w:ascii="Arial Narrow" w:hAnsi="Arial Narrow"/>
          <w:color w:val="111827"/>
          <w:sz w:val="22"/>
          <w:szCs w:val="22"/>
        </w:rPr>
        <w:t>1Çatı reduziert diese Reibung. Die Plattform macht aus einzelnen Aufgaben einen steuerbaren Prozess mit Status, Verantwortlichkeit, Nachweis und Auswertung.</w:t>
      </w:r>
    </w:p>
    <w:tbl>
      <w:tblPr>
        <w:tblW w:w="9360" w:type="dxa"/>
        <w:tblLayout w:type="fixed"/>
        <w:tblBorders>
          <w:top w:val="single" w:sz="6" w:color="CBD5E1"/>
          <w:left w:val="single" w:sz="6" w:color="CBD5E1"/>
          <w:bottom w:val="single" w:sz="6" w:color="CBD5E1"/>
          <w:right w:val="single" w:sz="6" w:color="CBD5E1"/>
          <w:insideH w:val="single" w:sz="4" w:color="CBD5E1"/>
          <w:insideV w:val="single" w:sz="4" w:color="CBD5E1"/>
        </w:tblBorders>
        <w:tblCellMar>
          <w:top w:w="100" w:type="dxa"/>
          <w:left w:w="140" w:type="dxa"/>
          <w:bottom w:w="100" w:type="dxa"/>
          <w:right w:w="140" w:type="dxa"/>
        </w:tblCellMar>
      </w:tblPr>
      <w:tblGrid>
        <w:gridCol w:w="2800"/>
        <w:gridCol w:w="3100"/>
        <w:gridCol w:w="3460"/>
      </w:tblGrid>
      <w:tr>
        <w:tc>
          <w:tcPr>
            <w:tcW w:w="2800" w:type="dxa"/>
            <w:shd w:fill="DBEAFE"/>
          </w:tcPr>
          <w:p>
            <w:pPr>
              <w:spacing w:after="0" w:line="276" w:lineRule="auto"/>
            </w:pPr>
            <w:r>
              <w:rPr>
                <w:rFonts w:ascii="Arial Narrow" w:hAnsi="Arial Narrow"/>
                <w:color w:val="111827"/>
                <w:sz w:val="20"/>
                <w:szCs w:val="20"/>
                <w:b/>
              </w:rPr>
              <w:t>Problem heute</w:t>
            </w:r>
          </w:p>
        </w:tc>
        <w:tc>
          <w:tcPr>
            <w:tcW w:w="3100" w:type="dxa"/>
            <w:shd w:fill="DBEAFE"/>
          </w:tcPr>
          <w:p>
            <w:pPr>
              <w:spacing w:after="0" w:line="276" w:lineRule="auto"/>
            </w:pPr>
            <w:r>
              <w:rPr>
                <w:rFonts w:ascii="Arial Narrow" w:hAnsi="Arial Narrow"/>
                <w:color w:val="111827"/>
                <w:sz w:val="20"/>
                <w:szCs w:val="20"/>
                <w:b/>
              </w:rPr>
              <w:t>Auswirkung</w:t>
            </w:r>
          </w:p>
        </w:tc>
        <w:tc>
          <w:tcPr>
            <w:tcW w:w="3460" w:type="dxa"/>
            <w:shd w:fill="DBEAFE"/>
          </w:tcPr>
          <w:p>
            <w:pPr>
              <w:spacing w:after="0" w:line="276" w:lineRule="auto"/>
            </w:pPr>
            <w:r>
              <w:rPr>
                <w:rFonts w:ascii="Arial Narrow" w:hAnsi="Arial Narrow"/>
                <w:color w:val="111827"/>
                <w:sz w:val="20"/>
                <w:szCs w:val="20"/>
                <w:b/>
              </w:rPr>
              <w:t>Lösung durch 1Çatı</w:t>
            </w:r>
          </w:p>
        </w:tc>
      </w:tr>
      <w:tr>
        <w:tc>
          <w:tcPr>
            <w:tcW w:w="2800" w:type="dxa"/>
            <w:shd w:fill="FFFFFF"/>
          </w:tcPr>
          <w:p>
            <w:pPr>
              <w:spacing w:after="0" w:line="276" w:lineRule="auto"/>
            </w:pPr>
            <w:r>
              <w:rPr>
                <w:rFonts w:ascii="Arial Narrow" w:hAnsi="Arial Narrow"/>
                <w:color w:val="111827"/>
                <w:sz w:val="20"/>
                <w:szCs w:val="20"/>
              </w:rPr>
              <w:t>Unklare Zuständigkeiten</w:t>
            </w:r>
          </w:p>
        </w:tc>
        <w:tc>
          <w:tcPr>
            <w:tcW w:w="3100" w:type="dxa"/>
            <w:shd w:fill="FFFFFF"/>
          </w:tcPr>
          <w:p>
            <w:pPr>
              <w:spacing w:after="0" w:line="276" w:lineRule="auto"/>
            </w:pPr>
            <w:r>
              <w:rPr>
                <w:rFonts w:ascii="Arial Narrow" w:hAnsi="Arial Narrow"/>
                <w:color w:val="111827"/>
                <w:sz w:val="20"/>
                <w:szCs w:val="20"/>
              </w:rPr>
              <w:t>Langsame Bearbeitung und Rückfragen</w:t>
            </w:r>
          </w:p>
        </w:tc>
        <w:tc>
          <w:tcPr>
            <w:tcW w:w="3460" w:type="dxa"/>
            <w:shd w:fill="FFFFFF"/>
          </w:tcPr>
          <w:p>
            <w:pPr>
              <w:spacing w:after="0" w:line="276" w:lineRule="auto"/>
            </w:pPr>
            <w:r>
              <w:rPr>
                <w:rFonts w:ascii="Arial Narrow" w:hAnsi="Arial Narrow"/>
                <w:color w:val="111827"/>
                <w:sz w:val="20"/>
                <w:szCs w:val="20"/>
              </w:rPr>
              <w:t>Rollen, Aufgaben und Eskalationen</w:t>
            </w:r>
          </w:p>
        </w:tc>
      </w:tr>
      <w:tr>
        <w:tc>
          <w:tcPr>
            <w:tcW w:w="2800" w:type="dxa"/>
            <w:shd w:fill="F8FAFC"/>
          </w:tcPr>
          <w:p>
            <w:pPr>
              <w:spacing w:after="0" w:line="276" w:lineRule="auto"/>
            </w:pPr>
            <w:r>
              <w:rPr>
                <w:rFonts w:ascii="Arial Narrow" w:hAnsi="Arial Narrow"/>
                <w:color w:val="111827"/>
                <w:sz w:val="20"/>
                <w:szCs w:val="20"/>
              </w:rPr>
              <w:t>Getrennte Finanzsicht</w:t>
            </w:r>
          </w:p>
        </w:tc>
        <w:tc>
          <w:tcPr>
            <w:tcW w:w="3100" w:type="dxa"/>
            <w:shd w:fill="F8FAFC"/>
          </w:tcPr>
          <w:p>
            <w:pPr>
              <w:spacing w:after="0" w:line="276" w:lineRule="auto"/>
            </w:pPr>
            <w:r>
              <w:rPr>
                <w:rFonts w:ascii="Arial Narrow" w:hAnsi="Arial Narrow"/>
                <w:color w:val="111827"/>
                <w:sz w:val="20"/>
                <w:szCs w:val="20"/>
              </w:rPr>
              <w:t>Fehlende Kontrolle bei offenen Salden</w:t>
            </w:r>
          </w:p>
        </w:tc>
        <w:tc>
          <w:tcPr>
            <w:tcW w:w="3460" w:type="dxa"/>
            <w:shd w:fill="F8FAFC"/>
          </w:tcPr>
          <w:p>
            <w:pPr>
              <w:spacing w:after="0" w:line="276" w:lineRule="auto"/>
            </w:pPr>
            <w:r>
              <w:rPr>
                <w:rFonts w:ascii="Arial Narrow" w:hAnsi="Arial Narrow"/>
                <w:color w:val="111827"/>
                <w:sz w:val="20"/>
                <w:szCs w:val="20"/>
              </w:rPr>
              <w:t>Kontobuch, Mahnungen und Regeln</w:t>
            </w:r>
          </w:p>
        </w:tc>
      </w:tr>
      <w:tr>
        <w:tc>
          <w:tcPr>
            <w:tcW w:w="2800" w:type="dxa"/>
            <w:shd w:fill="FFFFFF"/>
          </w:tcPr>
          <w:p>
            <w:pPr>
              <w:spacing w:after="0" w:line="276" w:lineRule="auto"/>
            </w:pPr>
            <w:r>
              <w:rPr>
                <w:rFonts w:ascii="Arial Narrow" w:hAnsi="Arial Narrow"/>
                <w:color w:val="111827"/>
                <w:sz w:val="20"/>
                <w:szCs w:val="20"/>
              </w:rPr>
              <w:t>Manuelle Serviceprozesse</w:t>
            </w:r>
          </w:p>
        </w:tc>
        <w:tc>
          <w:tcPr>
            <w:tcW w:w="3100" w:type="dxa"/>
            <w:shd w:fill="FFFFFF"/>
          </w:tcPr>
          <w:p>
            <w:pPr>
              <w:spacing w:after="0" w:line="276" w:lineRule="auto"/>
            </w:pPr>
            <w:r>
              <w:rPr>
                <w:rFonts w:ascii="Arial Narrow" w:hAnsi="Arial Narrow"/>
                <w:color w:val="111827"/>
                <w:sz w:val="20"/>
                <w:szCs w:val="20"/>
              </w:rPr>
              <w:t>Kein sauberer Nachweis</w:t>
            </w:r>
          </w:p>
        </w:tc>
        <w:tc>
          <w:tcPr>
            <w:tcW w:w="3460" w:type="dxa"/>
            <w:shd w:fill="FFFFFF"/>
          </w:tcPr>
          <w:p>
            <w:pPr>
              <w:spacing w:after="0" w:line="276" w:lineRule="auto"/>
            </w:pPr>
            <w:r>
              <w:rPr>
                <w:rFonts w:ascii="Arial Narrow" w:hAnsi="Arial Narrow"/>
                <w:color w:val="111827"/>
                <w:sz w:val="20"/>
                <w:szCs w:val="20"/>
              </w:rPr>
              <w:t>Anfragen, Serviceziele und Foto- oder Videobelege</w:t>
            </w:r>
          </w:p>
        </w:tc>
      </w:tr>
      <w:tr>
        <w:tc>
          <w:tcPr>
            <w:tcW w:w="2800" w:type="dxa"/>
            <w:shd w:fill="F8FAFC"/>
          </w:tcPr>
          <w:p>
            <w:pPr>
              <w:spacing w:after="0" w:line="276" w:lineRule="auto"/>
            </w:pPr>
            <w:r>
              <w:rPr>
                <w:rFonts w:ascii="Arial Narrow" w:hAnsi="Arial Narrow"/>
                <w:color w:val="111827"/>
                <w:sz w:val="20"/>
                <w:szCs w:val="20"/>
              </w:rPr>
              <w:t>Verteilte Dokumente</w:t>
            </w:r>
          </w:p>
        </w:tc>
        <w:tc>
          <w:tcPr>
            <w:tcW w:w="3100" w:type="dxa"/>
            <w:shd w:fill="F8FAFC"/>
          </w:tcPr>
          <w:p>
            <w:pPr>
              <w:spacing w:after="0" w:line="276" w:lineRule="auto"/>
            </w:pPr>
            <w:r>
              <w:rPr>
                <w:rFonts w:ascii="Arial Narrow" w:hAnsi="Arial Narrow"/>
                <w:color w:val="111827"/>
                <w:sz w:val="20"/>
                <w:szCs w:val="20"/>
              </w:rPr>
              <w:t>Risiko bei Regelkonformität und Übergaben</w:t>
            </w:r>
          </w:p>
        </w:tc>
        <w:tc>
          <w:tcPr>
            <w:tcW w:w="3460" w:type="dxa"/>
            <w:shd w:fill="F8FAFC"/>
          </w:tcPr>
          <w:p>
            <w:pPr>
              <w:spacing w:after="0" w:line="276" w:lineRule="auto"/>
            </w:pPr>
            <w:r>
              <w:rPr>
                <w:rFonts w:ascii="Arial Narrow" w:hAnsi="Arial Narrow"/>
                <w:color w:val="111827"/>
                <w:sz w:val="20"/>
                <w:szCs w:val="20"/>
              </w:rPr>
              <w:t>Dokumentenablage mit Berechtigungen</w:t>
            </w:r>
          </w:p>
        </w:tc>
      </w:tr>
    </w:tbl>
    <w:p>
      <w:pPr>
        <w:spacing w:after="120" w:line="276" w:lineRule="auto"/>
      </w:pPr>
    </w:p>
    <w:p>
      <w:pPr>
        <w:pStyle w:val="Heading1"/>
        <w:spacing w:after="120" w:line="276" w:lineRule="auto"/>
      </w:pPr>
      <w:bookmarkStart w:id="24" w:name="sec_5"/>
      <w:r>
        <w:rPr>
          <w:rFonts w:ascii="Arial Narrow" w:hAnsi="Arial Narrow"/>
          <w:color w:val="111827"/>
          <w:sz w:val="22"/>
          <w:szCs w:val="22"/>
        </w:rPr>
        <w:t>4. Zielbild des Betriebsmodells</w:t>
      </w:r>
      <w:bookmarkEnd w:id="24"/>
    </w:p>
    <w:p>
      <w:pPr>
        <w:spacing w:after="120" w:line="276" w:lineRule="auto"/>
      </w:pPr>
      <w:r>
        <w:rPr>
          <w:rFonts w:ascii="Arial Narrow" w:hAnsi="Arial Narrow"/>
          <w:color w:val="111827"/>
          <w:sz w:val="22"/>
          <w:szCs w:val="22"/>
        </w:rPr>
        <w:t>Das Zielbild ist einfach: Nutzer stellen Anliegen, das System prüft Regeln, das Team arbeitet kontrolliert und das Management sieht den Zustand der Anlage.</w:t>
      </w:r>
    </w:p>
    <w:p>
      <w:pPr>
        <w:jc w:val="center"/>
        <w:spacing w:before="120" w:after="80"/>
      </w:pPr>
      <w:r>
        <w:drawing>
          <wp:inline distT="0" distB="0" distL="0" distR="0">
            <wp:extent cx="6126480" cy="3325803"/>
            <wp:effectExtent l="0" t="0" r="0" b="0"/>
            <wp:docPr id="2" name="Betriebsmodell.png"/>
            <wp:cNvGraphicFramePr/>
            <a:graphic>
              <a:graphicData uri="http://schemas.openxmlformats.org/drawingml/2006/picture">
                <pic:pic>
                  <pic:nvPicPr>
                    <pic:cNvPr id="0" name="Betriebsmodell.png"/>
                    <pic:cNvPicPr/>
                  </pic:nvPicPr>
                  <pic:blipFill>
                    <a:blip r:embed="rId2"/>
                    <a:stretch>
                      <a:fillRect/>
                    </a:stretch>
                  </pic:blipFill>
                  <pic:spPr>
                    <a:xfrm>
                      <a:off x="0" y="0"/>
                      <a:ext cx="6126480" cy="3325803"/>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Betriebsmodell</w:t>
      </w:r>
    </w:p>
    <w:p>
      <w:r>
        <w:br w:type="page"/>
      </w:r>
    </w:p>
    <w:p>
      <w:pPr>
        <w:pStyle w:val="Heading1"/>
        <w:spacing w:after="120" w:line="276" w:lineRule="auto"/>
      </w:pPr>
      <w:bookmarkStart w:id="25" w:name="sec_6"/>
      <w:r>
        <w:rPr>
          <w:rFonts w:ascii="Arial Narrow" w:hAnsi="Arial Narrow"/>
          <w:color w:val="111827"/>
          <w:sz w:val="22"/>
          <w:szCs w:val="22"/>
        </w:rPr>
        <w:t>5. Funktionsumfang für den Start</w:t>
      </w:r>
      <w:bookmarkEnd w:id="25"/>
    </w:p>
    <w:p>
      <w:pPr>
        <w:spacing w:after="120" w:line="276" w:lineRule="auto"/>
      </w:pPr>
      <w:r>
        <w:rPr>
          <w:rFonts w:ascii="Arial Narrow" w:hAnsi="Arial Narrow"/>
          <w:color w:val="111827"/>
          <w:sz w:val="22"/>
          <w:szCs w:val="22"/>
        </w:rPr>
        <w:t>Der Startumfang sollte nicht alles gleichzeitig abdecken. Die Startversion muss zuerst die kritischen Kernprozesse beweisen. Erst danach sollten Zahlungsanbieter, tiefe Integrationen und KI-Automatisierung erweitert werden.</w:t>
      </w:r>
    </w:p>
    <w:tbl>
      <w:tblPr>
        <w:tblW w:w="9360" w:type="dxa"/>
        <w:tblLayout w:type="fixed"/>
        <w:tblBorders>
          <w:top w:val="single" w:sz="6" w:color="CBD5E1"/>
          <w:left w:val="single" w:sz="6" w:color="CBD5E1"/>
          <w:bottom w:val="single" w:sz="6" w:color="CBD5E1"/>
          <w:right w:val="single" w:sz="6" w:color="CBD5E1"/>
          <w:insideH w:val="single" w:sz="4" w:color="CBD5E1"/>
          <w:insideV w:val="single" w:sz="4" w:color="CBD5E1"/>
        </w:tblBorders>
        <w:tblCellMar>
          <w:top w:w="100" w:type="dxa"/>
          <w:left w:w="140" w:type="dxa"/>
          <w:bottom w:w="100" w:type="dxa"/>
          <w:right w:w="140" w:type="dxa"/>
        </w:tblCellMar>
      </w:tblPr>
      <w:tblGrid>
        <w:gridCol w:w="2800"/>
        <w:gridCol w:w="3100"/>
        <w:gridCol w:w="3460"/>
      </w:tblGrid>
      <w:tr>
        <w:tc>
          <w:tcPr>
            <w:tcW w:w="2800" w:type="dxa"/>
            <w:shd w:fill="DBEAFE"/>
          </w:tcPr>
          <w:p>
            <w:pPr>
              <w:spacing w:after="0" w:line="276" w:lineRule="auto"/>
            </w:pPr>
            <w:r>
              <w:rPr>
                <w:rFonts w:ascii="Arial Narrow" w:hAnsi="Arial Narrow"/>
                <w:color w:val="111827"/>
                <w:sz w:val="20"/>
                <w:szCs w:val="20"/>
                <w:b/>
              </w:rPr>
              <w:t>Modul</w:t>
            </w:r>
          </w:p>
        </w:tc>
        <w:tc>
          <w:tcPr>
            <w:tcW w:w="3100" w:type="dxa"/>
            <w:shd w:fill="DBEAFE"/>
          </w:tcPr>
          <w:p>
            <w:pPr>
              <w:spacing w:after="0" w:line="276" w:lineRule="auto"/>
            </w:pPr>
            <w:r>
              <w:rPr>
                <w:rFonts w:ascii="Arial Narrow" w:hAnsi="Arial Narrow"/>
                <w:color w:val="111827"/>
                <w:sz w:val="20"/>
                <w:szCs w:val="20"/>
                <w:b/>
              </w:rPr>
              <w:t>Startversion</w:t>
            </w:r>
          </w:p>
        </w:tc>
        <w:tc>
          <w:tcPr>
            <w:tcW w:w="3460" w:type="dxa"/>
            <w:shd w:fill="DBEAFE"/>
          </w:tcPr>
          <w:p>
            <w:pPr>
              <w:spacing w:after="0" w:line="276" w:lineRule="auto"/>
            </w:pPr>
            <w:r>
              <w:rPr>
                <w:rFonts w:ascii="Arial Narrow" w:hAnsi="Arial Narrow"/>
                <w:color w:val="111827"/>
                <w:sz w:val="20"/>
                <w:szCs w:val="20"/>
                <w:b/>
              </w:rPr>
              <w:t>Späterer Ausbau</w:t>
            </w:r>
          </w:p>
        </w:tc>
      </w:tr>
      <w:tr>
        <w:tc>
          <w:tcPr>
            <w:tcW w:w="2800" w:type="dxa"/>
            <w:shd w:fill="FFFFFF"/>
          </w:tcPr>
          <w:p>
            <w:pPr>
              <w:spacing w:after="0" w:line="276" w:lineRule="auto"/>
            </w:pPr>
            <w:r>
              <w:rPr>
                <w:rFonts w:ascii="Arial Narrow" w:hAnsi="Arial Narrow"/>
                <w:color w:val="111827"/>
                <w:sz w:val="20"/>
                <w:szCs w:val="20"/>
              </w:rPr>
              <w:t>Portal und Rollen</w:t>
            </w:r>
          </w:p>
        </w:tc>
        <w:tc>
          <w:tcPr>
            <w:tcW w:w="3100" w:type="dxa"/>
            <w:shd w:fill="FFFFFF"/>
          </w:tcPr>
          <w:p>
            <w:pPr>
              <w:spacing w:after="0" w:line="276" w:lineRule="auto"/>
            </w:pPr>
            <w:r>
              <w:rPr>
                <w:rFonts w:ascii="Arial Narrow" w:hAnsi="Arial Narrow"/>
                <w:color w:val="111827"/>
                <w:sz w:val="20"/>
                <w:szCs w:val="20"/>
              </w:rPr>
              <w:t>Login, Rollen, Basisnavigation</w:t>
            </w:r>
          </w:p>
        </w:tc>
        <w:tc>
          <w:tcPr>
            <w:tcW w:w="3460" w:type="dxa"/>
            <w:shd w:fill="FFFFFF"/>
          </w:tcPr>
          <w:p>
            <w:pPr>
              <w:spacing w:after="0" w:line="276" w:lineRule="auto"/>
            </w:pPr>
            <w:r>
              <w:rPr>
                <w:rFonts w:ascii="Arial Narrow" w:hAnsi="Arial Narrow"/>
                <w:color w:val="111827"/>
                <w:sz w:val="20"/>
                <w:szCs w:val="20"/>
              </w:rPr>
              <w:t>Mandantenfähige Rechte und eigenständige Nutzeraktionen</w:t>
            </w:r>
          </w:p>
        </w:tc>
      </w:tr>
      <w:tr>
        <w:tc>
          <w:tcPr>
            <w:tcW w:w="2800" w:type="dxa"/>
            <w:shd w:fill="F8FAFC"/>
          </w:tcPr>
          <w:p>
            <w:pPr>
              <w:spacing w:after="0" w:line="276" w:lineRule="auto"/>
            </w:pPr>
            <w:r>
              <w:rPr>
                <w:rFonts w:ascii="Arial Narrow" w:hAnsi="Arial Narrow"/>
                <w:color w:val="111827"/>
                <w:sz w:val="20"/>
                <w:szCs w:val="20"/>
              </w:rPr>
              <w:t>Finanzen</w:t>
            </w:r>
          </w:p>
        </w:tc>
        <w:tc>
          <w:tcPr>
            <w:tcW w:w="3100" w:type="dxa"/>
            <w:shd w:fill="F8FAFC"/>
          </w:tcPr>
          <w:p>
            <w:pPr>
              <w:spacing w:after="0" w:line="276" w:lineRule="auto"/>
            </w:pPr>
            <w:r>
              <w:rPr>
                <w:rFonts w:ascii="Arial Narrow" w:hAnsi="Arial Narrow"/>
                <w:color w:val="111827"/>
                <w:sz w:val="20"/>
                <w:szCs w:val="20"/>
              </w:rPr>
              <w:t>Salden, Grundbuchungen, Übersicht</w:t>
            </w:r>
          </w:p>
        </w:tc>
        <w:tc>
          <w:tcPr>
            <w:tcW w:w="3460" w:type="dxa"/>
            <w:shd w:fill="F8FAFC"/>
          </w:tcPr>
          <w:p>
            <w:pPr>
              <w:spacing w:after="0" w:line="276" w:lineRule="auto"/>
            </w:pPr>
            <w:r>
              <w:rPr>
                <w:rFonts w:ascii="Arial Narrow" w:hAnsi="Arial Narrow"/>
                <w:color w:val="111827"/>
                <w:sz w:val="20"/>
                <w:szCs w:val="20"/>
              </w:rPr>
              <w:t>Zahlungen, Kautionen, Zahlungsabgleich</w:t>
            </w:r>
          </w:p>
        </w:tc>
      </w:tr>
      <w:tr>
        <w:tc>
          <w:tcPr>
            <w:tcW w:w="2800" w:type="dxa"/>
            <w:shd w:fill="FFFFFF"/>
          </w:tcPr>
          <w:p>
            <w:pPr>
              <w:spacing w:after="0" w:line="276" w:lineRule="auto"/>
            </w:pPr>
            <w:r>
              <w:rPr>
                <w:rFonts w:ascii="Arial Narrow" w:hAnsi="Arial Narrow"/>
                <w:color w:val="111827"/>
                <w:sz w:val="20"/>
                <w:szCs w:val="20"/>
              </w:rPr>
              <w:t>Servicebereich</w:t>
            </w:r>
          </w:p>
        </w:tc>
        <w:tc>
          <w:tcPr>
            <w:tcW w:w="3100" w:type="dxa"/>
            <w:shd w:fill="FFFFFF"/>
          </w:tcPr>
          <w:p>
            <w:pPr>
              <w:spacing w:after="0" w:line="276" w:lineRule="auto"/>
            </w:pPr>
            <w:r>
              <w:rPr>
                <w:rFonts w:ascii="Arial Narrow" w:hAnsi="Arial Narrow"/>
                <w:color w:val="111827"/>
                <w:sz w:val="20"/>
                <w:szCs w:val="20"/>
              </w:rPr>
              <w:t>Anfrage, Status, Nachweis</w:t>
            </w:r>
          </w:p>
        </w:tc>
        <w:tc>
          <w:tcPr>
            <w:tcW w:w="3460" w:type="dxa"/>
            <w:shd w:fill="FFFFFF"/>
          </w:tcPr>
          <w:p>
            <w:pPr>
              <w:spacing w:after="0" w:line="276" w:lineRule="auto"/>
            </w:pPr>
            <w:r>
              <w:rPr>
                <w:rFonts w:ascii="Arial Narrow" w:hAnsi="Arial Narrow"/>
                <w:color w:val="111827"/>
                <w:sz w:val="20"/>
                <w:szCs w:val="20"/>
              </w:rPr>
              <w:t>Serviceziele, Dienstleister, Kostenlogik</w:t>
            </w:r>
          </w:p>
        </w:tc>
      </w:tr>
      <w:tr>
        <w:tc>
          <w:tcPr>
            <w:tcW w:w="2800" w:type="dxa"/>
            <w:shd w:fill="F8FAFC"/>
          </w:tcPr>
          <w:p>
            <w:pPr>
              <w:spacing w:after="0" w:line="276" w:lineRule="auto"/>
            </w:pPr>
            <w:r>
              <w:rPr>
                <w:rFonts w:ascii="Arial Narrow" w:hAnsi="Arial Narrow"/>
                <w:color w:val="111827"/>
                <w:sz w:val="20"/>
                <w:szCs w:val="20"/>
              </w:rPr>
              <w:t>Buchungen</w:t>
            </w:r>
          </w:p>
        </w:tc>
        <w:tc>
          <w:tcPr>
            <w:tcW w:w="3100" w:type="dxa"/>
            <w:shd w:fill="F8FAFC"/>
          </w:tcPr>
          <w:p>
            <w:pPr>
              <w:spacing w:after="0" w:line="276" w:lineRule="auto"/>
            </w:pPr>
            <w:r>
              <w:rPr>
                <w:rFonts w:ascii="Arial Narrow" w:hAnsi="Arial Narrow"/>
                <w:color w:val="111827"/>
                <w:sz w:val="20"/>
                <w:szCs w:val="20"/>
              </w:rPr>
              <w:t>Reservierungen und einfache Regeln</w:t>
            </w:r>
          </w:p>
        </w:tc>
        <w:tc>
          <w:tcPr>
            <w:tcW w:w="3460" w:type="dxa"/>
            <w:shd w:fill="F8FAFC"/>
          </w:tcPr>
          <w:p>
            <w:pPr>
              <w:spacing w:after="0" w:line="276" w:lineRule="auto"/>
            </w:pPr>
            <w:r>
              <w:rPr>
                <w:rFonts w:ascii="Arial Narrow" w:hAnsi="Arial Narrow"/>
                <w:color w:val="111827"/>
                <w:sz w:val="20"/>
                <w:szCs w:val="20"/>
              </w:rPr>
              <w:t>Einzug, Auszug, Zugangssperren</w:t>
            </w:r>
          </w:p>
        </w:tc>
      </w:tr>
      <w:tr>
        <w:tc>
          <w:tcPr>
            <w:tcW w:w="2800" w:type="dxa"/>
            <w:shd w:fill="FFFFFF"/>
          </w:tcPr>
          <w:p>
            <w:pPr>
              <w:spacing w:after="0" w:line="276" w:lineRule="auto"/>
            </w:pPr>
            <w:r>
              <w:rPr>
                <w:rFonts w:ascii="Arial Narrow" w:hAnsi="Arial Narrow"/>
                <w:color w:val="111827"/>
                <w:sz w:val="20"/>
                <w:szCs w:val="20"/>
              </w:rPr>
              <w:t>KI</w:t>
            </w:r>
          </w:p>
        </w:tc>
        <w:tc>
          <w:tcPr>
            <w:tcW w:w="3100" w:type="dxa"/>
            <w:shd w:fill="FFFFFF"/>
          </w:tcPr>
          <w:p>
            <w:pPr>
              <w:spacing w:after="0" w:line="276" w:lineRule="auto"/>
            </w:pPr>
            <w:r>
              <w:rPr>
                <w:rFonts w:ascii="Arial Narrow" w:hAnsi="Arial Narrow"/>
                <w:color w:val="111827"/>
                <w:sz w:val="20"/>
                <w:szCs w:val="20"/>
              </w:rPr>
              <w:t>Zusammenfassung und Triage</w:t>
            </w:r>
          </w:p>
        </w:tc>
        <w:tc>
          <w:tcPr>
            <w:tcW w:w="3460" w:type="dxa"/>
            <w:shd w:fill="FFFFFF"/>
          </w:tcPr>
          <w:p>
            <w:pPr>
              <w:spacing w:after="0" w:line="276" w:lineRule="auto"/>
            </w:pPr>
            <w:r>
              <w:rPr>
                <w:rFonts w:ascii="Arial Narrow" w:hAnsi="Arial Narrow"/>
                <w:color w:val="111827"/>
                <w:sz w:val="20"/>
                <w:szCs w:val="20"/>
              </w:rPr>
              <w:t>Anomalien, Prognosen, Managementberichte</w:t>
            </w:r>
          </w:p>
        </w:tc>
      </w:tr>
    </w:tbl>
    <w:p>
      <w:pPr>
        <w:spacing w:after="120" w:line="276" w:lineRule="auto"/>
      </w:pPr>
    </w:p>
    <w:p>
      <w:pPr>
        <w:pStyle w:val="Heading1"/>
        <w:spacing w:after="120" w:line="276" w:lineRule="auto"/>
      </w:pPr>
      <w:bookmarkStart w:id="26" w:name="sec_7"/>
      <w:r>
        <w:rPr>
          <w:rFonts w:ascii="Arial Narrow" w:hAnsi="Arial Narrow"/>
          <w:color w:val="111827"/>
          <w:sz w:val="22"/>
          <w:szCs w:val="22"/>
        </w:rPr>
        <w:t>6. Roadmap und Freigabepunkte</w:t>
      </w:r>
      <w:bookmarkEnd w:id="26"/>
    </w:p>
    <w:p>
      <w:pPr>
        <w:spacing w:after="120" w:line="276" w:lineRule="auto"/>
      </w:pPr>
      <w:r>
        <w:rPr>
          <w:rFonts w:ascii="Arial Narrow" w:hAnsi="Arial Narrow"/>
          <w:color w:val="111827"/>
          <w:sz w:val="22"/>
          <w:szCs w:val="22"/>
        </w:rPr>
        <w:t>Die Roadmap ist phasenweise aufgebaut. Jede Phase endet mit einem prüfbaren Ergebnis und einer bewussten Entscheidung, bevor der nächste Ausbau startet.</w:t>
      </w:r>
    </w:p>
    <w:p>
      <w:pPr>
        <w:jc w:val="center"/>
        <w:spacing w:before="120" w:after="80"/>
      </w:pPr>
      <w:r>
        <w:drawing>
          <wp:inline distT="0" distB="0" distL="0" distR="0">
            <wp:extent cx="6126480" cy="2888197"/>
            <wp:effectExtent l="0" t="0" r="0" b="0"/>
            <wp:docPr id="3" name="Roadmap.png"/>
            <wp:cNvGraphicFramePr/>
            <a:graphic>
              <a:graphicData uri="http://schemas.openxmlformats.org/drawingml/2006/picture">
                <pic:pic>
                  <pic:nvPicPr>
                    <pic:cNvPr id="0" name="Roadmap.png"/>
                    <pic:cNvPicPr/>
                  </pic:nvPicPr>
                  <pic:blipFill>
                    <a:blip r:embed="rId3"/>
                    <a:stretch>
                      <a:fillRect/>
                    </a:stretch>
                  </pic:blipFill>
                  <pic:spPr>
                    <a:xfrm>
                      <a:off x="0" y="0"/>
                      <a:ext cx="6126480" cy="2888197"/>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Roadmap</w:t>
      </w:r>
    </w:p>
    <w:p>
      <w:r>
        <w:br w:type="page"/>
      </w:r>
    </w:p>
    <w:p>
      <w:pPr>
        <w:pStyle w:val="Heading1"/>
        <w:spacing w:after="120" w:line="276" w:lineRule="auto"/>
      </w:pPr>
      <w:bookmarkStart w:id="27" w:name="sec_8"/>
      <w:r>
        <w:rPr>
          <w:rFonts w:ascii="Arial Narrow" w:hAnsi="Arial Narrow"/>
          <w:color w:val="111827"/>
          <w:sz w:val="22"/>
          <w:szCs w:val="22"/>
        </w:rPr>
        <w:t>7. Beispielablauf für den Betrieb</w:t>
      </w:r>
      <w:bookmarkEnd w:id="27"/>
    </w:p>
    <w:p>
      <w:pPr>
        <w:spacing w:after="120" w:line="276" w:lineRule="auto"/>
      </w:pPr>
      <w:r>
        <w:rPr>
          <w:rFonts w:ascii="Arial Narrow" w:hAnsi="Arial Narrow"/>
          <w:color w:val="111827"/>
          <w:sz w:val="22"/>
          <w:szCs w:val="22"/>
        </w:rPr>
        <w:t>Der folgende Ablauf zeigt, wie ein Anliegen kontrolliert durch die Organisation läuft. Für das Management ist entscheidend: Status, Freigaben und Nachweise sind jederzeit nachvollziehbar.</w:t>
      </w:r>
    </w:p>
    <w:p>
      <w:pPr>
        <w:jc w:val="center"/>
        <w:spacing w:before="120" w:after="80"/>
      </w:pPr>
      <w:r>
        <w:drawing>
          <wp:inline distT="0" distB="0" distL="0" distR="0">
            <wp:extent cx="6126480" cy="3019479"/>
            <wp:effectExtent l="0" t="0" r="0" b="0"/>
            <wp:docPr id="4" name="Ablaufdiagramm.png"/>
            <wp:cNvGraphicFramePr/>
            <a:graphic>
              <a:graphicData uri="http://schemas.openxmlformats.org/drawingml/2006/picture">
                <pic:pic>
                  <pic:nvPicPr>
                    <pic:cNvPr id="0" name="Ablaufdiagramm.png"/>
                    <pic:cNvPicPr/>
                  </pic:nvPicPr>
                  <pic:blipFill>
                    <a:blip r:embed="rId4"/>
                    <a:stretch>
                      <a:fillRect/>
                    </a:stretch>
                  </pic:blipFill>
                  <pic:spPr>
                    <a:xfrm>
                      <a:off x="0" y="0"/>
                      <a:ext cx="6126480" cy="3019479"/>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Ablaufdiagramm</w:t>
      </w:r>
    </w:p>
    <w:p>
      <w:pPr>
        <w:pStyle w:val="Heading1"/>
        <w:spacing w:after="120" w:line="276" w:lineRule="auto"/>
      </w:pPr>
      <w:bookmarkStart w:id="28" w:name="sec_9"/>
      <w:r>
        <w:rPr>
          <w:rFonts w:ascii="Arial Narrow" w:hAnsi="Arial Narrow"/>
          <w:color w:val="111827"/>
          <w:sz w:val="22"/>
          <w:szCs w:val="22"/>
        </w:rPr>
        <w:t>8. Risiken, Sonderfälle und Management-Kontrolle</w:t>
      </w:r>
      <w:bookmarkEnd w:id="28"/>
    </w:p>
    <w:p>
      <w:pPr>
        <w:spacing w:after="120" w:line="276" w:lineRule="auto"/>
      </w:pPr>
      <w:r>
        <w:rPr>
          <w:rFonts w:ascii="Arial Narrow" w:hAnsi="Arial Narrow"/>
          <w:color w:val="111827"/>
          <w:sz w:val="22"/>
          <w:szCs w:val="22"/>
        </w:rPr>
        <w:t>Die wichtigsten Risiken liegen nicht nur in der Technik. Kritisch sind Datenqualität, Finanzregeln, Nutzerakzeptanz, externe Integrationen und rechtliche Bewertung sensibler Prozesse.</w:t>
      </w:r>
    </w:p>
    <w:p>
      <w:pPr>
        <w:numPr>
          <w:ilvl w:val="0"/>
          <w:numId w:val="1"/>
        </w:numPr>
        <w:spacing w:after="80" w:line="260" w:lineRule="auto"/>
      </w:pPr>
      <w:r>
        <w:rPr>
          <w:rFonts w:ascii="Arial Narrow" w:hAnsi="Arial Narrow"/>
          <w:sz w:val="22"/>
          <w:szCs w:val="22"/>
        </w:rPr>
        <w:t>Edge Case: Bewohner hat offene Salden, benötigt aber einen Notfallservice.</w:t>
      </w:r>
    </w:p>
    <w:p>
      <w:pPr>
        <w:numPr>
          <w:ilvl w:val="0"/>
          <w:numId w:val="1"/>
        </w:numPr>
        <w:spacing w:after="80" w:line="260" w:lineRule="auto"/>
      </w:pPr>
      <w:r>
        <w:rPr>
          <w:rFonts w:ascii="Arial Narrow" w:hAnsi="Arial Narrow"/>
          <w:sz w:val="22"/>
          <w:szCs w:val="22"/>
        </w:rPr>
        <w:t>Edge Case: Zahlung wurde geleistet, ist aber noch nicht verbucht.</w:t>
      </w:r>
    </w:p>
    <w:p>
      <w:pPr>
        <w:numPr>
          <w:ilvl w:val="0"/>
          <w:numId w:val="1"/>
        </w:numPr>
        <w:spacing w:after="80" w:line="260" w:lineRule="auto"/>
      </w:pPr>
      <w:r>
        <w:rPr>
          <w:rFonts w:ascii="Arial Narrow" w:hAnsi="Arial Narrow"/>
          <w:sz w:val="22"/>
          <w:szCs w:val="22"/>
        </w:rPr>
        <w:t>Edge Case: Zugangssperre ist technisch möglich, aber rechtlich oder operativ nicht freigegeben.</w:t>
      </w:r>
    </w:p>
    <w:p>
      <w:pPr>
        <w:numPr>
          <w:ilvl w:val="0"/>
          <w:numId w:val="1"/>
        </w:numPr>
        <w:spacing w:after="80" w:line="260" w:lineRule="auto"/>
      </w:pPr>
      <w:r>
        <w:rPr>
          <w:rFonts w:ascii="Arial Narrow" w:hAnsi="Arial Narrow"/>
          <w:sz w:val="22"/>
          <w:szCs w:val="22"/>
        </w:rPr>
        <w:t>Edge Case: KI schlägt eine Aktion vor, darf sie aber nicht selbst ausführen.</w:t>
      </w:r>
    </w:p>
    <w:p>
      <w:pPr>
        <w:numPr>
          <w:ilvl w:val="0"/>
          <w:numId w:val="1"/>
        </w:numPr>
        <w:spacing w:after="80" w:line="260" w:lineRule="auto"/>
      </w:pPr>
      <w:r>
        <w:rPr>
          <w:rFonts w:ascii="Arial Narrow" w:hAnsi="Arial Narrow"/>
          <w:sz w:val="22"/>
          <w:szCs w:val="22"/>
        </w:rPr>
        <w:t>Edge Case: Ein Dienstleister schließt ein Ticket ohne ausreichenden Nachweis.</w:t>
      </w:r>
    </w:p>
    <w:p>
      <w:pPr>
        <w:jc w:val="center"/>
        <w:spacing w:before="120" w:after="80"/>
      </w:pPr>
      <w:r>
        <w:drawing>
          <wp:inline distT="0" distB="0" distL="0" distR="0">
            <wp:extent cx="6126480" cy="3588366"/>
            <wp:effectExtent l="0" t="0" r="0" b="0"/>
            <wp:docPr id="5" name="Risikolandkarte.png"/>
            <wp:cNvGraphicFramePr/>
            <a:graphic>
              <a:graphicData uri="http://schemas.openxmlformats.org/drawingml/2006/picture">
                <pic:pic>
                  <pic:nvPicPr>
                    <pic:cNvPr id="0" name="Risikolandkarte.png"/>
                    <pic:cNvPicPr/>
                  </pic:nvPicPr>
                  <pic:blipFill>
                    <a:blip r:embed="rId5"/>
                    <a:stretch>
                      <a:fillRect/>
                    </a:stretch>
                  </pic:blipFill>
                  <pic:spPr>
                    <a:xfrm>
                      <a:off x="0" y="0"/>
                      <a:ext cx="6126480" cy="3588366"/>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Risikolandkarte</w:t>
      </w:r>
    </w:p>
    <w:p>
      <w:r>
        <w:br w:type="page"/>
      </w:r>
    </w:p>
    <w:p>
      <w:pPr>
        <w:pStyle w:val="Heading1"/>
        <w:spacing w:after="120" w:line="276" w:lineRule="auto"/>
      </w:pPr>
      <w:bookmarkStart w:id="29" w:name="sec_10"/>
      <w:r>
        <w:rPr>
          <w:rFonts w:ascii="Arial Narrow" w:hAnsi="Arial Narrow"/>
          <w:color w:val="111827"/>
          <w:sz w:val="22"/>
          <w:szCs w:val="22"/>
        </w:rPr>
        <w:t>9. Technisches Zielbild in einfacher Sprache</w:t>
      </w:r>
      <w:bookmarkEnd w:id="29"/>
    </w:p>
    <w:p>
      <w:pPr>
        <w:spacing w:after="120" w:line="276" w:lineRule="auto"/>
      </w:pPr>
      <w:r>
        <w:rPr>
          <w:rFonts w:ascii="Arial Narrow" w:hAnsi="Arial Narrow"/>
          <w:color w:val="111827"/>
          <w:sz w:val="22"/>
          <w:szCs w:val="22"/>
        </w:rPr>
        <w:t>Die Technik soll den Betrieb unterstützen, nicht komplizierter machen. Deshalb wird die Lösung in klare Schichten getrennt: Oberfläche, Geschäftslogik, Kontrolle, Daten und Integrationen.</w:t>
      </w:r>
    </w:p>
    <w:p>
      <w:pPr>
        <w:jc w:val="center"/>
        <w:spacing w:before="120" w:after="80"/>
      </w:pPr>
      <w:r>
        <w:drawing>
          <wp:inline distT="0" distB="0" distL="0" distR="0">
            <wp:extent cx="6126480" cy="3282042"/>
            <wp:effectExtent l="0" t="0" r="0" b="0"/>
            <wp:docPr id="6" name="Architektur.png"/>
            <wp:cNvGraphicFramePr/>
            <a:graphic>
              <a:graphicData uri="http://schemas.openxmlformats.org/drawingml/2006/picture">
                <pic:pic>
                  <pic:nvPicPr>
                    <pic:cNvPr id="0" name="Architektur.png"/>
                    <pic:cNvPicPr/>
                  </pic:nvPicPr>
                  <pic:blipFill>
                    <a:blip r:embed="rId6"/>
                    <a:stretch>
                      <a:fillRect/>
                    </a:stretch>
                  </pic:blipFill>
                  <pic:spPr>
                    <a:xfrm>
                      <a:off x="0" y="0"/>
                      <a:ext cx="6126480" cy="3282042"/>
                    </a:xfrm>
                    <a:prstGeom prst="rect">
                      <a:avLst/>
                    </a:prstGeom>
                  </pic:spPr>
                </pic:pic>
              </a:graphicData>
            </a:graphic>
          </wp:inline>
        </w:drawing>
      </w:r>
    </w:p>
    <w:p>
      <w:pPr>
        <w:spacing w:after="180" w:line="276" w:lineRule="auto"/>
        <w:jc w:val="center"/>
      </w:pPr>
      <w:r>
        <w:rPr>
          <w:rFonts w:ascii="Arial Narrow" w:hAnsi="Arial Narrow"/>
          <w:color w:val="64748B"/>
          <w:sz w:val="18"/>
          <w:szCs w:val="18"/>
        </w:rPr>
        <w:t>Abbildung: Architektur</w:t>
      </w:r>
    </w:p>
    <w:p>
      <w:r>
        <w:br w:type="page"/>
      </w:r>
    </w:p>
    <w:p>
      <w:pPr>
        <w:pStyle w:val="Heading1"/>
        <w:spacing w:after="120" w:line="276" w:lineRule="auto"/>
      </w:pPr>
      <w:bookmarkStart w:id="30" w:name="sec_11"/>
      <w:r>
        <w:rPr>
          <w:rFonts w:ascii="Arial Narrow" w:hAnsi="Arial Narrow"/>
          <w:color w:val="111827"/>
          <w:sz w:val="22"/>
          <w:szCs w:val="22"/>
        </w:rPr>
        <w:t>10. Projektsteuerung, Fachabnahme und Produktivstart</w:t>
      </w:r>
      <w:bookmarkEnd w:id="30"/>
    </w:p>
    <w:p>
      <w:pPr>
        <w:spacing w:after="120" w:line="276" w:lineRule="auto"/>
      </w:pPr>
      <w:r>
        <w:rPr>
          <w:rFonts w:ascii="Arial Narrow" w:hAnsi="Arial Narrow"/>
          <w:color w:val="111827"/>
          <w:sz w:val="22"/>
          <w:szCs w:val="22"/>
        </w:rPr>
        <w:t>Vor dem Produktivstart braucht das Projekt eine klare Abnahme. Die Abnahme muss fachlich erfolgen, nicht nur technisch. Entscheidend sind echte Szenarien aus Verwaltung, Buchhaltung, Service und Bewohnerportal.</w:t>
      </w:r>
    </w:p>
    <w:tbl>
      <w:tblPr>
        <w:tblW w:w="9360" w:type="dxa"/>
        <w:tblLayout w:type="fixed"/>
        <w:tblBorders>
          <w:top w:val="single" w:sz="6" w:color="CBD5E1"/>
          <w:left w:val="single" w:sz="6" w:color="CBD5E1"/>
          <w:bottom w:val="single" w:sz="6" w:color="CBD5E1"/>
          <w:right w:val="single" w:sz="6" w:color="CBD5E1"/>
          <w:insideH w:val="single" w:sz="4" w:color="CBD5E1"/>
          <w:insideV w:val="single" w:sz="4" w:color="CBD5E1"/>
        </w:tblBorders>
        <w:tblCellMar>
          <w:top w:w="100" w:type="dxa"/>
          <w:left w:w="140" w:type="dxa"/>
          <w:bottom w:w="100" w:type="dxa"/>
          <w:right w:w="140" w:type="dxa"/>
        </w:tblCellMar>
      </w:tblPr>
      <w:tblGrid>
        <w:gridCol w:w="2800"/>
        <w:gridCol w:w="3100"/>
        <w:gridCol w:w="3460"/>
      </w:tblGrid>
      <w:tr>
        <w:tc>
          <w:tcPr>
            <w:tcW w:w="2800" w:type="dxa"/>
            <w:shd w:fill="DBEAFE"/>
          </w:tcPr>
          <w:p>
            <w:pPr>
              <w:spacing w:after="0" w:line="276" w:lineRule="auto"/>
            </w:pPr>
            <w:r>
              <w:rPr>
                <w:rFonts w:ascii="Arial Narrow" w:hAnsi="Arial Narrow"/>
                <w:color w:val="111827"/>
                <w:sz w:val="20"/>
                <w:szCs w:val="20"/>
                <w:b/>
              </w:rPr>
              <w:t>Freigabe</w:t>
            </w:r>
          </w:p>
        </w:tc>
        <w:tc>
          <w:tcPr>
            <w:tcW w:w="3100" w:type="dxa"/>
            <w:shd w:fill="DBEAFE"/>
          </w:tcPr>
          <w:p>
            <w:pPr>
              <w:spacing w:after="0" w:line="276" w:lineRule="auto"/>
            </w:pPr>
            <w:r>
              <w:rPr>
                <w:rFonts w:ascii="Arial Narrow" w:hAnsi="Arial Narrow"/>
                <w:color w:val="111827"/>
                <w:sz w:val="20"/>
                <w:szCs w:val="20"/>
                <w:b/>
              </w:rPr>
              <w:t>Managementfrage</w:t>
            </w:r>
          </w:p>
        </w:tc>
        <w:tc>
          <w:tcPr>
            <w:tcW w:w="3460" w:type="dxa"/>
            <w:shd w:fill="DBEAFE"/>
          </w:tcPr>
          <w:p>
            <w:pPr>
              <w:spacing w:after="0" w:line="276" w:lineRule="auto"/>
            </w:pPr>
            <w:r>
              <w:rPr>
                <w:rFonts w:ascii="Arial Narrow" w:hAnsi="Arial Narrow"/>
                <w:color w:val="111827"/>
                <w:sz w:val="20"/>
                <w:szCs w:val="20"/>
                <w:b/>
              </w:rPr>
              <w:t>Nachweis</w:t>
            </w:r>
          </w:p>
        </w:tc>
      </w:tr>
      <w:tr>
        <w:tc>
          <w:tcPr>
            <w:tcW w:w="2800" w:type="dxa"/>
            <w:shd w:fill="FFFFFF"/>
          </w:tcPr>
          <w:p>
            <w:pPr>
              <w:spacing w:after="0" w:line="276" w:lineRule="auto"/>
            </w:pPr>
            <w:r>
              <w:rPr>
                <w:rFonts w:ascii="Arial Narrow" w:hAnsi="Arial Narrow"/>
                <w:color w:val="111827"/>
                <w:sz w:val="20"/>
                <w:szCs w:val="20"/>
              </w:rPr>
              <w:t>Umfang fixieren</w:t>
            </w:r>
          </w:p>
        </w:tc>
        <w:tc>
          <w:tcPr>
            <w:tcW w:w="3100" w:type="dxa"/>
            <w:shd w:fill="FFFFFF"/>
          </w:tcPr>
          <w:p>
            <w:pPr>
              <w:spacing w:after="0" w:line="276" w:lineRule="auto"/>
            </w:pPr>
            <w:r>
              <w:rPr>
                <w:rFonts w:ascii="Arial Narrow" w:hAnsi="Arial Narrow"/>
                <w:color w:val="111827"/>
                <w:sz w:val="20"/>
                <w:szCs w:val="20"/>
              </w:rPr>
              <w:t>Ist der Startumfang eindeutig?</w:t>
            </w:r>
          </w:p>
        </w:tc>
        <w:tc>
          <w:tcPr>
            <w:tcW w:w="3460" w:type="dxa"/>
            <w:shd w:fill="FFFFFF"/>
          </w:tcPr>
          <w:p>
            <w:pPr>
              <w:spacing w:after="0" w:line="276" w:lineRule="auto"/>
            </w:pPr>
            <w:r>
              <w:rPr>
                <w:rFonts w:ascii="Arial Narrow" w:hAnsi="Arial Narrow"/>
                <w:color w:val="111827"/>
                <w:sz w:val="20"/>
                <w:szCs w:val="20"/>
              </w:rPr>
              <w:t>Freigegebene Liste der Startversion</w:t>
            </w:r>
          </w:p>
        </w:tc>
      </w:tr>
      <w:tr>
        <w:tc>
          <w:tcPr>
            <w:tcW w:w="2800" w:type="dxa"/>
            <w:shd w:fill="F8FAFC"/>
          </w:tcPr>
          <w:p>
            <w:pPr>
              <w:spacing w:after="0" w:line="276" w:lineRule="auto"/>
            </w:pPr>
            <w:r>
              <w:rPr>
                <w:rFonts w:ascii="Arial Narrow" w:hAnsi="Arial Narrow"/>
                <w:color w:val="111827"/>
                <w:sz w:val="20"/>
                <w:szCs w:val="20"/>
              </w:rPr>
              <w:t>Datenmigration</w:t>
            </w:r>
          </w:p>
        </w:tc>
        <w:tc>
          <w:tcPr>
            <w:tcW w:w="3100" w:type="dxa"/>
            <w:shd w:fill="F8FAFC"/>
          </w:tcPr>
          <w:p>
            <w:pPr>
              <w:spacing w:after="0" w:line="276" w:lineRule="auto"/>
            </w:pPr>
            <w:r>
              <w:rPr>
                <w:rFonts w:ascii="Arial Narrow" w:hAnsi="Arial Narrow"/>
                <w:color w:val="111827"/>
                <w:sz w:val="20"/>
                <w:szCs w:val="20"/>
              </w:rPr>
              <w:t>Sind Stammdaten und Salden plausibel?</w:t>
            </w:r>
          </w:p>
        </w:tc>
        <w:tc>
          <w:tcPr>
            <w:tcW w:w="3460" w:type="dxa"/>
            <w:shd w:fill="F8FAFC"/>
          </w:tcPr>
          <w:p>
            <w:pPr>
              <w:spacing w:after="0" w:line="276" w:lineRule="auto"/>
            </w:pPr>
            <w:r>
              <w:rPr>
                <w:rFonts w:ascii="Arial Narrow" w:hAnsi="Arial Narrow"/>
                <w:color w:val="111827"/>
                <w:sz w:val="20"/>
                <w:szCs w:val="20"/>
              </w:rPr>
              <w:t>Bericht zum Zahlungsabgleich</w:t>
            </w:r>
          </w:p>
        </w:tc>
      </w:tr>
      <w:tr>
        <w:tc>
          <w:tcPr>
            <w:tcW w:w="2800" w:type="dxa"/>
            <w:shd w:fill="FFFFFF"/>
          </w:tcPr>
          <w:p>
            <w:pPr>
              <w:spacing w:after="0" w:line="276" w:lineRule="auto"/>
            </w:pPr>
            <w:r>
              <w:rPr>
                <w:rFonts w:ascii="Arial Narrow" w:hAnsi="Arial Narrow"/>
                <w:color w:val="111827"/>
                <w:sz w:val="20"/>
                <w:szCs w:val="20"/>
              </w:rPr>
              <w:t>Fachabnahme</w:t>
            </w:r>
          </w:p>
        </w:tc>
        <w:tc>
          <w:tcPr>
            <w:tcW w:w="3100" w:type="dxa"/>
            <w:shd w:fill="FFFFFF"/>
          </w:tcPr>
          <w:p>
            <w:pPr>
              <w:spacing w:after="0" w:line="276" w:lineRule="auto"/>
            </w:pPr>
            <w:r>
              <w:rPr>
                <w:rFonts w:ascii="Arial Narrow" w:hAnsi="Arial Narrow"/>
                <w:color w:val="111827"/>
                <w:sz w:val="20"/>
                <w:szCs w:val="20"/>
              </w:rPr>
              <w:t>Können Fachbereiche ihre Arbeit erledigen?</w:t>
            </w:r>
          </w:p>
        </w:tc>
        <w:tc>
          <w:tcPr>
            <w:tcW w:w="3460" w:type="dxa"/>
            <w:shd w:fill="FFFFFF"/>
          </w:tcPr>
          <w:p>
            <w:pPr>
              <w:spacing w:after="0" w:line="276" w:lineRule="auto"/>
            </w:pPr>
            <w:r>
              <w:rPr>
                <w:rFonts w:ascii="Arial Narrow" w:hAnsi="Arial Narrow"/>
                <w:color w:val="111827"/>
                <w:sz w:val="20"/>
                <w:szCs w:val="20"/>
              </w:rPr>
              <w:t>Abnahmeprotokoll mit Freigaben</w:t>
            </w:r>
          </w:p>
        </w:tc>
      </w:tr>
      <w:tr>
        <w:tc>
          <w:tcPr>
            <w:tcW w:w="2800" w:type="dxa"/>
            <w:shd w:fill="F8FAFC"/>
          </w:tcPr>
          <w:p>
            <w:pPr>
              <w:spacing w:after="0" w:line="276" w:lineRule="auto"/>
            </w:pPr>
            <w:r>
              <w:rPr>
                <w:rFonts w:ascii="Arial Narrow" w:hAnsi="Arial Narrow"/>
                <w:color w:val="111827"/>
                <w:sz w:val="20"/>
                <w:szCs w:val="20"/>
              </w:rPr>
              <w:t>Sicherheit</w:t>
            </w:r>
          </w:p>
        </w:tc>
        <w:tc>
          <w:tcPr>
            <w:tcW w:w="3100" w:type="dxa"/>
            <w:shd w:fill="F8FAFC"/>
          </w:tcPr>
          <w:p>
            <w:pPr>
              <w:spacing w:after="0" w:line="276" w:lineRule="auto"/>
            </w:pPr>
            <w:r>
              <w:rPr>
                <w:rFonts w:ascii="Arial Narrow" w:hAnsi="Arial Narrow"/>
                <w:color w:val="111827"/>
                <w:sz w:val="20"/>
                <w:szCs w:val="20"/>
              </w:rPr>
              <w:t>Sind Rollen, Prüfspur und Datenschutz geprüft?</w:t>
            </w:r>
          </w:p>
        </w:tc>
        <w:tc>
          <w:tcPr>
            <w:tcW w:w="3460" w:type="dxa"/>
            <w:shd w:fill="F8FAFC"/>
          </w:tcPr>
          <w:p>
            <w:pPr>
              <w:spacing w:after="0" w:line="276" w:lineRule="auto"/>
            </w:pPr>
            <w:r>
              <w:rPr>
                <w:rFonts w:ascii="Arial Narrow" w:hAnsi="Arial Narrow"/>
                <w:color w:val="111827"/>
                <w:sz w:val="20"/>
                <w:szCs w:val="20"/>
              </w:rPr>
              <w:t>Sicherheits- und Datenschutzprüfung</w:t>
            </w:r>
          </w:p>
        </w:tc>
      </w:tr>
      <w:tr>
        <w:tc>
          <w:tcPr>
            <w:tcW w:w="2800" w:type="dxa"/>
            <w:shd w:fill="FFFFFF"/>
          </w:tcPr>
          <w:p>
            <w:pPr>
              <w:spacing w:after="0" w:line="276" w:lineRule="auto"/>
            </w:pPr>
            <w:r>
              <w:rPr>
                <w:rFonts w:ascii="Arial Narrow" w:hAnsi="Arial Narrow"/>
                <w:color w:val="111827"/>
                <w:sz w:val="20"/>
                <w:szCs w:val="20"/>
              </w:rPr>
              <w:t>Produktivstart</w:t>
            </w:r>
          </w:p>
        </w:tc>
        <w:tc>
          <w:tcPr>
            <w:tcW w:w="3100" w:type="dxa"/>
            <w:shd w:fill="FFFFFF"/>
          </w:tcPr>
          <w:p>
            <w:pPr>
              <w:spacing w:after="0" w:line="276" w:lineRule="auto"/>
            </w:pPr>
            <w:r>
              <w:rPr>
                <w:rFonts w:ascii="Arial Narrow" w:hAnsi="Arial Narrow"/>
                <w:color w:val="111827"/>
                <w:sz w:val="20"/>
                <w:szCs w:val="20"/>
              </w:rPr>
              <w:t>Ist Unterstützung für die erste Betriebsphase bereit?</w:t>
            </w:r>
          </w:p>
        </w:tc>
        <w:tc>
          <w:tcPr>
            <w:tcW w:w="3460" w:type="dxa"/>
            <w:shd w:fill="FFFFFF"/>
          </w:tcPr>
          <w:p>
            <w:pPr>
              <w:spacing w:after="0" w:line="276" w:lineRule="auto"/>
            </w:pPr>
            <w:r>
              <w:rPr>
                <w:rFonts w:ascii="Arial Narrow" w:hAnsi="Arial Narrow"/>
                <w:color w:val="111827"/>
                <w:sz w:val="20"/>
                <w:szCs w:val="20"/>
              </w:rPr>
              <w:t>Plan für die ersten Betriebswochen</w:t>
            </w:r>
          </w:p>
        </w:tc>
      </w:tr>
    </w:tbl>
    <w:p>
      <w:pPr>
        <w:spacing w:after="120" w:line="276" w:lineRule="auto"/>
      </w:pPr>
    </w:p>
    <w:p>
      <w:pPr>
        <w:pStyle w:val="Heading1"/>
        <w:spacing w:after="120" w:line="276" w:lineRule="auto"/>
      </w:pPr>
      <w:bookmarkStart w:id="31" w:name="sec_12"/>
      <w:r>
        <w:rPr>
          <w:rFonts w:ascii="Arial Narrow" w:hAnsi="Arial Narrow"/>
          <w:color w:val="111827"/>
          <w:sz w:val="22"/>
          <w:szCs w:val="22"/>
        </w:rPr>
        <w:t>11. Empfohlene nächste Schritte</w:t>
      </w:r>
      <w:bookmarkEnd w:id="31"/>
    </w:p>
    <w:p>
      <w:pPr>
        <w:spacing w:after="120" w:line="276" w:lineRule="auto"/>
      </w:pPr>
      <w:r>
        <w:rPr>
          <w:rFonts w:ascii="Arial Narrow" w:hAnsi="Arial Narrow"/>
          <w:color w:val="111827"/>
          <w:sz w:val="22"/>
          <w:szCs w:val="22"/>
        </w:rPr>
        <w:t>Die nächste Entscheidung sollte nicht die Auswahl einzelner Funktionen sein, sondern die Freigabe eines kontrollierten Piloten der Startversion. Damit kann Ataberk Estate den Nutzen früh prüfen und die spätere Skalierung auf belastbaren Daten aufbauen.</w:t>
      </w:r>
    </w:p>
    <w:p>
      <w:pPr>
        <w:numPr>
          <w:ilvl w:val="0"/>
          <w:numId w:val="1"/>
        </w:numPr>
        <w:spacing w:after="80" w:line="260" w:lineRule="auto"/>
      </w:pPr>
      <w:r>
        <w:rPr>
          <w:rFonts w:ascii="Arial Narrow" w:hAnsi="Arial Narrow"/>
          <w:sz w:val="22"/>
          <w:szCs w:val="22"/>
        </w:rPr>
        <w:t>Pilotanlage und Zielnutzer verbindlich festlegen.</w:t>
      </w:r>
    </w:p>
    <w:p>
      <w:pPr>
        <w:numPr>
          <w:ilvl w:val="0"/>
          <w:numId w:val="1"/>
        </w:numPr>
        <w:spacing w:after="80" w:line="260" w:lineRule="auto"/>
      </w:pPr>
      <w:r>
        <w:rPr>
          <w:rFonts w:ascii="Arial Narrow" w:hAnsi="Arial Narrow"/>
          <w:sz w:val="22"/>
          <w:szCs w:val="22"/>
        </w:rPr>
        <w:t>Startprozesse als durchgängige Szenarien abnehmen.</w:t>
      </w:r>
    </w:p>
    <w:p>
      <w:pPr>
        <w:numPr>
          <w:ilvl w:val="0"/>
          <w:numId w:val="1"/>
        </w:numPr>
        <w:spacing w:after="80" w:line="260" w:lineRule="auto"/>
      </w:pPr>
      <w:r>
        <w:rPr>
          <w:rFonts w:ascii="Arial Narrow" w:hAnsi="Arial Narrow"/>
          <w:sz w:val="22"/>
          <w:szCs w:val="22"/>
        </w:rPr>
        <w:t>Datenverantwortliche und Freigabeprozesse benennen.</w:t>
      </w:r>
    </w:p>
    <w:p>
      <w:pPr>
        <w:numPr>
          <w:ilvl w:val="0"/>
          <w:numId w:val="1"/>
        </w:numPr>
        <w:spacing w:after="80" w:line="260" w:lineRule="auto"/>
      </w:pPr>
      <w:r>
        <w:rPr>
          <w:rFonts w:ascii="Arial Narrow" w:hAnsi="Arial Narrow"/>
          <w:sz w:val="22"/>
          <w:szCs w:val="22"/>
        </w:rPr>
        <w:t>Finanzlogik und rechtliche Grenzen vor Implementierung bestätigen.</w:t>
      </w:r>
    </w:p>
    <w:p>
      <w:pPr>
        <w:numPr>
          <w:ilvl w:val="0"/>
          <w:numId w:val="1"/>
        </w:numPr>
        <w:spacing w:after="80" w:line="260" w:lineRule="auto"/>
      </w:pPr>
      <w:r>
        <w:rPr>
          <w:rFonts w:ascii="Arial Narrow" w:hAnsi="Arial Narrow"/>
          <w:sz w:val="22"/>
          <w:szCs w:val="22"/>
        </w:rPr>
        <w:t>Termine für Fachabnahme und Management-Freigaben in den Projektplan aufnehmen.</w:t>
      </w:r>
    </w:p>
    <w:p>
      <w:pPr>
        <w:pStyle w:val="Heading1"/>
        <w:spacing w:after="120" w:line="276" w:lineRule="auto"/>
      </w:pPr>
      <w:r>
        <w:rPr>
          <w:rFonts w:ascii="Arial Narrow" w:hAnsi="Arial Narrow"/>
          <w:color w:val="111827"/>
          <w:sz w:val="22"/>
          <w:szCs w:val="22"/>
        </w:rPr>
        <w:t>Anhang: Einordnung der Detaildokumente</w:t>
      </w:r>
    </w:p>
    <w:p>
      <w:pPr>
        <w:spacing w:after="120" w:line="276" w:lineRule="auto"/>
      </w:pPr>
      <w:r>
        <w:rPr>
          <w:rFonts w:ascii="Arial Narrow" w:hAnsi="Arial Narrow"/>
          <w:color w:val="111827"/>
          <w:sz w:val="22"/>
          <w:szCs w:val="22"/>
        </w:rPr>
        <w:t>Die bisherigen Detaildokumente bleiben als Arbeitsanhänge im gleichen Ordner erhalten. Für die Führungsebene ist dieses deutsche Management-Paket die empfohlene Lesefassung.</w:t>
      </w:r>
    </w:p>
    <w:tbl>
      <w:tblPr>
        <w:tblW w:w="9360" w:type="dxa"/>
        <w:tblLayout w:type="fixed"/>
        <w:tblBorders>
          <w:top w:val="single" w:sz="6" w:color="CBD5E1"/>
          <w:left w:val="single" w:sz="6" w:color="CBD5E1"/>
          <w:bottom w:val="single" w:sz="6" w:color="CBD5E1"/>
          <w:right w:val="single" w:sz="6" w:color="CBD5E1"/>
          <w:insideH w:val="single" w:sz="4" w:color="CBD5E1"/>
          <w:insideV w:val="single" w:sz="4" w:color="CBD5E1"/>
        </w:tblBorders>
        <w:tblCellMar>
          <w:top w:w="100" w:type="dxa"/>
          <w:left w:w="140" w:type="dxa"/>
          <w:bottom w:w="100" w:type="dxa"/>
          <w:right w:w="140" w:type="dxa"/>
        </w:tblCellMar>
      </w:tblPr>
      <w:tblGrid>
        <w:gridCol w:w="2500"/>
        <w:gridCol w:w="4200"/>
        <w:gridCol w:w="2660"/>
      </w:tblGrid>
      <w:tr>
        <w:tc>
          <w:tcPr>
            <w:tcW w:w="2500" w:type="dxa"/>
            <w:shd w:fill="DBEAFE"/>
          </w:tcPr>
          <w:p>
            <w:pPr>
              <w:spacing w:after="0" w:line="276" w:lineRule="auto"/>
            </w:pPr>
            <w:r>
              <w:rPr>
                <w:rFonts w:ascii="Arial Narrow" w:hAnsi="Arial Narrow"/>
                <w:color w:val="111827"/>
                <w:sz w:val="20"/>
                <w:szCs w:val="20"/>
                <w:b/>
              </w:rPr>
              <w:t>Anhang</w:t>
            </w:r>
          </w:p>
        </w:tc>
        <w:tc>
          <w:tcPr>
            <w:tcW w:w="4200" w:type="dxa"/>
            <w:shd w:fill="DBEAFE"/>
          </w:tcPr>
          <w:p>
            <w:pPr>
              <w:spacing w:after="0" w:line="276" w:lineRule="auto"/>
            </w:pPr>
            <w:r>
              <w:rPr>
                <w:rFonts w:ascii="Arial Narrow" w:hAnsi="Arial Narrow"/>
                <w:color w:val="111827"/>
                <w:sz w:val="20"/>
                <w:szCs w:val="20"/>
                <w:b/>
              </w:rPr>
              <w:t>Zweck</w:t>
            </w:r>
          </w:p>
        </w:tc>
        <w:tc>
          <w:tcPr>
            <w:tcW w:w="2660" w:type="dxa"/>
            <w:shd w:fill="DBEAFE"/>
          </w:tcPr>
          <w:p>
            <w:pPr>
              <w:spacing w:after="0" w:line="276" w:lineRule="auto"/>
            </w:pPr>
            <w:r>
              <w:rPr>
                <w:rFonts w:ascii="Arial Narrow" w:hAnsi="Arial Narrow"/>
                <w:color w:val="111827"/>
                <w:sz w:val="20"/>
                <w:szCs w:val="20"/>
                <w:b/>
              </w:rPr>
              <w:t>Nutzung</w:t>
            </w:r>
          </w:p>
        </w:tc>
      </w:tr>
      <w:tr>
        <w:tc>
          <w:tcPr>
            <w:tcW w:w="2500" w:type="dxa"/>
            <w:shd w:fill="FFFFFF"/>
          </w:tcPr>
          <w:p>
            <w:pPr>
              <w:spacing w:after="0" w:line="276" w:lineRule="auto"/>
            </w:pPr>
            <w:r>
              <w:rPr>
                <w:rFonts w:ascii="Arial Narrow" w:hAnsi="Arial Narrow"/>
                <w:color w:val="111827"/>
                <w:sz w:val="20"/>
                <w:szCs w:val="20"/>
              </w:rPr>
              <w:t>BRD, PRD, TRD</w:t>
            </w:r>
          </w:p>
        </w:tc>
        <w:tc>
          <w:tcPr>
            <w:tcW w:w="4200" w:type="dxa"/>
            <w:shd w:fill="FFFFFF"/>
          </w:tcPr>
          <w:p>
            <w:pPr>
              <w:spacing w:after="0" w:line="276" w:lineRule="auto"/>
            </w:pPr>
            <w:r>
              <w:rPr>
                <w:rFonts w:ascii="Arial Narrow" w:hAnsi="Arial Narrow"/>
                <w:color w:val="111827"/>
                <w:sz w:val="20"/>
                <w:szCs w:val="20"/>
              </w:rPr>
              <w:t>Detailtiefe für Fachbereich, Produkt und Technik</w:t>
            </w:r>
          </w:p>
        </w:tc>
        <w:tc>
          <w:tcPr>
            <w:tcW w:w="2660" w:type="dxa"/>
            <w:shd w:fill="FFFFFF"/>
          </w:tcPr>
          <w:p>
            <w:pPr>
              <w:spacing w:after="0" w:line="276" w:lineRule="auto"/>
            </w:pPr>
            <w:r>
              <w:rPr>
                <w:rFonts w:ascii="Arial Narrow" w:hAnsi="Arial Narrow"/>
                <w:color w:val="111827"/>
                <w:sz w:val="20"/>
                <w:szCs w:val="20"/>
              </w:rPr>
              <w:t>Arbeitsgrundlage für Projektteam</w:t>
            </w:r>
          </w:p>
        </w:tc>
      </w:tr>
      <w:tr>
        <w:tc>
          <w:tcPr>
            <w:tcW w:w="2500" w:type="dxa"/>
            <w:shd w:fill="F8FAFC"/>
          </w:tcPr>
          <w:p>
            <w:pPr>
              <w:spacing w:after="0" w:line="276" w:lineRule="auto"/>
            </w:pPr>
            <w:r>
              <w:rPr>
                <w:rFonts w:ascii="Arial Narrow" w:hAnsi="Arial Narrow"/>
                <w:color w:val="111827"/>
                <w:sz w:val="20"/>
                <w:szCs w:val="20"/>
              </w:rPr>
              <w:t>QA, Sicherheit, Migration</w:t>
            </w:r>
          </w:p>
        </w:tc>
        <w:tc>
          <w:tcPr>
            <w:tcW w:w="4200" w:type="dxa"/>
            <w:shd w:fill="F8FAFC"/>
          </w:tcPr>
          <w:p>
            <w:pPr>
              <w:spacing w:after="0" w:line="276" w:lineRule="auto"/>
            </w:pPr>
            <w:r>
              <w:rPr>
                <w:rFonts w:ascii="Arial Narrow" w:hAnsi="Arial Narrow"/>
                <w:color w:val="111827"/>
                <w:sz w:val="20"/>
                <w:szCs w:val="20"/>
              </w:rPr>
              <w:t>Prüfung von Launch, Datenschutz und Datenübernahme</w:t>
            </w:r>
          </w:p>
        </w:tc>
        <w:tc>
          <w:tcPr>
            <w:tcW w:w="2660" w:type="dxa"/>
            <w:shd w:fill="F8FAFC"/>
          </w:tcPr>
          <w:p>
            <w:pPr>
              <w:spacing w:after="0" w:line="276" w:lineRule="auto"/>
            </w:pPr>
            <w:r>
              <w:rPr>
                <w:rFonts w:ascii="Arial Narrow" w:hAnsi="Arial Narrow"/>
                <w:color w:val="111827"/>
                <w:sz w:val="20"/>
                <w:szCs w:val="20"/>
              </w:rPr>
              <w:t>Freigabeunterlagen für Abnahme</w:t>
            </w:r>
          </w:p>
        </w:tc>
      </w:tr>
      <w:tr>
        <w:tc>
          <w:tcPr>
            <w:tcW w:w="2500" w:type="dxa"/>
            <w:shd w:fill="FFFFFF"/>
          </w:tcPr>
          <w:p>
            <w:pPr>
              <w:spacing w:after="0" w:line="276" w:lineRule="auto"/>
            </w:pPr>
            <w:r>
              <w:rPr>
                <w:rFonts w:ascii="Arial Narrow" w:hAnsi="Arial Narrow"/>
                <w:color w:val="111827"/>
                <w:sz w:val="20"/>
                <w:szCs w:val="20"/>
              </w:rPr>
              <w:t>Source Register</w:t>
            </w:r>
          </w:p>
        </w:tc>
        <w:tc>
          <w:tcPr>
            <w:tcW w:w="4200" w:type="dxa"/>
            <w:shd w:fill="FFFFFF"/>
          </w:tcPr>
          <w:p>
            <w:pPr>
              <w:spacing w:after="0" w:line="276" w:lineRule="auto"/>
            </w:pPr>
            <w:r>
              <w:rPr>
                <w:rFonts w:ascii="Arial Narrow" w:hAnsi="Arial Narrow"/>
                <w:color w:val="111827"/>
                <w:sz w:val="20"/>
                <w:szCs w:val="20"/>
              </w:rPr>
              <w:t>Quellen und Annahmen</w:t>
            </w:r>
          </w:p>
        </w:tc>
        <w:tc>
          <w:tcPr>
            <w:tcW w:w="2660" w:type="dxa"/>
            <w:shd w:fill="FFFFFF"/>
          </w:tcPr>
          <w:p>
            <w:pPr>
              <w:spacing w:after="0" w:line="276" w:lineRule="auto"/>
            </w:pPr>
            <w:r>
              <w:rPr>
                <w:rFonts w:ascii="Arial Narrow" w:hAnsi="Arial Narrow"/>
                <w:color w:val="111827"/>
                <w:sz w:val="20"/>
                <w:szCs w:val="20"/>
              </w:rPr>
              <w:t>Nachvollziehbarkeit für spätere Reviews</w:t>
            </w:r>
          </w:p>
        </w:tc>
      </w:tr>
    </w:tbl>
    <w:p>
      <w:pPr>
        <w:spacing w:after="120" w:line="276" w:lineRule="auto"/>
      </w:pPr>
    </w:p>
    <w:sectPr>
      <w:pgSz w:w="12240" w:h="15840"/>
      <w:pgMar w:top="1080" w:right="1440" w:bottom="1080" w:left="1440" w:header="720" w:footer="72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Arial Narrow" w:hAnsi="Arial Narrow"/>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rPr>
      <w:rFonts w:ascii="Arial Narrow" w:hAnsi="Arial Narrow"/>
      <w:sz w:val="22"/>
      <w:szCs w:val="22"/>
      <w:color w:val="111827"/>
    </w:rPr>
    <w:pPr>
      <w:spacing w:after="120" w:line="276" w:lineRule="auto"/>
    </w:pPr>
  </w:style>
  <w:style w:type="paragraph" w:styleId="Title">
    <w:name w:val="Title"/>
    <w:basedOn w:val="Normal"/>
    <w:rPr>
      <w:rFonts w:ascii="Arial Narrow" w:hAnsi="Arial Narrow"/>
      <w:b/>
      <w:sz w:val="46"/>
      <w:szCs w:val="46"/>
      <w:color w:val="111827"/>
    </w:rPr>
    <w:pPr>
      <w:spacing w:after="180"/>
    </w:pPr>
  </w:style>
  <w:style w:type="paragraph" w:styleId="Heading1">
    <w:name w:val="Heading 1"/>
    <w:basedOn w:val="Normal"/>
    <w:next w:val="Normal"/>
    <w:qFormat/>
    <w:rPr>
      <w:rFonts w:ascii="Arial Narrow" w:hAnsi="Arial Narrow"/>
      <w:b/>
      <w:sz w:val="32"/>
      <w:szCs w:val="32"/>
      <w:color w:val="111827"/>
    </w:rPr>
    <w:pPr>
      <w:spacing w:before="320" w:after="160"/>
      <w:outlineLvl w:val="0"/>
    </w:pPr>
  </w:style>
  <w:style w:type="paragraph" w:styleId="Heading2">
    <w:name w:val="Heading 2"/>
    <w:basedOn w:val="Normal"/>
    <w:next w:val="Normal"/>
    <w:qFormat/>
    <w:rPr>
      <w:rFonts w:ascii="Arial Narrow" w:hAnsi="Arial Narrow"/>
      <w:b/>
      <w:sz w:val="26"/>
      <w:szCs w:val="26"/>
      <w:color w:val="2563EB"/>
    </w:rPr>
    <w:pPr>
      <w:spacing w:before="240" w:after="120"/>
      <w:outlineLvl w:val="1"/>
    </w:pPr>
  </w:style>
</w:styles>
</file>

<file path=word/_rels/document.xml.rels><?xml version="1.0" encoding="UTF-8" standalone="yes"?>
<Relationships xmlns="http://schemas.openxmlformats.org/package/2006/relationships"><Relationship Id="rId1" Type="http://schemas.openxmlformats.org/officeDocument/2006/relationships/image" Target="media/management-mindmap.png"/><Relationship Id="rId2" Type="http://schemas.openxmlformats.org/officeDocument/2006/relationships/image" Target="media/betriebsmodell.png"/><Relationship Id="rId3" Type="http://schemas.openxmlformats.org/officeDocument/2006/relationships/image" Target="media/roadmap.png"/><Relationship Id="rId4" Type="http://schemas.openxmlformats.org/officeDocument/2006/relationships/image" Target="media/workflow.png"/><Relationship Id="rId5" Type="http://schemas.openxmlformats.org/officeDocument/2006/relationships/image" Target="media/risiko-heatmap.png"/><Relationship Id="rId6" Type="http://schemas.openxmlformats.org/officeDocument/2006/relationships/image" Target="media/architektur.png"/></Relationships>
</file>