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 ns1:Ignorable="w14 w15 wp14">
  <w:body>
    <w:p>
      <w:pPr>
        <w:spacing w:after="620"/>
        <w:jc w:val="right"/>
      </w:pPr>
      <w:r>
        <w:rPr>
          <w:rFonts w:ascii="Arial Narrow" w:cs="Arial Narrow" w:eastAsia="Arial Narrow" w:hAnsi="Arial Narrow"/>
          <w:b/>
          <w:bCs/>
          <w:color w:val="000000"/>
          <w:sz w:val="18"/>
          <w:szCs w:val="18"/>
        </w:rPr>
        <w:t xml:space="preserve">STRICTLY CONFIDENTIAL</w:t>
      </w:r>
    </w:p>
    <w:p>
      <w:pPr>
        <w:spacing w:after="80"/>
      </w:pP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DATA MIGRATION PLAN</w:t>
      </w:r>
    </w:p>
    <w:p>
      <w:pPr>
        <w:spacing w:after="140" w:line="540"/>
      </w:pPr>
      <w:r>
        <w:rPr>
          <w:rFonts w:ascii="Arial Narrow" w:cs="Arial Narrow" w:eastAsia="Arial Narrow" w:hAnsi="Arial Narrow"/>
          <w:b/>
          <w:bCs/>
          <w:color w:val="000000"/>
          <w:sz w:val="42"/>
          <w:szCs w:val="42"/>
        </w:rPr>
        <w:t xml:space="preserve">AI-Powered Residential Site Management CRM</w:t>
      </w:r>
    </w:p>
    <w:p>
      <w:pPr>
        <w:spacing w:after="360" w:line="340"/>
      </w:pPr>
      <w:r>
        <w:rPr>
          <w:rFonts w:ascii="Arial Narrow" w:cs="Arial Narrow" w:eastAsia="Arial Narrow" w:hAnsi="Arial Narrow"/>
          <w:color w:val="222222"/>
          <w:sz w:val="25"/>
          <w:szCs w:val="25"/>
        </w:rPr>
        <w:t xml:space="preserve">Source inventory, data quality rules, import workflow, reconciliation and cutover plan</w:t>
      </w:r>
    </w:p>
    <w:p>
      <w:pPr>
        <w:shd w:fill="F2F2F2"/>
        <w:spacing w:after="80" w:before="0" w:line="260"/>
      </w:pPr>
      <w:r>
        <w:rPr>
          <w:rFonts w:ascii="Arial Narrow" w:cs="Arial Narrow" w:eastAsia="Arial Narrow" w:hAnsi="Arial Narrow"/>
          <w:color w:val="111111"/>
          <w:sz w:val="20"/>
          <w:szCs w:val="20"/>
        </w:rPr>
        <w:t xml:space="preserve">  </w:t>
      </w:r>
      <w:r>
        <w:rPr>
          <w:rFonts w:ascii="Arial Narrow" w:cs="Arial Narrow" w:eastAsia="Arial Narrow" w:hAnsi="Arial Narrow"/>
          <w:b/>
          <w:bCs/>
          <w:color w:val="222222"/>
          <w:sz w:val="20"/>
          <w:szCs w:val="20"/>
        </w:rPr>
        <w:t xml:space="preserve">Data quality</w:t>
      </w:r>
    </w:p>
    <w:p>
      <w:pPr>
        <w:shd w:fill="F2F2F2"/>
        <w:spacing w:after="80" w:before="0" w:line="260"/>
      </w:pPr>
      <w:r>
        <w:rPr>
          <w:rFonts w:ascii="Arial Narrow" w:cs="Arial Narrow" w:eastAsia="Arial Narrow" w:hAnsi="Arial Narrow"/>
          <w:color w:val="111111"/>
          <w:sz w:val="20"/>
          <w:szCs w:val="20"/>
        </w:rPr>
        <w:t xml:space="preserve">  </w:t>
      </w:r>
      <w:r>
        <w:rPr>
          <w:rFonts w:ascii="Arial Narrow" w:cs="Arial Narrow" w:eastAsia="Arial Narrow" w:hAnsi="Arial Narrow"/>
          <w:b/>
          <w:bCs/>
          <w:color w:val="222222"/>
          <w:sz w:val="20"/>
          <w:szCs w:val="20"/>
        </w:rPr>
        <w:t xml:space="preserve">Reconciliation</w:t>
      </w:r>
    </w:p>
    <w:p>
      <w:pPr>
        <w:shd w:fill="F2F2F2"/>
        <w:spacing w:after="80" w:before="0" w:line="260"/>
      </w:pPr>
      <w:r>
        <w:rPr>
          <w:rFonts w:ascii="Arial Narrow" w:cs="Arial Narrow" w:eastAsia="Arial Narrow" w:hAnsi="Arial Narrow"/>
          <w:color w:val="111111"/>
          <w:sz w:val="20"/>
          <w:szCs w:val="20"/>
        </w:rPr>
        <w:t xml:space="preserve">  </w:t>
      </w:r>
      <w:r>
        <w:rPr>
          <w:rFonts w:ascii="Arial Narrow" w:cs="Arial Narrow" w:eastAsia="Arial Narrow" w:hAnsi="Arial Narrow"/>
          <w:b/>
          <w:bCs/>
          <w:color w:val="222222"/>
          <w:sz w:val="20"/>
          <w:szCs w:val="20"/>
        </w:rPr>
        <w:t xml:space="preserve">Cutover</w:t>
      </w:r>
    </w:p>
    <w:p>
      <w:pPr>
        <w:spacing w:after="60" w:before="28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Prepared for: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Ataberk Estate digital transformation planning</w:t>
      </w:r>
    </w:p>
    <w:p>
      <w:pPr>
        <w:spacing w:after="6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Prepared by: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1Cati / Product and Engineering</w:t>
      </w:r>
    </w:p>
    <w:p>
      <w:pPr>
        <w:spacing w:after="6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Design refresh: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25 June 2026</w:t>
      </w:r>
    </w:p>
    <w:p>
      <w:pPr>
        <w:spacing w:after="62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Status: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Consulting-ready v0.2</w:t>
      </w:r>
    </w:p>
    <w:p>
      <w:r>
        <w:br w:type="page"/>
      </w:r>
    </w:p>
    <w:p>
      <w:pPr>
        <w:pStyle w:val="Heading1"/>
        <w:spacing w:before="0" w:after="180" w:line="320" w:lineRule="auto"/>
      </w:pPr>
      <w:r>
        <w:rPr>
          <w:rFonts w:ascii="Arial Narrow" w:hAnsi="Arial Narrow"/>
          <w:color w:val="111111"/>
        </w:rPr>
        <w:t>Table of Contents</w:t>
      </w:r>
    </w:p>
    <w:p>
      <w:pPr>
        <w:spacing w:after="180" w:line="260" w:lineRule="auto"/>
      </w:pPr>
      <w:r>
        <w:rPr>
          <w:rFonts w:ascii="Arial Narrow" w:hAnsi="Arial Narrow"/>
          <w:color w:val="111111"/>
        </w:rPr>
        <w:t>Executive review map generated from the main document structure.</w:t>
      </w:r>
    </w:p>
    <w:p>
      <w:pPr>
        <w:spacing w:after="45" w:line="240" w:lineRule="auto"/>
        <w:ind w:left="0"/>
      </w:pPr>
      <w:hyperlink w:anchor="toc_sec_001">
        <w:r>
          <w:rPr>
            <w:rFonts w:ascii="Arial Narrow" w:hAnsi="Arial Narrow"/>
            <w:color w:val="111111"/>
          </w:rPr>
          <w:t>1. Executive Summary</w:t>
        </w:r>
      </w:hyperlink>
    </w:p>
    <w:p>
      <w:pPr>
        <w:spacing w:after="45" w:line="240" w:lineRule="auto"/>
        <w:ind w:left="0"/>
      </w:pPr>
      <w:hyperlink w:anchor="toc_sec_002">
        <w:r>
          <w:rPr>
            <w:rFonts w:ascii="Arial Narrow" w:hAnsi="Arial Narrow"/>
            <w:color w:val="111111"/>
          </w:rPr>
          <w:t>2. Migration Workflow</w:t>
        </w:r>
      </w:hyperlink>
    </w:p>
    <w:p>
      <w:pPr>
        <w:spacing w:after="45" w:line="240" w:lineRule="auto"/>
        <w:ind w:left="0"/>
      </w:pPr>
      <w:hyperlink w:anchor="toc_sec_003">
        <w:r>
          <w:rPr>
            <w:rFonts w:ascii="Arial Narrow" w:hAnsi="Arial Narrow"/>
            <w:color w:val="111111"/>
          </w:rPr>
          <w:t>3. Source Inventory</w:t>
        </w:r>
      </w:hyperlink>
    </w:p>
    <w:p>
      <w:pPr>
        <w:spacing w:after="45" w:line="240" w:lineRule="auto"/>
        <w:ind w:left="0"/>
      </w:pPr>
      <w:hyperlink w:anchor="toc_sec_004">
        <w:r>
          <w:rPr>
            <w:rFonts w:ascii="Arial Narrow" w:hAnsi="Arial Narrow"/>
            <w:color w:val="111111"/>
          </w:rPr>
          <w:t>4. Data Quality Rules</w:t>
        </w:r>
      </w:hyperlink>
    </w:p>
    <w:p>
      <w:pPr>
        <w:spacing w:after="45" w:line="240" w:lineRule="auto"/>
        <w:ind w:left="0"/>
      </w:pPr>
      <w:hyperlink w:anchor="toc_sec_005">
        <w:r>
          <w:rPr>
            <w:rFonts w:ascii="Arial Narrow" w:hAnsi="Arial Narrow"/>
            <w:color w:val="111111"/>
          </w:rPr>
          <w:t>5. Reconciliation Reports</w:t>
        </w:r>
      </w:hyperlink>
    </w:p>
    <w:p>
      <w:pPr>
        <w:spacing w:after="45" w:line="240" w:lineRule="auto"/>
        <w:ind w:left="0"/>
      </w:pPr>
      <w:hyperlink w:anchor="toc_sec_006">
        <w:r>
          <w:rPr>
            <w:rFonts w:ascii="Arial Narrow" w:hAnsi="Arial Narrow"/>
            <w:color w:val="111111"/>
          </w:rPr>
          <w:t>6. Migration Cutover Plan</w:t>
        </w:r>
      </w:hyperlink>
    </w:p>
    <w:p>
      <w:pPr>
        <w:spacing w:after="45" w:line="240" w:lineRule="auto"/>
        <w:ind w:left="0"/>
      </w:pPr>
      <w:hyperlink w:anchor="toc_sec_007">
        <w:r>
          <w:rPr>
            <w:rFonts w:ascii="Arial Narrow" w:hAnsi="Arial Narrow"/>
            <w:color w:val="111111"/>
          </w:rPr>
          <w:t>7. Migration Risks</w:t>
        </w:r>
      </w:hyperlink>
    </w:p>
    <w:p>
      <w:pPr>
        <w:spacing w:after="45" w:line="240" w:lineRule="auto"/>
        <w:ind w:left="0"/>
      </w:pPr>
      <w:hyperlink w:anchor="toc_sec_008">
        <w:r>
          <w:rPr>
            <w:rFonts w:ascii="Arial Narrow" w:hAnsi="Arial Narrow"/>
            <w:color w:val="111111"/>
          </w:rPr>
          <w:t>8. Acceptance Criteria</w:t>
        </w:r>
      </w:hyperlink>
    </w:p>
    <w:p>
      <w:pPr/>
      <w:r>
        <w:br w:type="page"/>
      </w:r>
    </w:p>
    <w:p>
      <w:pPr>
        <w:pStyle w:val="Heading1"/>
        <w:spacing w:after="120" w:before="0" w:line="264"/>
      </w:pPr>
      <w:r>
        <w:t xml:space="preserve">Executive At-A-Glance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Day-one trust depends on accurate flats, relationships, opening balances, deposits, active bookings, open tickets and essential documents.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Migration must use preview, validation, staging import, reconciliation and client sign-off before production cutover.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Historical data should be migrated only when it is useful, legally appropriate and clean enough to avoid production confusion.</w:t>
      </w:r>
    </w:p>
    <w:p>
      <w:pPr>
        <w:pStyle w:val="Heading1"/>
        <w:spacing w:after="120" w:before="0" w:line="264"/>
      </w:pPr>
      <w:r>
        <w:t xml:space="preserve">Reader Guide</w:t>
      </w:r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Data Migration Plan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Data migration, product, engineering, finance and client operations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Consulting-ready v0.2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STRICTLY CONFIDENTIAL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Design preset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Arial Narrow consulting report; black text; light-grey table and diagram system</w:t>
            </w:r>
          </w:p>
        </w:tc>
      </w:tr>
    </w:tbl>
    <w:p>
      <w:pPr>
        <w:pStyle w:val="Heading1"/>
        <w:spacing w:after="120" w:before="0" w:line="264"/>
      </w:pPr>
      <w:r>
        <w:t xml:space="preserve">Visual Navigation</w:t>
      </w:r>
    </w:p>
    <w:p>
      <w:pPr>
        <w:spacing w:after="60" w:before="100"/>
        <w:jc w:val="center"/>
      </w:pPr>
      <w:r>
        <w:drawing>
          <ns2:inline distT="0" distB="0" distL="0" distR="0">
            <ns2:extent cx="5810250" cy="2600325"/>
            <ns2:effectExtent t="0" r="0" b="0" l="0"/>
            <ns2:docPr id="1" name="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r:embed="rId9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810250" cy="260032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spacing w:after="180"/>
        <w:jc w:val="center"/>
      </w:pPr>
      <w:r>
        <w:rPr>
          <w:rFonts w:ascii="Arial Narrow" w:cs="Arial Narrow" w:eastAsia="Arial Narrow" w:hAnsi="Arial Narrow"/>
          <w:i/>
          <w:iCs/>
          <w:color w:val="5F6368"/>
          <w:sz w:val="18"/>
          <w:szCs w:val="18"/>
        </w:rPr>
        <w:t xml:space="preserve">Figure: Migration Workflow</w:t>
      </w:r>
    </w:p>
    <w:p>
      <w:r>
        <w:br w:type="page"/>
      </w:r>
    </w:p>
    <w:p>
      <w:bookmarkStart w:id="1" w:name="toc_sec_001"/>
      <w:pPr>
        <w:pStyle w:val="Heading1"/>
        <w:spacing w:after="120" w:before="0" w:line="264"/>
      </w:pPr>
      <w:r>
        <w:t xml:space="preserve">1. Executive Summary</w:t>
      </w:r>
      <w:bookmarkEnd w:id="1"/>
    </w:p>
    <w:p>
      <w:pPr>
        <w:spacing w:after="120" w:line="280"/>
      </w:pPr>
      <w:r>
        <w:t xml:space="preserve">Data migration will decide whether the platform feels trustworthy on day one. The first production migration should focus on correct active records: flats, owner/tenant relationships, user contacts, staff, account opening balances, current debts, deposits, active bookings, open service requests and essential documents.</w:t>
      </w:r>
    </w:p>
    <w:p>
      <w:pPr>
        <w:spacing w:after="120" w:line="280"/>
      </w:pPr>
      <w:r>
        <w:t xml:space="preserve">Historical data should be migrated only where it has business value and acceptable quality. Poor history should not be imported blindly into the production ledger or audit trail.</w:t>
      </w:r>
    </w:p>
    <w:p>
      <w:bookmarkStart w:id="2" w:name="toc_sec_002"/>
      <w:pPr>
        <w:pStyle w:val="Heading1"/>
        <w:spacing w:after="120" w:before="0" w:line="264"/>
      </w:pPr>
      <w:r>
        <w:t xml:space="preserve">2. Migration Workflow</w:t>
      </w:r>
      <w:bookmarkEnd w:id="2"/>
    </w:p>
    <w:p>
      <w:pPr>
        <w:spacing w:after="60" w:before="100"/>
        <w:jc w:val="center"/>
      </w:pPr>
      <w:r>
        <w:drawing>
          <ns2:inline distT="0" distB="0" distL="0" distR="0">
            <ns2:extent cx="5810250" cy="2600325"/>
            <ns2:effectExtent t="0" r="0" b="0" l="0"/>
            <ns2:docPr id="1" name="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r:embed="rId9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810250" cy="260032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spacing w:after="180"/>
        <w:jc w:val="center"/>
      </w:pPr>
      <w:r>
        <w:rPr>
          <w:rFonts w:ascii="Arial Narrow" w:cs="Arial Narrow" w:eastAsia="Arial Narrow" w:hAnsi="Arial Narrow"/>
          <w:i/>
          <w:iCs/>
          <w:color w:val="5F6368"/>
          <w:sz w:val="18"/>
          <w:szCs w:val="18"/>
        </w:rPr>
        <w:t xml:space="preserve">Figure: Migration Workflow</w:t>
      </w:r>
    </w:p>
    <w:p>
      <w:bookmarkStart w:id="3" w:name="toc_sec_003"/>
      <w:pPr>
        <w:pStyle w:val="Heading1"/>
        <w:spacing w:after="120" w:before="0" w:line="264"/>
      </w:pPr>
      <w:r>
        <w:t xml:space="preserve">3. Source Inventory</w:t>
      </w:r>
      <w:bookmarkEnd w:id="3"/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Expected Content</w:t>
            </w:r>
          </w:p>
        </w:tc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Migration Priority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Flat list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Site, block, floor, number, type, status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Owner list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Owner identity, contact, linked flats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Tenant list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Tenant identity, contact, occupancy dates, permissions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Staff list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Staff role, team, contact, employment status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Accounting export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Opening balances, debts, payments, deposits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Service history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Open requests, recent completed work, categories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High if available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Booking history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Active/future bookings, deposits, checkout status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High if available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Documents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Contracts, statements, identity files, rules, notices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High, with legal review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Communication history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Emails/SMS/chat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Optional unless required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Access list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Cards, access IDs, active/inactive status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Integration-dependent</w:t>
            </w:r>
          </w:p>
        </w:tc>
      </w:tr>
    </w:tbl>
    <w:p>
      <w:pPr>
        <w:spacing w:after="100"/>
      </w:pPr>
    </w:p>
    <w:p>
      <w:bookmarkStart w:id="4" w:name="toc_sec_004"/>
      <w:pPr>
        <w:pStyle w:val="Heading1"/>
        <w:spacing w:after="120" w:before="0" w:line="264"/>
      </w:pPr>
      <w:r>
        <w:t xml:space="preserve">4. Data Quality Rules</w:t>
      </w:r>
      <w:bookmarkEnd w:id="4"/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Data Area</w:t>
            </w:r>
          </w:p>
        </w:tc>
        <w:tc>
          <w:tcPr>
            <w:tcW w:type="dxa" w:w="468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Validation Rule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Flats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Block/floor/flat combination must be unique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Duplicate email/phone/identity candidates must be flagged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Owner/tenant must link to an existing flat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Occupancy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Dates must not overlap without approved reason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Finance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Opening balance must map to an account and source file row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Deposits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Deposit must link to booking/flat/user where possible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Documents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Document owner, type and visibility must be defined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Access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External card/access IDs must not be stored as user IDs</w:t>
            </w:r>
          </w:p>
        </w:tc>
      </w:tr>
    </w:tbl>
    <w:p>
      <w:pPr>
        <w:spacing w:after="100"/>
      </w:pPr>
    </w:p>
    <w:p>
      <w:bookmarkStart w:id="5" w:name="toc_sec_005"/>
      <w:pPr>
        <w:pStyle w:val="Heading1"/>
        <w:spacing w:after="120" w:before="0" w:line="264"/>
      </w:pPr>
      <w:r>
        <w:t xml:space="preserve">5. Reconciliation Reports</w:t>
      </w:r>
      <w:bookmarkEnd w:id="5"/>
    </w:p>
    <w:p>
      <w:pPr>
        <w:spacing w:after="120" w:line="280"/>
      </w:pPr>
      <w:r>
        <w:t xml:space="preserve">The migration cannot be accepted by file count alone. It needs reconciliation reports: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Total flats imported vs expected 769.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Flats by block/floor/status.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Owners imported and linked to flats.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Tenants imported and linked to flats.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Duplicate people candidates.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Accounts created.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Opening balances by account and total.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Debts by age bucket.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Deposits imported and linked.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Documents imported by type and visibility.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Open bookings and open tickets imported.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Rejected rows with clear reasons.</w:t>
      </w:r>
    </w:p>
    <w:p>
      <w:bookmarkStart w:id="6" w:name="toc_sec_006"/>
      <w:pPr>
        <w:pStyle w:val="Heading1"/>
        <w:spacing w:after="120" w:before="0" w:line="264"/>
      </w:pPr>
      <w:r>
        <w:t xml:space="preserve">6. Migration Cutover Plan</w:t>
      </w:r>
      <w:bookmarkEnd w:id="6"/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Freeze source spreadsheets/exports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Client operations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Run final validation import in staging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Data lead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Review reconciliation report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Client and finance lead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Approve production import window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Steering group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Backup production database before import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Engineering lead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Run production import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Data/engineering lead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Run smoke tests and reconciliation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QA/data lead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Client signs migration acceptance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Client owner</w:t>
            </w:r>
          </w:p>
        </w:tc>
      </w:tr>
    </w:tbl>
    <w:p>
      <w:pPr>
        <w:spacing w:after="100"/>
      </w:pPr>
    </w:p>
    <w:p>
      <w:bookmarkStart w:id="7" w:name="toc_sec_007"/>
      <w:pPr>
        <w:pStyle w:val="Heading1"/>
        <w:spacing w:after="120" w:before="0" w:line="264"/>
      </w:pPr>
      <w:r>
        <w:t xml:space="preserve">7. Migration Risks</w:t>
      </w:r>
      <w:bookmarkEnd w:id="7"/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Duplicate users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Candidate matching, manual merge queue, no silent overwrite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Wrong opening balances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Finance reconciliation and accountant sign-off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Missing flat relationships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Import preview errors and client correction file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Bad encoding/language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UTF-8 normalization and sample import review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Sensitive document overexposure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Default private visibility and permission mapping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Historical data inconsistency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Import active records first; migrate history only by approved scope</w:t>
            </w:r>
          </w:p>
        </w:tc>
      </w:tr>
    </w:tbl>
    <w:p>
      <w:pPr>
        <w:spacing w:after="100"/>
      </w:pPr>
    </w:p>
    <w:p>
      <w:bookmarkStart w:id="8" w:name="toc_sec_008"/>
      <w:pPr>
        <w:pStyle w:val="Heading1"/>
        <w:spacing w:after="120" w:before="0" w:line="264"/>
      </w:pPr>
      <w:r>
        <w:t xml:space="preserve">8. Acceptance Criteria</w:t>
      </w:r>
      <w:bookmarkEnd w:id="8"/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100% of expected flats imported or explained.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Owner/tenant/staff records have accepted duplicate handling.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Opening balances reconcile to approved source totals.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Import errors are visible and resolved or accepted.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Sensitive documents are not publicly accessible.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Migration report is stored with source file versions and sign-off.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rFonts w:ascii="Arial Narrow" w:cs="Arial Narrow" w:eastAsia="Arial Narrow" w:hAnsi="Arial Narrow"/>
        <w:color w:val="5F6368"/>
        <w:sz w:val="16"/>
        <w:szCs w:val="16"/>
      </w:rPr>
      <w:t xml:space="preserve">1Cati requirements package | WAMOCON GmbH | Internal planning artifact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1"/>
      </w:pBdr>
      <w:spacing w:after="120"/>
    </w:pPr>
    <w:r>
      <w:rPr>
        <w:rFonts w:ascii="Arial Narrow" w:cs="Arial Narrow" w:eastAsia="Arial Narrow" w:hAnsi="Arial Narrow"/>
        <w:b/>
        <w:bCs/>
        <w:color w:val="5F6368"/>
        <w:sz w:val="18"/>
        <w:szCs w:val="18"/>
      </w:rPr>
      <w:t xml:space="preserve">Data Migration Plan</w:t>
    </w:r>
    <w:r>
      <w:rPr>
        <w:rFonts w:ascii="Arial Narrow" w:cs="Arial Narrow" w:eastAsia="Arial Narrow" w:hAnsi="Arial Narrow"/>
        <w:color w:val="5F6368"/>
        <w:sz w:val="18"/>
        <w:szCs w:val="18"/>
      </w:rPr>
      <w:t xml:space="preserve"> | STRICTLY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 w:line="280"/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line="2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color w:val="111111"/>
        <w:sz w:val="22"/>
        <w:szCs w:val="22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40404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 w:line="320"/>
      <w:outlineLvl w:val="0"/>
    </w:pPr>
    <w:rPr>
      <w:rFonts w:ascii="Arial Narrow" w:cs="Arial Narrow" w:eastAsia="Arial Narrow" w:hAnsi="Arial Narrow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00"/>
      <w:outlineLvl w:val="1"/>
    </w:pPr>
    <w:rPr>
      <w:rFonts w:ascii="Arial Narrow" w:cs="Arial Narrow" w:eastAsia="Arial Narrow" w:hAnsi="Arial Narrow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 w:line="280"/>
      <w:outlineLvl w:val="2"/>
    </w:pPr>
    <w:rPr>
      <w:rFonts w:ascii="Arial Narrow" w:cs="Arial Narrow" w:eastAsia="Arial Narrow" w:hAnsi="Arial Narrow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1e9b863065cad92b3302a9ddcf4481f5079f64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Migration Plan: AI-Powered Residential Site Management CRM</dc:title>
  <dc:creator>1Cati / Product and Engineering</dc:creator>
  <dc:description>Source inventory, data quality rules, import workflow, reconciliation and cutover plan</dc:description>
  <cp:lastModifiedBy>Un-named</cp:lastModifiedBy>
  <cp:revision>1</cp:revision>
  <dcterms:created xsi:type="dcterms:W3CDTF">2026-06-25T08:48:46.619Z</dcterms:created>
  <dcterms:modified xsi:type="dcterms:W3CDTF">2026-06-25T08:48:46.619Z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