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 ns1:Ignorable="w14 w15 wp14">
  <w:body>
    <w:p>
      <w:pPr>
        <w:spacing w:after="620"/>
        <w:jc w:val="right"/>
      </w:pPr>
      <w:r>
        <w:rPr>
          <w:rFonts w:ascii="Arial Narrow" w:cs="Arial Narrow" w:eastAsia="Arial Narrow" w:hAnsi="Arial Narrow"/>
          <w:b/>
          <w:bCs/>
          <w:color w:val="000000"/>
          <w:sz w:val="18"/>
          <w:szCs w:val="18"/>
        </w:rPr>
        <w:t xml:space="preserve">STRICTLY CONFIDENTIAL</w:t>
      </w:r>
    </w:p>
    <w:p>
      <w:pPr>
        <w:spacing w:after="80"/>
      </w:pPr>
      <w:r>
        <w:rPr>
          <w:rFonts w:ascii="Arial Narrow" w:cs="Arial Narrow" w:eastAsia="Arial Narrow" w:hAnsi="Arial Narrow"/>
          <w:b/>
          <w:bCs/>
          <w:color w:val="000000"/>
          <w:sz w:val="20"/>
          <w:szCs w:val="20"/>
        </w:rPr>
        <w:t xml:space="preserve">IMPLEMENTATION DELIVERY PLAN</w:t>
      </w:r>
    </w:p>
    <w:p>
      <w:pPr>
        <w:spacing w:after="140" w:line="540"/>
      </w:pPr>
      <w:r>
        <w:rPr>
          <w:rFonts w:ascii="Arial Narrow" w:cs="Arial Narrow" w:eastAsia="Arial Narrow" w:hAnsi="Arial Narrow"/>
          <w:b/>
          <w:bCs/>
          <w:color w:val="000000"/>
          <w:sz w:val="42"/>
          <w:szCs w:val="42"/>
        </w:rPr>
        <w:t xml:space="preserve">AI-Powered Residential Site Management CRM</w:t>
      </w:r>
    </w:p>
    <w:p>
      <w:pPr>
        <w:spacing w:after="360" w:line="340"/>
      </w:pPr>
      <w:r>
        <w:rPr>
          <w:rFonts w:ascii="Arial Narrow" w:cs="Arial Narrow" w:eastAsia="Arial Narrow" w:hAnsi="Arial Narrow"/>
          <w:color w:val="222222"/>
          <w:sz w:val="25"/>
          <w:szCs w:val="25"/>
        </w:rPr>
        <w:t xml:space="preserve">Phased delivery model, governance cadence, workstreams, decision gates and handover plan</w:t>
      </w:r>
    </w:p>
    <w:p>
      <w:pPr>
        <w:shd w:fill="F2F2F2"/>
        <w:spacing w:after="80" w:before="0" w:line="260"/>
      </w:pPr>
      <w:r>
        <w:rPr>
          <w:rFonts w:ascii="Arial Narrow" w:cs="Arial Narrow" w:eastAsia="Arial Narrow" w:hAnsi="Arial Narrow"/>
          <w:color w:val="111111"/>
          <w:sz w:val="20"/>
          <w:szCs w:val="20"/>
        </w:rPr>
        <w:t xml:space="preserve">  </w:t>
      </w:r>
      <w:r>
        <w:rPr>
          <w:rFonts w:ascii="Arial Narrow" w:cs="Arial Narrow" w:eastAsia="Arial Narrow" w:hAnsi="Arial Narrow"/>
          <w:b/>
          <w:bCs/>
          <w:color w:val="222222"/>
          <w:sz w:val="20"/>
          <w:szCs w:val="20"/>
        </w:rPr>
        <w:t xml:space="preserve">Phased execution</w:t>
      </w:r>
    </w:p>
    <w:p>
      <w:pPr>
        <w:shd w:fill="F2F2F2"/>
        <w:spacing w:after="80" w:before="0" w:line="260"/>
      </w:pPr>
      <w:r>
        <w:rPr>
          <w:rFonts w:ascii="Arial Narrow" w:cs="Arial Narrow" w:eastAsia="Arial Narrow" w:hAnsi="Arial Narrow"/>
          <w:color w:val="111111"/>
          <w:sz w:val="20"/>
          <w:szCs w:val="20"/>
        </w:rPr>
        <w:t xml:space="preserve">  </w:t>
      </w:r>
      <w:r>
        <w:rPr>
          <w:rFonts w:ascii="Arial Narrow" w:cs="Arial Narrow" w:eastAsia="Arial Narrow" w:hAnsi="Arial Narrow"/>
          <w:b/>
          <w:bCs/>
          <w:color w:val="222222"/>
          <w:sz w:val="20"/>
          <w:szCs w:val="20"/>
        </w:rPr>
        <w:t xml:space="preserve">Governance</w:t>
      </w:r>
    </w:p>
    <w:p>
      <w:pPr>
        <w:shd w:fill="F2F2F2"/>
        <w:spacing w:after="80" w:before="0" w:line="260"/>
      </w:pPr>
      <w:r>
        <w:rPr>
          <w:rFonts w:ascii="Arial Narrow" w:cs="Arial Narrow" w:eastAsia="Arial Narrow" w:hAnsi="Arial Narrow"/>
          <w:color w:val="111111"/>
          <w:sz w:val="20"/>
          <w:szCs w:val="20"/>
        </w:rPr>
        <w:t xml:space="preserve">  </w:t>
      </w:r>
      <w:r>
        <w:rPr>
          <w:rFonts w:ascii="Arial Narrow" w:cs="Arial Narrow" w:eastAsia="Arial Narrow" w:hAnsi="Arial Narrow"/>
          <w:b/>
          <w:bCs/>
          <w:color w:val="222222"/>
          <w:sz w:val="20"/>
          <w:szCs w:val="20"/>
        </w:rPr>
        <w:t xml:space="preserve">Launch handover</w:t>
      </w:r>
    </w:p>
    <w:p>
      <w:pPr>
        <w:spacing w:after="60" w:before="28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Prepared for: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Ataberk Estate digital transformation planning</w:t>
      </w:r>
    </w:p>
    <w:p>
      <w:pPr>
        <w:spacing w:after="6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Prepared by: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1Cati / Product and Engineering</w:t>
      </w:r>
    </w:p>
    <w:p>
      <w:pPr>
        <w:spacing w:after="6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Design refresh: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25 June 2026</w:t>
      </w:r>
    </w:p>
    <w:p>
      <w:pPr>
        <w:spacing w:after="62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Status: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Consulting-ready v0.2</w:t>
      </w:r>
    </w:p>
    <w:p>
      <w:r>
        <w:br w:type="page"/>
      </w:r>
    </w:p>
    <w:p>
      <w:pPr>
        <w:pStyle w:val="Heading1"/>
        <w:spacing w:before="0" w:after="180" w:line="320" w:lineRule="auto"/>
      </w:pPr>
      <w:r>
        <w:rPr>
          <w:rFonts w:ascii="Arial Narrow" w:hAnsi="Arial Narrow"/>
          <w:color w:val="111111"/>
        </w:rPr>
        <w:t>Table of Contents</w:t>
      </w:r>
    </w:p>
    <w:p>
      <w:pPr>
        <w:spacing w:after="180" w:line="260" w:lineRule="auto"/>
      </w:pPr>
      <w:r>
        <w:rPr>
          <w:rFonts w:ascii="Arial Narrow" w:hAnsi="Arial Narrow"/>
          <w:color w:val="111111"/>
        </w:rPr>
        <w:t>Executive review map generated from the main document structure.</w:t>
      </w:r>
    </w:p>
    <w:p>
      <w:pPr>
        <w:spacing w:after="45" w:line="240" w:lineRule="auto"/>
        <w:ind w:left="0"/>
      </w:pPr>
      <w:hyperlink w:anchor="toc_sec_001">
        <w:r>
          <w:rPr>
            <w:rFonts w:ascii="Arial Narrow" w:hAnsi="Arial Narrow"/>
            <w:color w:val="111111"/>
          </w:rPr>
          <w:t>1. Executive Summary</w:t>
        </w:r>
      </w:hyperlink>
    </w:p>
    <w:p>
      <w:pPr>
        <w:spacing w:after="45" w:line="240" w:lineRule="auto"/>
        <w:ind w:left="0"/>
      </w:pPr>
      <w:hyperlink w:anchor="toc_sec_002">
        <w:r>
          <w:rPr>
            <w:rFonts w:ascii="Arial Narrow" w:hAnsi="Arial Narrow"/>
            <w:color w:val="111111"/>
          </w:rPr>
          <w:t>2. Delivery Principles</w:t>
        </w:r>
      </w:hyperlink>
    </w:p>
    <w:p>
      <w:pPr>
        <w:spacing w:after="45" w:line="240" w:lineRule="auto"/>
        <w:ind w:left="0"/>
      </w:pPr>
      <w:hyperlink w:anchor="toc_sec_003">
        <w:r>
          <w:rPr>
            <w:rFonts w:ascii="Arial Narrow" w:hAnsi="Arial Narrow"/>
            <w:color w:val="111111"/>
          </w:rPr>
          <w:t>3. Delivery Workflow</w:t>
        </w:r>
      </w:hyperlink>
    </w:p>
    <w:p>
      <w:pPr>
        <w:spacing w:after="45" w:line="240" w:lineRule="auto"/>
        <w:ind w:left="0"/>
      </w:pPr>
      <w:hyperlink w:anchor="toc_sec_004">
        <w:r>
          <w:rPr>
            <w:rFonts w:ascii="Arial Narrow" w:hAnsi="Arial Narrow"/>
            <w:color w:val="111111"/>
          </w:rPr>
          <w:t>4. Phase Plan</w:t>
        </w:r>
      </w:hyperlink>
    </w:p>
    <w:p>
      <w:pPr>
        <w:spacing w:after="45" w:line="240" w:lineRule="auto"/>
        <w:ind w:left="0"/>
      </w:pPr>
      <w:hyperlink w:anchor="toc_sec_005">
        <w:r>
          <w:rPr>
            <w:rFonts w:ascii="Arial Narrow" w:hAnsi="Arial Narrow"/>
            <w:color w:val="111111"/>
          </w:rPr>
          <w:t>5. Workstreams</w:t>
        </w:r>
      </w:hyperlink>
    </w:p>
    <w:p>
      <w:pPr>
        <w:spacing w:after="45" w:line="240" w:lineRule="auto"/>
        <w:ind w:left="0"/>
      </w:pPr>
      <w:hyperlink w:anchor="toc_sec_006">
        <w:r>
          <w:rPr>
            <w:rFonts w:ascii="Arial Narrow" w:hAnsi="Arial Narrow"/>
            <w:color w:val="111111"/>
          </w:rPr>
          <w:t>6. Governance Cadence</w:t>
        </w:r>
      </w:hyperlink>
    </w:p>
    <w:p>
      <w:pPr>
        <w:spacing w:after="45" w:line="240" w:lineRule="auto"/>
        <w:ind w:left="0"/>
      </w:pPr>
      <w:hyperlink w:anchor="toc_sec_007">
        <w:r>
          <w:rPr>
            <w:rFonts w:ascii="Arial Narrow" w:hAnsi="Arial Narrow"/>
            <w:color w:val="111111"/>
          </w:rPr>
          <w:t>7. Decision Log</w:t>
        </w:r>
      </w:hyperlink>
    </w:p>
    <w:p>
      <w:pPr>
        <w:spacing w:after="45" w:line="240" w:lineRule="auto"/>
        <w:ind w:left="0"/>
      </w:pPr>
      <w:hyperlink w:anchor="toc_sec_008">
        <w:r>
          <w:rPr>
            <w:rFonts w:ascii="Arial Narrow" w:hAnsi="Arial Narrow"/>
            <w:color w:val="111111"/>
          </w:rPr>
          <w:t>8. Delivery Risks And Mitigations</w:t>
        </w:r>
      </w:hyperlink>
    </w:p>
    <w:p>
      <w:pPr>
        <w:spacing w:after="45" w:line="240" w:lineRule="auto"/>
        <w:ind w:left="0"/>
      </w:pPr>
      <w:hyperlink w:anchor="toc_sec_009">
        <w:r>
          <w:rPr>
            <w:rFonts w:ascii="Arial Narrow" w:hAnsi="Arial Narrow"/>
            <w:color w:val="111111"/>
          </w:rPr>
          <w:t>9. Delivery Definition Of Done</w:t>
        </w:r>
      </w:hyperlink>
    </w:p>
    <w:p>
      <w:pPr>
        <w:spacing w:after="45" w:line="240" w:lineRule="auto"/>
        <w:ind w:left="0"/>
      </w:pPr>
      <w:hyperlink w:anchor="toc_sec_010">
        <w:r>
          <w:rPr>
            <w:rFonts w:ascii="Arial Narrow" w:hAnsi="Arial Narrow"/>
            <w:color w:val="111111"/>
          </w:rPr>
          <w:t>10. Handover Package</w:t>
        </w:r>
      </w:hyperlink>
    </w:p>
    <w:p>
      <w:pPr/>
      <w:r>
        <w:br w:type="page"/>
      </w:r>
    </w:p>
    <w:p>
      <w:pPr>
        <w:pStyle w:val="Heading1"/>
        <w:spacing w:after="120" w:before="0" w:line="264"/>
      </w:pPr>
      <w:r>
        <w:t xml:space="preserve">Executive At-A-Glance</w:t>
      </w:r>
    </w:p>
    <w:p>
      <w:pPr>
        <w:pStyle w:val="ListParagraph"/>
        <w:numPr>
          <w:ilvl w:val="0"/>
          <w:numId w:val="2"/>
        </w:numPr>
        <w:spacing w:after="120" w:line="280"/>
      </w:pPr>
      <w:r>
        <w:t xml:space="preserve">Delivery should proceed through controlled phases because finance, restrictions, services, bookings, access and audit are tightly connected.</w:t>
      </w:r>
    </w:p>
    <w:p>
      <w:pPr>
        <w:pStyle w:val="ListParagraph"/>
        <w:numPr>
          <w:ilvl w:val="0"/>
          <w:numId w:val="2"/>
        </w:numPr>
        <w:spacing w:after="120" w:line="280"/>
      </w:pPr>
      <w:r>
        <w:t xml:space="preserve">Each phase should produce a usable business capability with evidence, not only static screens or isolated backend tables.</w:t>
      </w:r>
    </w:p>
    <w:p>
      <w:pPr>
        <w:pStyle w:val="ListParagraph"/>
        <w:numPr>
          <w:ilvl w:val="0"/>
          <w:numId w:val="2"/>
        </w:numPr>
        <w:spacing w:after="120" w:line="280"/>
      </w:pPr>
      <w:r>
        <w:t xml:space="preserve">The delivery model includes governance cadence, decision log, workstream ownership, risks and launch handover assets.</w:t>
      </w:r>
    </w:p>
    <w:p>
      <w:pPr>
        <w:pStyle w:val="Heading1"/>
        <w:spacing w:after="120" w:before="0" w:line="264"/>
      </w:pPr>
      <w:r>
        <w:t xml:space="preserve">Reader Guide</w:t>
      </w:r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</w:tblGrid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Implementation Delivery Plan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Primary audience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Delivery leadership, product, engineering, client operations and steering group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Status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Consulting-ready v0.2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STRICTLY CONFIDENTIAL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Design preset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Arial Narrow consulting report; black text; light-grey table and diagram system</w:t>
            </w:r>
          </w:p>
        </w:tc>
      </w:tr>
    </w:tbl>
    <w:p>
      <w:pPr>
        <w:pStyle w:val="Heading1"/>
        <w:spacing w:after="120" w:before="0" w:line="264"/>
      </w:pPr>
      <w:r>
        <w:t xml:space="preserve">Visual Navigation</w:t>
      </w:r>
    </w:p>
    <w:p>
      <w:pPr>
        <w:spacing w:after="60" w:before="100"/>
        <w:jc w:val="center"/>
      </w:pPr>
      <w:r>
        <w:drawing>
          <ns2:inline distT="0" distB="0" distL="0" distR="0">
            <ns2:extent cx="5810250" cy="2600325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9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260032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Delivery Workflow</w:t>
      </w:r>
    </w:p>
    <w:p>
      <w:r>
        <w:br w:type="page"/>
      </w:r>
    </w:p>
    <w:p>
      <w:bookmarkStart w:id="1" w:name="toc_sec_001"/>
      <w:pPr>
        <w:pStyle w:val="Heading1"/>
        <w:spacing w:after="120" w:before="0" w:line="264"/>
      </w:pPr>
      <w:r>
        <w:t xml:space="preserve">1. Executive Summary</w:t>
      </w:r>
      <w:bookmarkEnd w:id="1"/>
    </w:p>
    <w:p>
      <w:pPr>
        <w:spacing w:after="120" w:line="280"/>
      </w:pPr>
      <w:r>
        <w:t xml:space="preserve">This plan converts the requirements package into a practical delivery model. The product should be delivered in controlled phases because the domains are highly connected: user relationships affect finance, finance affects restrictions, restrictions affect services and bookings, bookings affect deposits and access, and all sensitive actions must be auditable.</w:t>
      </w:r>
    </w:p>
    <w:p>
      <w:pPr>
        <w:spacing w:after="120" w:line="280"/>
      </w:pPr>
      <w:r>
        <w:t xml:space="preserve">The recommended delivery approach is a phased modular monolith. Each phase should produce a usable business capability, not only backend tables or static screens. The first client-facing milestone should be a realistic demo that proves the operating model. Production work should then move through foundation, finance, services, bookings, communication, integrations, AI, QA and launch.</w:t>
      </w:r>
    </w:p>
    <w:p>
      <w:bookmarkStart w:id="2" w:name="toc_sec_002"/>
      <w:pPr>
        <w:pStyle w:val="Heading1"/>
        <w:spacing w:after="120" w:before="0" w:line="264"/>
      </w:pPr>
      <w:r>
        <w:t xml:space="preserve">2. Delivery Principles</w:t>
      </w:r>
      <w:bookmarkEnd w:id="2"/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Deliver business workflows, not isolated pages.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Make finance and audit foundations early.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Keep PWA mobile workflows in scope from the first usable release.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Gate sensitive domains with legal/accounting review.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Build integrations through adapters and test mode first.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Treat data migration as a workstream, not a final task.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Keep AI behind source links, role checks and human approval.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Use UAT evidence before each major phase is accepted.</w:t>
      </w:r>
    </w:p>
    <w:p>
      <w:bookmarkStart w:id="3" w:name="toc_sec_003"/>
      <w:pPr>
        <w:pStyle w:val="Heading1"/>
        <w:spacing w:after="120" w:before="0" w:line="264"/>
      </w:pPr>
      <w:r>
        <w:t xml:space="preserve">3. Delivery Workflow</w:t>
      </w:r>
      <w:bookmarkEnd w:id="3"/>
    </w:p>
    <w:p>
      <w:pPr>
        <w:spacing w:after="60" w:before="100"/>
        <w:jc w:val="center"/>
      </w:pPr>
      <w:r>
        <w:drawing>
          <ns2:inline distT="0" distB="0" distL="0" distR="0">
            <ns2:extent cx="5810250" cy="2600325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9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260032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Delivery Workflow</w:t>
      </w:r>
    </w:p>
    <w:p>
      <w:bookmarkStart w:id="4" w:name="toc_sec_004"/>
      <w:pPr>
        <w:pStyle w:val="Heading1"/>
        <w:spacing w:after="120" w:before="0" w:line="264"/>
      </w:pPr>
      <w:r>
        <w:t xml:space="preserve">4. Phase Plan</w:t>
      </w:r>
      <w:bookmarkEnd w:id="4"/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Business Outcome</w:t>
            </w:r>
          </w:p>
        </w:tc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Key Deliverables</w:t>
            </w:r>
          </w:p>
        </w:tc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Acceptance Gate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1. Discovery and lock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Shared decision baseline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Final questions, data inventory, legal assumptions, integration inventory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Scope and assumptions signed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2. UX and navigation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Role journeys are clear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Design system, route map, mobile PWA patterns, clickable workflows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Manager/resident/staff/accountant journeys approved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3. Platform foundation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Secure access foundation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Auth, RBAC, RLS, audit log, protected route shell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Unauthorized access blocked and logged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4. Site data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769-flat model is usable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Site/block/floor/flat schema, import preview, flat matrix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769 flats load and filter correctly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5. People and roles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Owners, tenants and staff are mapped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Profiles, relationships, staff groups, identity status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Users link to flats with correct permissions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6. Ledger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Finance has a reliable base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Accounts, journal entries, balances, reversals, statements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Balances reconcile to ledger lines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7. Payments and restrictions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Debt affects operations safely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Payment intents, deposits, reconciliation, restriction engine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Restrictions enforced by backend rules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8. Services and tickets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Requests become managed work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Catalogue, service order, ticket creation, SLA, assignment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Accepted service always creates trackable task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9. Staff execution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Field work is visible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Staff PWA, media upload, completion report, tour control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Staff completes task from mobile with proof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10. Booking and checkout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Move-in/out is controlled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Availability, booking, deposit, inspection, settlement, access actions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Mandatory booking/check-in/checkout scenario passes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11. Communication/docs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Official communication is centralized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Chat, announcements, notifications, document vault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Messages and documents respect permissions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12. PWA hardening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Mobile usage is production-ready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Manifest, mobile navigation, performance optimization, push plan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Mobile E2E workflows pass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13. Integrations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External systems are connected safely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Payment/bank/SMS/access adapters, retry queue, health dashboard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No silent integration failure path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14. AI and analytics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Management workload is reduced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briefing, recommendations, source links, evaluation set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cannot execute restricted actions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15. Launch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Users can adopt safely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UAT, training, runbook, monitoring, hypercare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Go-live checklist accepted</w:t>
            </w:r>
          </w:p>
        </w:tc>
      </w:tr>
    </w:tbl>
    <w:p>
      <w:pPr>
        <w:spacing w:after="100"/>
      </w:pPr>
    </w:p>
    <w:p>
      <w:bookmarkStart w:id="5" w:name="toc_sec_005"/>
      <w:pPr>
        <w:pStyle w:val="Heading1"/>
        <w:spacing w:after="120" w:before="0" w:line="264"/>
      </w:pPr>
      <w:r>
        <w:t xml:space="preserve">5. Workstreams</w:t>
      </w:r>
      <w:bookmarkEnd w:id="5"/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Workstream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Main Responsibility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Product and scope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Product lead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Scope lock, acceptance criteria, roadmap decisions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UX and content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Design lead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Role journeys, Turkish-first UX, resident/staff simplicity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Engineering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Engineering lead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Architecture, implementation, code quality, technical gates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Data and migration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Data lead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Source inventory, import validation, reconciliation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Finance domain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Finance analyst / accountant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Ledger rules, deposits, statements, reconciliation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Security and compliance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Security/compliance lead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RBAC/RLS, KVKK, ASVS, audit, retention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QA and UAT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QA lead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Test strategy, UAT scripts, release evidence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Client operations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Client owner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Business rules, staff processes, training attendance</w:t>
            </w:r>
          </w:p>
        </w:tc>
      </w:tr>
    </w:tbl>
    <w:p>
      <w:pPr>
        <w:spacing w:after="100"/>
      </w:pPr>
    </w:p>
    <w:p>
      <w:bookmarkStart w:id="6" w:name="toc_sec_006"/>
      <w:pPr>
        <w:pStyle w:val="Heading1"/>
        <w:spacing w:after="120" w:before="0" w:line="264"/>
      </w:pPr>
      <w:r>
        <w:t xml:space="preserve">6. Governance Cadence</w:t>
      </w:r>
      <w:bookmarkEnd w:id="6"/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Weekly delivery steering: scope, risks, decisions, timeline.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Twice-weekly product/engineering working session during build phases.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Weekly data migration checkpoint once source files are available.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Security/compliance review before finance, access and document features go live.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UAT readiness review before each major release candidate.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Daily launch standup during final go-live week and first hypercare week.</w:t>
      </w:r>
    </w:p>
    <w:p>
      <w:bookmarkStart w:id="7" w:name="toc_sec_007"/>
      <w:pPr>
        <w:pStyle w:val="Heading1"/>
        <w:spacing w:after="120" w:before="0" w:line="264"/>
      </w:pPr>
      <w:r>
        <w:t xml:space="preserve">7. Decision Log</w:t>
      </w:r>
      <w:bookmarkEnd w:id="7"/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Decision Area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Required Decision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Recommended Default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Mobile launch scope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Native app or PWA-first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PWA-first, native wrapper later only if approved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Payment launch scope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Online provider or manual/bank first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Provider adapter if vendor confirmed; manual/bank fallback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Access restriction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Legal and operational boundaries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Human-approved access action queue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autonomy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What AI can execute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Recommendation only for sensitive actions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Hosting and data residency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Supabase/Vercel region choice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Confirm with client/legal before production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Data migration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Historical depth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Opening balances plus active users/flats first; history by priority</w:t>
            </w:r>
          </w:p>
        </w:tc>
      </w:tr>
    </w:tbl>
    <w:p>
      <w:pPr>
        <w:spacing w:after="100"/>
      </w:pPr>
    </w:p>
    <w:p>
      <w:bookmarkStart w:id="8" w:name="toc_sec_008"/>
      <w:pPr>
        <w:pStyle w:val="Heading1"/>
        <w:spacing w:after="120" w:before="0" w:line="264"/>
      </w:pPr>
      <w:r>
        <w:t xml:space="preserve">8. Delivery Risks And Mitigations</w:t>
      </w:r>
      <w:bookmarkEnd w:id="8"/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Data quality is poor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Setup delay and trust issues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Import preview, error report, reconciliation sign-off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Finance rules are unclear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Wrong balances or disputes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Accountant workshops and ledger acceptance tests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Access blocking creates legal risk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Operational and legal escalation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Legal review, human approval and manual fallback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Integration vendor is not ready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Delay to payments/access/meter features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Adapter pattern and manual/import fallback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Native app expectation returns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Scope and budget expansion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Written PWA-first decision and optional later phase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overreach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Unsafe recommendations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Guardrails, source links, evaluation and approval queue</w:t>
            </w:r>
          </w:p>
        </w:tc>
      </w:tr>
    </w:tbl>
    <w:p>
      <w:pPr>
        <w:spacing w:after="100"/>
      </w:pPr>
    </w:p>
    <w:p>
      <w:bookmarkStart w:id="9" w:name="toc_sec_009"/>
      <w:pPr>
        <w:pStyle w:val="Heading1"/>
        <w:spacing w:after="120" w:before="0" w:line="264"/>
      </w:pPr>
      <w:r>
        <w:t xml:space="preserve">9. Delivery Definition Of Done</w:t>
      </w:r>
      <w:bookmarkEnd w:id="9"/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Feature is connected to the relevant domain data, not mocked in production.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Role permissions are enforced server-side.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Sensitive writes create audit logs.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Acceptance criteria have test evidence.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Mobile behavior is checked for resident/staff workflows.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Turkish copy is reviewed for clarity and tone.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Documentation and training notes are updated.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Open risks are documented with an owner.</w:t>
      </w:r>
    </w:p>
    <w:p>
      <w:bookmarkStart w:id="10" w:name="toc_sec_010"/>
      <w:pPr>
        <w:pStyle w:val="Heading1"/>
        <w:spacing w:after="120" w:before="0" w:line="264"/>
      </w:pPr>
      <w:r>
        <w:t xml:space="preserve">10. Handover Package</w:t>
      </w:r>
      <w:bookmarkEnd w:id="10"/>
    </w:p>
    <w:p>
      <w:pPr>
        <w:spacing w:after="120" w:line="280"/>
      </w:pPr>
      <w:r>
        <w:t xml:space="preserve">The final launch handover should include: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Production architecture summary.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Environment and deployment notes.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Admin and support playbook.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Data migration report.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UAT evidence.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Security/compliance checklist.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Backup/restore procedure.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Role-based training material.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Post-launch adoption report template.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Arial Narrow" w:cs="Arial Narrow" w:eastAsia="Arial Narrow" w:hAnsi="Arial Narrow"/>
        <w:color w:val="5F6368"/>
        <w:sz w:val="16"/>
        <w:szCs w:val="16"/>
      </w:rPr>
      <w:t xml:space="preserve">1Cati requirements package | WAMOCON GmbH | Internal planning artifact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1"/>
      </w:pBdr>
      <w:spacing w:after="120"/>
    </w:pPr>
    <w:r>
      <w:rPr>
        <w:rFonts w:ascii="Arial Narrow" w:cs="Arial Narrow" w:eastAsia="Arial Narrow" w:hAnsi="Arial Narrow"/>
        <w:b/>
        <w:bCs/>
        <w:color w:val="5F6368"/>
        <w:sz w:val="18"/>
        <w:szCs w:val="18"/>
      </w:rPr>
      <w:t xml:space="preserve">Implementation Delivery Plan</w:t>
    </w:r>
    <w:r>
      <w:rPr>
        <w:rFonts w:ascii="Arial Narrow" w:cs="Arial Narrow" w:eastAsia="Arial Narrow" w:hAnsi="Arial Narrow"/>
        <w:color w:val="5F6368"/>
        <w:sz w:val="18"/>
        <w:szCs w:val="18"/>
      </w:rPr>
      <w:t xml:space="preserve"> | STRICTLY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280"/>
        <w:ind w:left="72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80" w:line="28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color w:val="111111"/>
        <w:sz w:val="22"/>
        <w:szCs w:val="22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40404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40404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 w:line="320"/>
      <w:outlineLvl w:val="0"/>
    </w:pPr>
    <w:rPr>
      <w:rFonts w:ascii="Arial Narrow" w:cs="Arial Narrow" w:eastAsia="Arial Narrow" w:hAnsi="Arial Narrow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00"/>
      <w:outlineLvl w:val="1"/>
    </w:pPr>
    <w:rPr>
      <w:rFonts w:ascii="Arial Narrow" w:cs="Arial Narrow" w:eastAsia="Arial Narrow" w:hAnsi="Arial Narrow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 w:line="280"/>
      <w:outlineLvl w:val="2"/>
    </w:pPr>
    <w:rPr>
      <w:rFonts w:ascii="Arial Narrow" w:cs="Arial Narrow" w:eastAsia="Arial Narrow" w:hAnsi="Arial Narrow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00d8b013a9fa88bc8530843a0ab7777dc199a4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 Delivery Plan: AI-Powered Residential Site Management CRM</dc:title>
  <dc:creator>1Cati / Product and Engineering</dc:creator>
  <dc:description>Phased delivery model, governance cadence, workstreams, decision gates and handover plan</dc:description>
  <cp:lastModifiedBy>Un-named</cp:lastModifiedBy>
  <cp:revision>1</cp:revision>
  <dcterms:created xsi:type="dcterms:W3CDTF">2026-06-25T08:48:46.302Z</dcterms:created>
  <dcterms:modified xsi:type="dcterms:W3CDTF">2026-06-25T08:48:46.302Z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