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15 wp14">
  <w:body>
    <w:p>
      <w:pPr>
        <w:spacing w:after="620"/>
        <w:jc w:val="right"/>
      </w:pPr>
      <w:r>
        <w:rPr>
          <w:rFonts w:ascii="Arial Narrow" w:cs="Arial Narrow" w:eastAsia="Arial Narrow" w:hAnsi="Arial Narrow"/>
          <w:b/>
          <w:bCs/>
          <w:color w:val="000000"/>
          <w:sz w:val="18"/>
          <w:szCs w:val="18"/>
        </w:rPr>
        <w:t xml:space="preserve">STRICTLY CONFIDENTIAL</w:t>
      </w:r>
    </w:p>
    <w:p>
      <w:pPr>
        <w:spacing w:after="80"/>
      </w:pP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MARKET RESEARCH ANNEX</w:t>
      </w:r>
    </w:p>
    <w:p>
      <w:pPr>
        <w:spacing w:after="140" w:line="540"/>
      </w:pPr>
      <w:r>
        <w:rPr>
          <w:rFonts w:ascii="Arial Narrow" w:cs="Arial Narrow" w:eastAsia="Arial Narrow" w:hAnsi="Arial Narrow"/>
          <w:b/>
          <w:bCs/>
          <w:color w:val="000000"/>
          <w:sz w:val="42"/>
          <w:szCs w:val="42"/>
        </w:rPr>
        <w:t xml:space="preserve">AI-Powered Residential Site Management CRM</w:t>
      </w:r>
    </w:p>
    <w:p>
      <w:pPr>
        <w:spacing w:after="360" w:line="340"/>
      </w:pPr>
      <w:r>
        <w:rPr>
          <w:rFonts w:ascii="Arial Narrow" w:cs="Arial Narrow" w:eastAsia="Arial Narrow" w:hAnsi="Arial Narrow"/>
          <w:color w:val="222222"/>
          <w:sz w:val="25"/>
          <w:szCs w:val="25"/>
        </w:rPr>
        <w:t xml:space="preserve">Benchmark summary, market signals, phase implications and differentiation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Market baseline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Competitive gaps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Turkish adaptation</w:t>
      </w:r>
    </w:p>
    <w:p>
      <w:pPr>
        <w:spacing w:after="60" w:before="28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for: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Ataberk Estate digital transformation planning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by: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1Cati / Product and Engineering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Design refresh: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25 June 2026</w:t>
      </w:r>
    </w:p>
    <w:p>
      <w:pPr>
        <w:spacing w:after="62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Status: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Consulting-ready v0.2</w:t>
      </w:r>
    </w:p>
    <w:p>
      <w:r>
        <w:br w:type="page"/>
      </w:r>
    </w:p>
    <w:p>
      <w:pPr>
        <w:pStyle w:val="Heading1"/>
        <w:spacing w:before="0" w:after="180" w:line="320" w:lineRule="auto"/>
      </w:pPr>
      <w:r>
        <w:rPr>
          <w:rFonts w:ascii="Arial Narrow" w:hAnsi="Arial Narrow"/>
          <w:color w:val="111111"/>
        </w:rPr>
        <w:t>Table of Contents</w:t>
      </w:r>
    </w:p>
    <w:p>
      <w:pPr>
        <w:spacing w:after="180" w:line="260" w:lineRule="auto"/>
      </w:pPr>
      <w:r>
        <w:rPr>
          <w:rFonts w:ascii="Arial Narrow" w:hAnsi="Arial Narrow"/>
          <w:color w:val="111111"/>
        </w:rPr>
        <w:t>Executive review map generated from the main document structure.</w:t>
      </w:r>
    </w:p>
    <w:p>
      <w:pPr>
        <w:spacing w:after="45" w:line="240" w:lineRule="auto"/>
        <w:ind w:left="0"/>
      </w:pPr>
      <w:hyperlink w:anchor="toc_sec_001">
        <w:r>
          <w:rPr>
            <w:rFonts w:ascii="Arial Narrow" w:hAnsi="Arial Narrow"/>
            <w:color w:val="111111"/>
          </w:rPr>
          <w:t>1. Research Position</w:t>
        </w:r>
      </w:hyperlink>
    </w:p>
    <w:p>
      <w:pPr>
        <w:spacing w:after="45" w:line="240" w:lineRule="auto"/>
        <w:ind w:left="0"/>
      </w:pPr>
      <w:hyperlink w:anchor="toc_sec_002">
        <w:r>
          <w:rPr>
            <w:rFonts w:ascii="Arial Narrow" w:hAnsi="Arial Narrow"/>
            <w:color w:val="111111"/>
          </w:rPr>
          <w:t>2. Competitor And Best-Practice Sources</w:t>
        </w:r>
      </w:hyperlink>
    </w:p>
    <w:p>
      <w:pPr>
        <w:spacing w:after="45" w:line="240" w:lineRule="auto"/>
        <w:ind w:left="0"/>
      </w:pPr>
      <w:hyperlink w:anchor="toc_sec_003">
        <w:r>
          <w:rPr>
            <w:rFonts w:ascii="Arial Narrow" w:hAnsi="Arial Narrow"/>
            <w:color w:val="111111"/>
          </w:rPr>
          <w:t>3. Phase-By-Phase Market Research Matrix</w:t>
        </w:r>
      </w:hyperlink>
    </w:p>
    <w:p>
      <w:pPr>
        <w:spacing w:after="45" w:line="240" w:lineRule="auto"/>
        <w:ind w:left="0"/>
      </w:pPr>
      <w:hyperlink w:anchor="toc_sec_004">
        <w:r>
          <w:rPr>
            <w:rFonts w:ascii="Arial Narrow" w:hAnsi="Arial Narrow"/>
            <w:color w:val="111111"/>
          </w:rPr>
          <w:t>4. Market Gap Opportunities</w:t>
        </w:r>
      </w:hyperlink>
    </w:p>
    <w:p>
      <w:pPr>
        <w:spacing w:after="45" w:line="240" w:lineRule="auto"/>
        <w:ind w:left="0"/>
      </w:pPr>
      <w:hyperlink w:anchor="toc_sec_005">
        <w:r>
          <w:rPr>
            <w:rFonts w:ascii="Arial Narrow" w:hAnsi="Arial Narrow"/>
            <w:color w:val="111111"/>
          </w:rPr>
          <w:t>5. Top Five Turkey Player Deep-Dive</w:t>
        </w:r>
      </w:hyperlink>
    </w:p>
    <w:p>
      <w:pPr>
        <w:spacing w:after="45" w:line="240" w:lineRule="auto"/>
        <w:ind w:left="0"/>
      </w:pPr>
      <w:hyperlink w:anchor="toc_sec_006">
        <w:r>
          <w:rPr>
            <w:rFonts w:ascii="Arial Narrow" w:hAnsi="Arial Narrow"/>
            <w:color w:val="111111"/>
          </w:rPr>
          <w:t>6. Edge-Case Coverage Summary</w:t>
        </w:r>
      </w:hyperlink>
    </w:p>
    <w:p>
      <w:pPr>
        <w:spacing w:after="45" w:line="240" w:lineRule="auto"/>
        <w:ind w:left="0"/>
      </w:pPr>
      <w:hyperlink w:anchor="toc_sec_007">
        <w:r>
          <w:rPr>
            <w:rFonts w:ascii="Arial Narrow" w:hAnsi="Arial Narrow"/>
            <w:color w:val="111111"/>
          </w:rPr>
          <w:t>7. Recommended Differentiators For Proposal</w:t>
        </w:r>
      </w:hyperlink>
    </w:p>
    <w:p>
      <w:pPr>
        <w:spacing w:after="45" w:line="240" w:lineRule="auto"/>
        <w:ind w:left="0"/>
      </w:pPr>
      <w:hyperlink w:anchor="toc_sec_008">
        <w:r>
          <w:rPr>
            <w:rFonts w:ascii="Arial Narrow" w:hAnsi="Arial Narrow"/>
            <w:color w:val="111111"/>
          </w:rPr>
          <w:t>8. Research Caveats</w:t>
        </w:r>
      </w:hyperlink>
    </w:p>
    <w:p>
      <w:pPr/>
      <w:r>
        <w:br w:type="page"/>
      </w:r>
    </w:p>
    <w:p>
      <w:pPr>
        <w:pStyle w:val="Heading1"/>
        <w:spacing w:after="120" w:before="0" w:line="264"/>
      </w:pPr>
      <w:r>
        <w:t xml:space="preserve">Executive At-A-Glance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Turkish benchmarks show that aidat, payments, resident access, communication, reservations, reporting and support are baseline expectations.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The strongest proposal angle is not another basic CRM; it is a finance-first operating system with real service desk workflows.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AI should be positioned as a controlled assistant for triage, briefing, anomaly detection and reporting, not as an autonomous decision-maker.</w:t>
      </w:r>
    </w:p>
    <w:p>
      <w:pPr>
        <w:pStyle w:val="Heading1"/>
        <w:spacing w:after="120" w:before="0" w:line="264"/>
      </w:pPr>
      <w:r>
        <w:t xml:space="preserve">Reader Guide</w:t>
      </w:r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Market Research Annex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Strategy, sales, product and delivery leadership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Consulting-ready v0.2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STRICTLY CONFIDENTIAL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Design preset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Arial Narrow consulting report; black text; light-grey table and diagram system</w:t>
            </w:r>
          </w:p>
        </w:tc>
      </w:tr>
    </w:tbl>
    <w:p>
      <w:pPr>
        <w:pStyle w:val="Heading1"/>
        <w:spacing w:after="120" w:before="0" w:line="264"/>
      </w:pPr>
      <w:r>
        <w:t xml:space="preserve">Visual Navigation</w:t>
      </w:r>
    </w:p>
    <w:p>
      <w:pPr>
        <w:spacing w:after="60" w:before="100"/>
        <w:jc w:val="center"/>
      </w:pPr>
      <w:r>
        <w:drawing>
          <ns2:inline distT="0" distB="0" distL="0" distR="0">
            <ns2:extent cx="5810250" cy="2857500"/>
            <ns2:effectExtent t="0" r="0" b="0" l="0"/>
            <ns2:docPr id="1" name="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r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10250" cy="2857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after="180"/>
        <w:jc w:val="center"/>
      </w:pPr>
      <w:r>
        <w:rPr>
          <w:rFonts w:ascii="Arial Narrow" w:cs="Arial Narrow" w:eastAsia="Arial Narrow" w:hAnsi="Arial Narrow"/>
          <w:i/>
          <w:iCs/>
          <w:color w:val="5F6368"/>
          <w:sz w:val="18"/>
          <w:szCs w:val="18"/>
        </w:rPr>
        <w:t xml:space="preserve">Figure: Market Benchmark Implications</w:t>
      </w:r>
    </w:p>
    <w:p>
      <w:r>
        <w:br w:type="page"/>
      </w:r>
    </w:p>
    <w:p>
      <w:bookmarkStart w:id="1" w:name="toc_sec_001"/>
      <w:pPr>
        <w:pStyle w:val="Heading1"/>
        <w:spacing w:after="120" w:before="0" w:line="264"/>
      </w:pPr>
      <w:r>
        <w:t xml:space="preserve">1. Research Position</w:t>
      </w:r>
      <w:bookmarkEnd w:id="1"/>
    </w:p>
    <w:p>
      <w:pPr>
        <w:spacing w:after="120" w:line="280"/>
      </w:pPr>
      <w:r>
        <w:t xml:space="preserve">The client request should be treated as a full residential operations platform, not a simple CRM. Market research shows that serious competitors already provide property accounting, payments, resident/owner portals, service requests, maintenance workflows, mobile access, communication, reporting, integrations, onboarding and increasingly AI assistance.</w:t>
      </w:r>
    </w:p>
    <w:p>
      <w:pPr>
        <w:spacing w:after="120" w:line="280"/>
      </w:pPr>
      <w:r>
        <w:t xml:space="preserve">The correct business response is to match the client's mandatory scope and add AI, workflow clarity, premium web/PWA UX, stronger reporting, and Turkish-localized service delivery.</w:t>
      </w:r>
    </w:p>
    <w:p>
      <w:bookmarkStart w:id="2" w:name="toc_sec_002"/>
      <w:pPr>
        <w:pStyle w:val="Heading1"/>
        <w:spacing w:after="120" w:before="0" w:line="264"/>
      </w:pPr>
      <w:r>
        <w:t xml:space="preserve">2. Competitor And Best-Practice Sources</w:t>
      </w:r>
      <w:bookmarkEnd w:id="2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Relevant Findings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Apsiyon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baseline for aidat tracking, bank integrations, card collection, reservation, manager/resident mobile, access control, meter/billing, email/SMS and AI assistant positioning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Senyonet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site/facility software benchmark for communication/public relations, finance, accounting, security, reservations, document management, support and training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Yönetimcell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usability benchmark for aidat tracking, bank integration, credit card/Masterpass collection, resident payment access, reporting/Excel export and staff job tracking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Aidatım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hybrid benchmark combining management software, private assistant, accounting/legal support, migration/setup, bank matching, reports, meter billing and e-mail/SMS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Siteplus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Adjacent integrated facility management benchmark for professional site management, security, cleaning, technical maintenance and field operations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Buildium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Global property management baseline: accounting, payments, maintenance requests, resident center, owner portal, leasing, marketplace, open API, automation and AI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Yardi Breeze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Global baseline: online balances/payments, automated rent/fee posting, maintenance requests, smartphone photos/videos, accounting and owner reports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DoorLoop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Global baseline: accounting, bank sync, financial reports, leasing, CRM, maintenance, mobile app, owner portal, file storage, rent collection, tenant management, communication and AI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Atlassian Jira Service Management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Ticketing/service desk baseline: request intake, incident/request workflows, SLA, assignment, automation, reporting and AI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web.dev PWA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PWA baseline: installable mobile web experience, one codebase, service worker/caching capabilities and app-like web behavior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OWASP ASVS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Security baseline for authentication, access control, validation, logging, API security and data protection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KVKK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data protection baseline for personal data processing, purpose limitation, proportionate processing and protection obligations</w:t>
            </w:r>
          </w:p>
        </w:tc>
      </w:tr>
    </w:tbl>
    <w:p>
      <w:pPr>
        <w:spacing w:after="100"/>
      </w:pPr>
    </w:p>
    <w:p>
      <w:bookmarkStart w:id="3" w:name="toc_sec_003"/>
      <w:pPr>
        <w:pStyle w:val="Heading1"/>
        <w:spacing w:after="120" w:before="0" w:line="264"/>
      </w:pPr>
      <w:r>
        <w:t xml:space="preserve">3. Phase-By-Phase Market Research Matrix</w:t>
      </w:r>
      <w:bookmarkEnd w:id="3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What The Market Does</w:t>
            </w:r>
          </w:p>
        </w:tc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Best Practice For Our Product</w:t>
            </w:r>
          </w:p>
        </w:tc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AI / Time-Saving Add-On</w:t>
            </w:r>
          </w:p>
        </w:tc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Turkish Adaptation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1. Discovery and benchmark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Competitors sell onboarding, migration and training, not only software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Start with operating model, finance rules, integration inventory and data migration plan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meeting summaries, gap analysis and scope checklist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examples, clear business language, visible implementation confidence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2. UX/UI design system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Market leaders emphasize simple portals, dashboards and guided workflows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Role-based navigation, calm dashboard, clear statuses and mobile-first resident/staff flows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briefing cards and next-best-action prompts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Turkish-first wording, respectful tone, low clutter, visible support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3. Platform foundation, auth, RBAC, audit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Mature platforms restrict owner/resident/staff access and preserve operational logs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Auth, RBAC, RLS, audit logs and secure admin settings from day one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audit summary and unusual action detection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Trust depends on "who did what and when" clarity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4. Site/block/flat/import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Competitors support migration from Excel and structured property setup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769-flat matrix, import preview, validation and data quality dashboard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duplicate/missing-data detection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Managers commonly rely on spreadsheets; import must be simple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5. User/owner/tenant/staff management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Owner portals, resident centers and tenant management are standard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Profile, documents, relationships, identity status, staff groups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duplicate contacts and missing document alerts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Strong privacy and clear contact/SMS support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6. Financial ledger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Accounting is a core market feature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Ledger-based balances, accruals, statements, reversals and exports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balance explanation and anomaly detection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Financial disputes require official, traceable records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7. Payments/deposits/restrictions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Online bank/card collection and automated payments are standard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Payment provider, bank import, reconciliation, deposit lifecycle, debt rules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unmatched payment suggestions and debt-risk ranking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Debt language must be firm, clear and respectful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8. Service catalogue/order flow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Maintenance and service requests are expected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Service catalogue, debt check, payment/debit, order, ticket, notification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category, urgency and SLA suggestions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Show price/SLA before confirmation; explain blocked requests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9. Tasks/workforce/SLA/media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Global tools support maintenance photos/videos, notes and progress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Ticket board, staff PWA, SLA, media report, tour control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routing, duplicate ticket detection and workload balancing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Staff need simple mobile screens and managers need proof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10. Booking/move-in/checkout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Reservation/leasing workflows are common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Availability, payment, deposit, move-in tasks, access, checkout settlement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booking conflict and checkout risk summaries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Deposits and access changes need clear documentation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11. Communication/documents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Portals, email/SMS, files and chat are standard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Linked chat, announcements, delivery logs, document vault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reply drafts, summaries and announcement drafts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SMS/email still important; official communication should stay in system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12. Web/PWA mobile experience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Mobile apps are common; PWA can satisfy mobile access faster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Responsive web app, installable PWA, mobile staff/resident workflows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Mobile AI help and voice-ready Turkish commands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Works for users who do not want app store installation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13. Integrations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Market differentiators include payment, banks, access, meters and APIs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Adapter layer, webhooks, retries, integration health and manual fallback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integration failure summaries and anomaly alerts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Local vendors vary; fallback process must be planned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14. AI and analytics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assistants are increasingly promoted by competitors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Manager/accountant/resident/staff AI, recommendations, approval workflow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Daily briefing, anomaly detection, predictive maintenance, report generation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Turkish quality and human approval are critical for trust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15. QA/security/UAT/training/launch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Competitors sell support and implementation services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UAT scripts, security review, training, launch runbook, monitoring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test assistance and support triage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Hands-on launch support and role-specific training are essential</w:t>
            </w:r>
          </w:p>
        </w:tc>
      </w:tr>
    </w:tbl>
    <w:p>
      <w:pPr>
        <w:spacing w:after="100"/>
      </w:pPr>
    </w:p>
    <w:p>
      <w:bookmarkStart w:id="4" w:name="toc_sec_004"/>
      <w:pPr>
        <w:pStyle w:val="Heading1"/>
        <w:spacing w:after="120" w:before="0" w:line="264"/>
      </w:pPr>
      <w:r>
        <w:t xml:space="preserve">4. Market Gap Opportunities</w:t>
      </w:r>
      <w:bookmarkEnd w:id="4"/>
    </w:p>
    <w:p>
      <w:pPr>
        <w:spacing w:after="120" w:line="280"/>
      </w:pPr>
      <w:r>
        <w:t xml:space="preserve">The strongest competitive opportunities are: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Combine Turkish site management needs with a modern global SaaS UX.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Replace vague "service management" with a real service desk/ticketing system.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Build a true finance ledger, not a simple balance table.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Make debt restrictions configurable, auditable and transparent.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Use PWA to deliver mobile access faster than native development.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Add AI, but keep AI controlled with human approval.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Make the dashboard action-oriented, not only informational.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Treat support, migration and training as part of the product offer.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Make access integrations auditable and failure-aware.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Make Turkish copy, SMS/email, receipts and official-looking statements central to trust.</w:t>
      </w:r>
    </w:p>
    <w:p>
      <w:bookmarkStart w:id="5" w:name="toc_sec_005"/>
      <w:pPr>
        <w:pStyle w:val="Heading1"/>
        <w:spacing w:after="120" w:before="0" w:line="264"/>
      </w:pPr>
      <w:r>
        <w:t xml:space="preserve">5. Top Five Turkey Player Deep-Dive</w:t>
      </w:r>
      <w:bookmarkEnd w:id="5"/>
    </w:p>
    <w:p>
      <w:pPr>
        <w:spacing w:after="120" w:line="280"/>
      </w:pPr>
      <w:r>
        <w:t xml:space="preserve">These five players are included because they are publicly visible and relevant to the client's requested scope. They should be treated as benchmarks, not as a legally ranked market-share list.</w:t>
      </w:r>
    </w:p>
    <w:p>
      <w:pPr>
        <w:pStyle w:val="Heading2"/>
        <w:spacing w:after="120" w:before="0" w:line="264"/>
      </w:pPr>
      <w:r>
        <w:t xml:space="preserve">5.1 Apsiyon</w:t>
      </w:r>
    </w:p>
    <w:p>
      <w:pPr>
        <w:spacing w:after="120" w:line="280"/>
      </w:pPr>
      <w:r>
        <w:t xml:space="preserve">Observed capabilities: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Aidat tracking.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Online bank integrations.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Card collection.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Reservation.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Free website.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Manager mobile.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E-mail and SMS.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Access control products.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Meter reading and billing.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assistants and digital-assistant positioning.</w:t>
      </w:r>
    </w:p>
    <w:p>
      <w:pPr>
        <w:spacing w:after="120" w:line="280"/>
      </w:pPr>
      <w:r>
        <w:t xml:space="preserve">Implications: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Our product must include finance, payments, communication and reservation as baseline.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Access and meter integrations should be planned even if not launched in phase one.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should be useful in real operational scenarios: debt, request triage, reporting and anomaly detection.</w:t>
      </w:r>
    </w:p>
    <w:p>
      <w:pPr>
        <w:pStyle w:val="Heading2"/>
        <w:spacing w:after="120" w:before="0" w:line="264"/>
      </w:pPr>
      <w:r>
        <w:t xml:space="preserve">5.2 Senyonet</w:t>
      </w:r>
    </w:p>
    <w:p>
      <w:pPr>
        <w:spacing w:after="120" w:line="280"/>
      </w:pPr>
      <w:r>
        <w:t xml:space="preserve">Observed capabilities: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Site, apartment, facility, hotel, office, AVM and management-company positioning.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Public relations/communication module.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Finance module.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Accounting module.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Security module.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Requests, announcements, events, reservations and document management.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Bank, cash and current account visibility.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Collections, invoicing, budgeting and reporting.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Visitor, personnel, cargo and vehicle tracking.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Support and training.</w:t>
      </w:r>
    </w:p>
    <w:p>
      <w:pPr>
        <w:spacing w:after="120" w:line="280"/>
      </w:pPr>
      <w:r>
        <w:t xml:space="preserve">Implications: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Our platform must support connected operations, not only CRM records.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Security/visitor workflows should be considered in access/integration planning.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Support/training should be part of the delivery model.</w:t>
      </w:r>
    </w:p>
    <w:p>
      <w:pPr>
        <w:pStyle w:val="Heading2"/>
        <w:spacing w:after="120" w:before="0" w:line="264"/>
      </w:pPr>
      <w:r>
        <w:t xml:space="preserve">5.3 Yönetimcell</w:t>
      </w:r>
    </w:p>
    <w:p>
      <w:pPr>
        <w:spacing w:after="120" w:line="280"/>
      </w:pPr>
      <w:r>
        <w:t xml:space="preserve">Observed capabilities: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Aidat tracking.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Online bank integration.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Credit card and Masterpass collection.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Resident account/payment access.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Reports and Excel exports.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Multi-site/apartment management.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Manager mobile app.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Resident aidat tracking app.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Staff job-tracking app.</w:t>
      </w:r>
    </w:p>
    <w:p>
      <w:pPr>
        <w:spacing w:after="120" w:line="280"/>
      </w:pPr>
      <w:r>
        <w:t xml:space="preserve">Implications: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Simplicity and learnability are competitive advantages in Turkey.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Export and reporting are mandatory for managers and management companies.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Staff job tracking validates the need for a proper ticket/task module.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PWA must cover the core value of mobile apps without delaying launch.</w:t>
      </w:r>
    </w:p>
    <w:p>
      <w:pPr>
        <w:pStyle w:val="Heading2"/>
        <w:spacing w:after="120" w:before="0" w:line="264"/>
      </w:pPr>
      <w:r>
        <w:t xml:space="preserve">5.4 Aidatım</w:t>
      </w:r>
    </w:p>
    <w:p>
      <w:pPr>
        <w:spacing w:after="120" w:line="280"/>
      </w:pPr>
      <w:r>
        <w:t xml:space="preserve">Observed capabilities: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Private assistant.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Management software.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Accounting support.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Legal support.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Setup and transition help.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Credit card collection.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Bank account tracking with smart matching.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Leave and payroll.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Monthly/yearly analysis and reports.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Current account tracking and expense sharing.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Meter reading and billing.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E-mail and SMS.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Account sharing.</w:t>
      </w:r>
    </w:p>
    <w:p>
      <w:pPr>
        <w:spacing w:after="120" w:line="280"/>
      </w:pPr>
      <w:r>
        <w:t xml:space="preserve">Implications: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Migration, setup and support must be part of the offer.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Smart reconciliation should be included in finance roadmap.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Payroll/leave can remain non-goal for launch but should be extensible later.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Legal review is required for debt, access and collection workflows.</w:t>
      </w:r>
    </w:p>
    <w:p>
      <w:pPr>
        <w:pStyle w:val="Heading2"/>
        <w:spacing w:after="120" w:before="0" w:line="264"/>
      </w:pPr>
      <w:r>
        <w:t xml:space="preserve">5.5 Siteplus</w:t>
      </w:r>
    </w:p>
    <w:p>
      <w:pPr>
        <w:spacing w:after="120" w:line="280"/>
      </w:pPr>
      <w:r>
        <w:t xml:space="preserve">Observed capabilities: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Integrated facility management.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Professional site management.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Private security.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Cleaning.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Alarm monitoring.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Landscaping.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Pest control and disinfection.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Technical maintenance and repair.</w:t>
      </w:r>
    </w:p>
    <w:p>
      <w:pPr>
        <w:spacing w:after="120" w:line="280"/>
      </w:pPr>
      <w:r>
        <w:t xml:space="preserve">Implications: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Our service module must support real field operations.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Work queues should cover cleaning, security, repair and technical maintenance.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Media evidence, SLA, staff/contractor assignment and incident tracking are critical.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The system should work for a professional facility management company, not only resident self-service.</w:t>
      </w:r>
    </w:p>
    <w:p>
      <w:bookmarkStart w:id="6" w:name="toc_sec_006"/>
      <w:pPr>
        <w:pStyle w:val="Heading1"/>
        <w:spacing w:after="120" w:before="0" w:line="264"/>
      </w:pPr>
      <w:r>
        <w:t xml:space="preserve">6. Edge-Case Coverage Summary</w:t>
      </w:r>
      <w:bookmarkEnd w:id="6"/>
    </w:p>
    <w:p>
      <w:pPr>
        <w:spacing w:after="120" w:line="280"/>
      </w:pPr>
      <w:r>
        <w:t xml:space="preserve">The expanded BRD/TRD now includes edge cases across: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Multiple owners and multi-flat ownership.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Tenant permission limits.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Vacant flats with owner debt.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Duplicate imports.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Partial payments and overpayments.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Delayed/duplicate payment webhooks.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Deposit shortfall and refund failure.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Debt threshold changes.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Emergency maintenance override.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Service ticket duplicates.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Media upload failures.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Booking overlaps.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Access integration failure.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SMS/email delivery failure.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Staff internal notes leaking to residents.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hallucination, role leakage and unauthorized action.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Document retention and KVKK privacy risks.</w:t>
      </w:r>
    </w:p>
    <w:p>
      <w:pPr>
        <w:spacing w:after="120" w:line="280"/>
      </w:pPr>
      <w:r>
        <w:t xml:space="preserve">The key product rule is that risky cases must be handled by state machines, audit logs and approval workflows, not by informal manual edits.</w:t>
      </w:r>
    </w:p>
    <w:p>
      <w:bookmarkStart w:id="7" w:name="toc_sec_007"/>
      <w:pPr>
        <w:pStyle w:val="Heading1"/>
        <w:spacing w:after="120" w:before="0" w:line="264"/>
      </w:pPr>
      <w:r>
        <w:t xml:space="preserve">7. Recommended Differentiators For Proposal</w:t>
      </w:r>
      <w:bookmarkEnd w:id="7"/>
    </w:p>
    <w:p>
      <w:pPr>
        <w:pStyle w:val="Heading2"/>
        <w:spacing w:after="120" w:before="0" w:line="264"/>
      </w:pPr>
      <w:r>
        <w:t xml:space="preserve">7.1 Business Differentiators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Full 769-flat operating model.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Finance-first architecture.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Service desk/ticketing module.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Web/PWA launch instead of slow native app dependency.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manager assistant.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debt-risk and anomaly detection.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Turkish-first onboarding and support.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Audit and accountability at every critical action.</w:t>
      </w:r>
    </w:p>
    <w:p>
      <w:pPr>
        <w:pStyle w:val="Heading2"/>
        <w:spacing w:after="120" w:before="0" w:line="264"/>
      </w:pPr>
      <w:r>
        <w:t xml:space="preserve">7.2 UX Differentiators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Flat matrix by block/floor.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One-click view of debt status per flat.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Resident self-service with simple mobile web.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Staff task mobile view with photo/video reports.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Manager daily briefing.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Accountant ledger and export tools.</w:t>
      </w:r>
    </w:p>
    <w:p>
      <w:pPr>
        <w:pStyle w:val="Heading2"/>
        <w:spacing w:after="120" w:before="0" w:line="264"/>
      </w:pPr>
      <w:r>
        <w:t xml:space="preserve">7.3 Technical Differentiators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API-first modular architecture.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PostgreSQL ledger.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RLS/RBAC security.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Integration adapter layer.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recommendations with human approval.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PWA-first delivery.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End-to-end test coverage for mandatory scenarios.</w:t>
      </w:r>
    </w:p>
    <w:p>
      <w:bookmarkStart w:id="8" w:name="toc_sec_008"/>
      <w:pPr>
        <w:pStyle w:val="Heading1"/>
        <w:spacing w:after="120" w:before="0" w:line="264"/>
      </w:pPr>
      <w:r>
        <w:t xml:space="preserve">8. Research Caveats</w:t>
      </w:r>
      <w:bookmarkEnd w:id="8"/>
    </w:p>
    <w:p>
      <w:pPr>
        <w:spacing w:after="120" w:line="280"/>
      </w:pPr>
      <w:r>
        <w:t xml:space="preserve">This annex uses public competitor and best-practice information available on 24 June 2026. It is suitable for product planning and proposal positioning. It is not a legal compliance opinion and should be reviewed by legal/accounting specialists before finalizing debt restriction, access blocking, identity verification, camera processing, retention and payment compliance rules.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Arial Narrow" w:cs="Arial Narrow" w:eastAsia="Arial Narrow" w:hAnsi="Arial Narrow"/>
        <w:color w:val="5F6368"/>
        <w:sz w:val="16"/>
        <w:szCs w:val="16"/>
      </w:rPr>
      <w:t xml:space="preserve">1Cati requirements package | WAMOCON GmbH | Internal planning artifact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1"/>
      </w:pBdr>
      <w:spacing w:after="120"/>
    </w:pPr>
    <w:r>
      <w:rPr>
        <w:rFonts w:ascii="Arial Narrow" w:cs="Arial Narrow" w:eastAsia="Arial Narrow" w:hAnsi="Arial Narrow"/>
        <w:b/>
        <w:bCs/>
        <w:color w:val="5F6368"/>
        <w:sz w:val="18"/>
        <w:szCs w:val="18"/>
      </w:rPr>
      <w:t xml:space="preserve">Market Research Annex</w:t>
    </w:r>
    <w:r>
      <w:rPr>
        <w:rFonts w:ascii="Arial Narrow" w:cs="Arial Narrow" w:eastAsia="Arial Narrow" w:hAnsi="Arial Narrow"/>
        <w:color w:val="5F6368"/>
        <w:sz w:val="18"/>
        <w:szCs w:val="18"/>
      </w:rPr>
      <w:t xml:space="preserve"> | 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280"/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color w:val="111111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40404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320"/>
      <w:outlineLvl w:val="0"/>
    </w:pPr>
    <w:rPr>
      <w:rFonts w:ascii="Arial Narrow" w:cs="Arial Narrow" w:eastAsia="Arial Narrow" w:hAnsi="Arial Narro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00"/>
      <w:outlineLvl w:val="1"/>
    </w:pPr>
    <w:rPr>
      <w:rFonts w:ascii="Arial Narrow" w:cs="Arial Narrow" w:eastAsia="Arial Narrow" w:hAnsi="Arial Narro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 w:line="280"/>
      <w:outlineLvl w:val="2"/>
    </w:pPr>
    <w:rPr>
      <w:rFonts w:ascii="Arial Narrow" w:cs="Arial Narrow" w:eastAsia="Arial Narrow" w:hAnsi="Arial Narro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982c69d9ae7aedc2c7aed87c9fd7ed5293e790a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Research Annex: AI-Powered Residential Site Management CRM</dc:title>
  <dc:creator>1Cati / Product and Engineering</dc:creator>
  <dc:description>Benchmark summary, market signals, phase implications and differentiation</dc:description>
  <cp:lastModifiedBy>Un-named</cp:lastModifiedBy>
  <cp:revision>1</cp:revision>
  <dcterms:created xsi:type="dcterms:W3CDTF">2026-06-25T08:48:46.194Z</dcterms:created>
  <dcterms:modified xsi:type="dcterms:W3CDTF">2026-06-25T08:48:46.194Z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