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pPr>
        <w:spacing w:after="620"/>
        <w:jc w:val="right"/>
      </w:pPr>
      <w:r>
        <w:rPr>
          <w:rFonts w:ascii="Arial Narrow" w:cs="Arial Narrow" w:eastAsia="Arial Narrow" w:hAnsi="Arial Narrow"/>
          <w:b/>
          <w:bCs/>
          <w:color w:val="000000"/>
          <w:sz w:val="18"/>
          <w:szCs w:val="18"/>
        </w:rPr>
        <w:t xml:space="preserve">STRICTLY CONFIDENTIAL</w:t>
      </w:r>
    </w:p>
    <w:p>
      <w:pPr>
        <w:spacing w:after="80"/>
      </w:pPr>
      <w:r>
        <w:rPr>
          <w:rFonts w:ascii="Arial Narrow" w:cs="Arial Narrow" w:eastAsia="Arial Narrow" w:hAnsi="Arial Narrow"/>
          <w:b/>
          <w:bCs/>
          <w:color w:val="000000"/>
          <w:sz w:val="20"/>
          <w:szCs w:val="20"/>
        </w:rPr>
        <w:t xml:space="preserve">QA, UAT AND LAUNCH PLAN</w:t>
      </w:r>
    </w:p>
    <w:p>
      <w:pPr>
        <w:spacing w:after="140" w:line="540"/>
      </w:pPr>
      <w:r>
        <w:rPr>
          <w:rFonts w:ascii="Arial Narrow" w:cs="Arial Narrow" w:eastAsia="Arial Narrow" w:hAnsi="Arial Narrow"/>
          <w:b/>
          <w:bCs/>
          <w:color w:val="000000"/>
          <w:sz w:val="42"/>
          <w:szCs w:val="42"/>
        </w:rPr>
        <w:t xml:space="preserve">AI-Powered Residential Site Management CRM</w:t>
      </w:r>
    </w:p>
    <w:p>
      <w:pPr>
        <w:spacing w:after="360" w:line="340"/>
      </w:pPr>
      <w:r>
        <w:rPr>
          <w:rFonts w:ascii="Arial Narrow" w:cs="Arial Narrow" w:eastAsia="Arial Narrow" w:hAnsi="Arial Narrow"/>
          <w:color w:val="222222"/>
          <w:sz w:val="25"/>
          <w:szCs w:val="25"/>
        </w:rPr>
        <w:t xml:space="preserve">Test strategy, mandatory UAT scenarios, release gates, launch runbook and hypercare checklist</w:t>
      </w:r>
    </w:p>
    <w:p>
      <w:pPr>
        <w:shd w:fill="F2F2F2"/>
        <w:spacing w:after="80" w:before="0" w:line="260"/>
      </w:pPr>
      <w:r>
        <w:rPr>
          <w:rFonts w:ascii="Arial Narrow" w:cs="Arial Narrow" w:eastAsia="Arial Narrow" w:hAnsi="Arial Narrow"/>
          <w:color w:val="111111"/>
          <w:sz w:val="20"/>
          <w:szCs w:val="20"/>
        </w:rPr>
        <w:t xml:space="preserve">  </w:t>
      </w:r>
      <w:r>
        <w:rPr>
          <w:rFonts w:ascii="Arial Narrow" w:cs="Arial Narrow" w:eastAsia="Arial Narrow" w:hAnsi="Arial Narrow"/>
          <w:b/>
          <w:bCs/>
          <w:color w:val="222222"/>
          <w:sz w:val="20"/>
          <w:szCs w:val="20"/>
        </w:rPr>
        <w:t xml:space="preserve">Business correctness</w:t>
      </w:r>
    </w:p>
    <w:p>
      <w:pPr>
        <w:shd w:fill="F2F2F2"/>
        <w:spacing w:after="80" w:before="0" w:line="260"/>
      </w:pPr>
      <w:r>
        <w:rPr>
          <w:rFonts w:ascii="Arial Narrow" w:cs="Arial Narrow" w:eastAsia="Arial Narrow" w:hAnsi="Arial Narrow"/>
          <w:color w:val="111111"/>
          <w:sz w:val="20"/>
          <w:szCs w:val="20"/>
        </w:rPr>
        <w:t xml:space="preserve">  </w:t>
      </w:r>
      <w:r>
        <w:rPr>
          <w:rFonts w:ascii="Arial Narrow" w:cs="Arial Narrow" w:eastAsia="Arial Narrow" w:hAnsi="Arial Narrow"/>
          <w:b/>
          <w:bCs/>
          <w:color w:val="222222"/>
          <w:sz w:val="20"/>
          <w:szCs w:val="20"/>
        </w:rPr>
        <w:t xml:space="preserve">UAT evidence</w:t>
      </w:r>
    </w:p>
    <w:p>
      <w:pPr>
        <w:shd w:fill="F2F2F2"/>
        <w:spacing w:after="80" w:before="0" w:line="260"/>
      </w:pPr>
      <w:r>
        <w:rPr>
          <w:rFonts w:ascii="Arial Narrow" w:cs="Arial Narrow" w:eastAsia="Arial Narrow" w:hAnsi="Arial Narrow"/>
          <w:color w:val="111111"/>
          <w:sz w:val="20"/>
          <w:szCs w:val="20"/>
        </w:rPr>
        <w:t xml:space="preserve">  </w:t>
      </w:r>
      <w:r>
        <w:rPr>
          <w:rFonts w:ascii="Arial Narrow" w:cs="Arial Narrow" w:eastAsia="Arial Narrow" w:hAnsi="Arial Narrow"/>
          <w:b/>
          <w:bCs/>
          <w:color w:val="222222"/>
          <w:sz w:val="20"/>
          <w:szCs w:val="20"/>
        </w:rPr>
        <w:t xml:space="preserve">Launch readiness</w:t>
      </w:r>
    </w:p>
    <w:p>
      <w:pPr>
        <w:spacing w:after="60" w:before="280"/>
      </w:pPr>
      <w:r>
        <w:rPr>
          <w:rFonts w:ascii="Arial Narrow" w:cs="Arial Narrow" w:eastAsia="Arial Narrow" w:hAnsi="Arial Narrow"/>
          <w:b/>
          <w:bCs/>
          <w:color w:val="111111"/>
          <w:sz w:val="22"/>
          <w:szCs w:val="22"/>
        </w:rPr>
        <w:t xml:space="preserve">Prepared for: </w:t>
      </w:r>
      <w:r>
        <w:rPr>
          <w:rFonts w:ascii="Arial Narrow" w:cs="Arial Narrow" w:eastAsia="Arial Narrow" w:hAnsi="Arial Narrow"/>
          <w:color w:val="111111"/>
          <w:sz w:val="22"/>
          <w:szCs w:val="22"/>
        </w:rPr>
        <w:t xml:space="preserve">Ataberk Estate digital transformation planning</w:t>
      </w:r>
    </w:p>
    <w:p>
      <w:pPr>
        <w:spacing w:after="60"/>
      </w:pPr>
      <w:r>
        <w:rPr>
          <w:rFonts w:ascii="Arial Narrow" w:cs="Arial Narrow" w:eastAsia="Arial Narrow" w:hAnsi="Arial Narrow"/>
          <w:b/>
          <w:bCs/>
          <w:color w:val="111111"/>
          <w:sz w:val="22"/>
          <w:szCs w:val="22"/>
        </w:rPr>
        <w:t xml:space="preserve">Prepared by: </w:t>
      </w:r>
      <w:r>
        <w:rPr>
          <w:rFonts w:ascii="Arial Narrow" w:cs="Arial Narrow" w:eastAsia="Arial Narrow" w:hAnsi="Arial Narrow"/>
          <w:color w:val="111111"/>
          <w:sz w:val="22"/>
          <w:szCs w:val="22"/>
        </w:rPr>
        <w:t xml:space="preserve">1Cati / Product and Engineering</w:t>
      </w:r>
    </w:p>
    <w:p>
      <w:pPr>
        <w:spacing w:after="60"/>
      </w:pPr>
      <w:r>
        <w:rPr>
          <w:rFonts w:ascii="Arial Narrow" w:cs="Arial Narrow" w:eastAsia="Arial Narrow" w:hAnsi="Arial Narrow"/>
          <w:b/>
          <w:bCs/>
          <w:color w:val="111111"/>
          <w:sz w:val="22"/>
          <w:szCs w:val="22"/>
        </w:rPr>
        <w:t xml:space="preserve">Design refresh: </w:t>
      </w:r>
      <w:r>
        <w:rPr>
          <w:rFonts w:ascii="Arial Narrow" w:cs="Arial Narrow" w:eastAsia="Arial Narrow" w:hAnsi="Arial Narrow"/>
          <w:color w:val="111111"/>
          <w:sz w:val="22"/>
          <w:szCs w:val="22"/>
        </w:rPr>
        <w:t xml:space="preserve">25 June 2026</w:t>
      </w:r>
    </w:p>
    <w:p>
      <w:pPr>
        <w:spacing w:after="620"/>
      </w:pPr>
      <w:r>
        <w:rPr>
          <w:rFonts w:ascii="Arial Narrow" w:cs="Arial Narrow" w:eastAsia="Arial Narrow" w:hAnsi="Arial Narrow"/>
          <w:b/>
          <w:bCs/>
          <w:color w:val="111111"/>
          <w:sz w:val="22"/>
          <w:szCs w:val="22"/>
        </w:rPr>
        <w:t xml:space="preserve">Status: </w:t>
      </w:r>
      <w:r>
        <w:rPr>
          <w:rFonts w:ascii="Arial Narrow" w:cs="Arial Narrow" w:eastAsia="Arial Narrow" w:hAnsi="Arial Narrow"/>
          <w:color w:val="111111"/>
          <w:sz w:val="22"/>
          <w:szCs w:val="22"/>
        </w:rPr>
        <w:t xml:space="preserve">Consulting-ready v0.2</w:t>
      </w:r>
    </w:p>
    <w:p>
      <w:r>
        <w:br w:type="page"/>
      </w:r>
    </w:p>
    <w:p>
      <w:pPr>
        <w:pStyle w:val="Heading1"/>
        <w:spacing w:before="0" w:after="180" w:line="320" w:lineRule="auto"/>
      </w:pPr>
      <w:r>
        <w:rPr>
          <w:rFonts w:ascii="Arial Narrow" w:hAnsi="Arial Narrow"/>
          <w:color w:val="111111"/>
        </w:rPr>
        <w:t>Table of Contents</w:t>
      </w:r>
    </w:p>
    <w:p>
      <w:pPr>
        <w:spacing w:after="180" w:line="260" w:lineRule="auto"/>
      </w:pPr>
      <w:r>
        <w:rPr>
          <w:rFonts w:ascii="Arial Narrow" w:hAnsi="Arial Narrow"/>
          <w:color w:val="111111"/>
        </w:rPr>
        <w:t>Executive review map generated from the main document structure.</w:t>
      </w:r>
    </w:p>
    <w:p>
      <w:pPr>
        <w:spacing w:after="45" w:line="240" w:lineRule="auto"/>
        <w:ind w:left="0"/>
      </w:pPr>
      <w:hyperlink w:anchor="toc_sec_001">
        <w:r>
          <w:rPr>
            <w:rFonts w:ascii="Arial Narrow" w:hAnsi="Arial Narrow"/>
            <w:color w:val="111111"/>
          </w:rPr>
          <w:t>1. Executive Summary</w:t>
        </w:r>
      </w:hyperlink>
    </w:p>
    <w:p>
      <w:pPr>
        <w:spacing w:after="45" w:line="240" w:lineRule="auto"/>
        <w:ind w:left="0"/>
      </w:pPr>
      <w:hyperlink w:anchor="toc_sec_002">
        <w:r>
          <w:rPr>
            <w:rFonts w:ascii="Arial Narrow" w:hAnsi="Arial Narrow"/>
            <w:color w:val="111111"/>
          </w:rPr>
          <w:t>2. Test Strategy</w:t>
        </w:r>
      </w:hyperlink>
    </w:p>
    <w:p>
      <w:pPr>
        <w:spacing w:after="45" w:line="240" w:lineRule="auto"/>
        <w:ind w:left="0"/>
      </w:pPr>
      <w:hyperlink w:anchor="toc_sec_003">
        <w:r>
          <w:rPr>
            <w:rFonts w:ascii="Arial Narrow" w:hAnsi="Arial Narrow"/>
            <w:color w:val="111111"/>
          </w:rPr>
          <w:t>3. UAT Workflow</w:t>
        </w:r>
      </w:hyperlink>
    </w:p>
    <w:p>
      <w:pPr>
        <w:spacing w:after="45" w:line="240" w:lineRule="auto"/>
        <w:ind w:left="0"/>
      </w:pPr>
      <w:hyperlink w:anchor="toc_sec_004">
        <w:r>
          <w:rPr>
            <w:rFonts w:ascii="Arial Narrow" w:hAnsi="Arial Narrow"/>
            <w:color w:val="111111"/>
          </w:rPr>
          <w:t>4. Mandatory UAT Scenarios</w:t>
        </w:r>
      </w:hyperlink>
    </w:p>
    <w:p>
      <w:pPr>
        <w:spacing w:after="45" w:line="240" w:lineRule="auto"/>
        <w:ind w:left="0"/>
      </w:pPr>
      <w:hyperlink w:anchor="toc_sec_005">
        <w:r>
          <w:rPr>
            <w:rFonts w:ascii="Arial Narrow" w:hAnsi="Arial Narrow"/>
            <w:color w:val="111111"/>
          </w:rPr>
          <w:t>5. Defect Severity Model</w:t>
        </w:r>
      </w:hyperlink>
    </w:p>
    <w:p>
      <w:pPr>
        <w:spacing w:after="45" w:line="240" w:lineRule="auto"/>
        <w:ind w:left="0"/>
      </w:pPr>
      <w:hyperlink w:anchor="toc_sec_006">
        <w:r>
          <w:rPr>
            <w:rFonts w:ascii="Arial Narrow" w:hAnsi="Arial Narrow"/>
            <w:color w:val="111111"/>
          </w:rPr>
          <w:t>6. Release Gates</w:t>
        </w:r>
      </w:hyperlink>
    </w:p>
    <w:p>
      <w:pPr>
        <w:spacing w:after="45" w:line="240" w:lineRule="auto"/>
        <w:ind w:left="0"/>
      </w:pPr>
      <w:hyperlink w:anchor="toc_sec_007">
        <w:r>
          <w:rPr>
            <w:rFonts w:ascii="Arial Narrow" w:hAnsi="Arial Narrow"/>
            <w:color w:val="111111"/>
          </w:rPr>
          <w:t>7. Launch Runbook</w:t>
        </w:r>
      </w:hyperlink>
    </w:p>
    <w:p>
      <w:pPr>
        <w:spacing w:after="45" w:line="240" w:lineRule="auto"/>
        <w:ind w:left="0"/>
      </w:pPr>
      <w:hyperlink w:anchor="toc_sec_008">
        <w:r>
          <w:rPr>
            <w:rFonts w:ascii="Arial Narrow" w:hAnsi="Arial Narrow"/>
            <w:color w:val="111111"/>
          </w:rPr>
          <w:t>8. QA Exit Checklist</w:t>
        </w:r>
      </w:hyperlink>
    </w:p>
    <w:p>
      <w:pPr/>
      <w:r>
        <w:br w:type="page"/>
      </w:r>
    </w:p>
    <w:p>
      <w:pPr>
        <w:pStyle w:val="Heading1"/>
        <w:spacing w:after="120" w:before="0" w:line="264"/>
      </w:pPr>
      <w:r>
        <w:t xml:space="preserve">Executive At-A-Glance</w:t>
      </w:r>
    </w:p>
    <w:p>
      <w:pPr>
        <w:pStyle w:val="ListParagraph"/>
        <w:numPr>
          <w:ilvl w:val="0"/>
          <w:numId w:val="2"/>
        </w:numPr>
        <w:spacing w:after="120" w:line="280"/>
      </w:pPr>
      <w:r>
        <w:t xml:space="preserve">QA must prove business correctness across finance, service tickets, bookings, access, documents, reports, AI and role permissions.</w:t>
      </w:r>
    </w:p>
    <w:p>
      <w:pPr>
        <w:pStyle w:val="ListParagraph"/>
        <w:numPr>
          <w:ilvl w:val="0"/>
          <w:numId w:val="2"/>
        </w:numPr>
        <w:spacing w:after="120" w:line="280"/>
      </w:pPr>
      <w:r>
        <w:t xml:space="preserve">Mandatory UAT scenarios should block launch when critical or high defects remain unresolved.</w:t>
      </w:r>
    </w:p>
    <w:p>
      <w:pPr>
        <w:pStyle w:val="ListParagraph"/>
        <w:numPr>
          <w:ilvl w:val="0"/>
          <w:numId w:val="2"/>
        </w:numPr>
        <w:spacing w:after="120" w:line="280"/>
      </w:pPr>
      <w:r>
        <w:t xml:space="preserve">Launch readiness requires test evidence, security checks, migration reconciliation, training and support ownership.</w:t>
      </w:r>
    </w:p>
    <w:p>
      <w:pPr>
        <w:pStyle w:val="Heading1"/>
        <w:spacing w:after="120" w:before="0" w:line="264"/>
      </w:pPr>
      <w:r>
        <w:t xml:space="preserve">Reader Guide</w:t>
      </w:r>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tblGrid>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Document type</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QA, UAT And Launch Plan</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Primary audience</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QA, product, engineering, delivery leadership and client operations</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Status</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Consulting-ready v0.2</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Confidentiality</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STRICTLY CONFIDENTIAL</w:t>
            </w:r>
          </w:p>
        </w:tc>
      </w:tr>
      <w:tr>
        <w:trPr>
          <w:tblHeader w:val="false"/>
        </w:trPr>
        <w:tc>
          <w:tcPr>
            <w:tcW w:type="dxa" w:w="2700"/>
            <w:tcMar>
              <w:top w:type="dxa" w:w="100"/>
              <w:left w:type="dxa" w:w="140"/>
              <w:bottom w:type="dxa" w:w="100"/>
              <w:right w:type="dxa" w:w="140"/>
            </w:tcMar>
            <w:vAlign w:val="center"/>
          </w:tcPr>
          <w:p>
            <w:pPr>
              <w:spacing w:after="0" w:line="260"/>
            </w:pPr>
            <w:r>
              <w:rPr>
                <w:rFonts w:ascii="Arial Narrow" w:cs="Arial Narrow" w:eastAsia="Arial Narrow" w:hAnsi="Arial Narrow"/>
                <w:b/>
                <w:bCs/>
                <w:color w:val="111111"/>
                <w:sz w:val="20"/>
                <w:szCs w:val="20"/>
              </w:rPr>
              <w:t xml:space="preserve">Design preset</w:t>
            </w:r>
          </w:p>
        </w:tc>
        <w:tc>
          <w:tcPr>
            <w:tcW w:type="dxa" w:w="666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Arial Narrow consulting report; black text; light-grey table and diagram system</w:t>
            </w:r>
          </w:p>
        </w:tc>
      </w:tr>
    </w:tbl>
    <w:p>
      <w:pPr>
        <w:pStyle w:val="Heading1"/>
        <w:spacing w:after="120" w:before="0" w:line="264"/>
      </w:pPr>
      <w:r>
        <w:t xml:space="preserve">Visual Navigation</w:t>
      </w:r>
    </w:p>
    <w:p>
      <w:pPr>
        <w:spacing w:after="60" w:before="100"/>
        <w:jc w:val="center"/>
      </w:pPr>
      <w:r>
        <w:drawing>
          <ns2:inline distT="0" distB="0" distL="0" distR="0">
            <ns2:extent cx="5810250" cy="26003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9" cstate="none"/>
                    <ns3:srcRect/>
                    <ns3:stretch>
                      <ns3:fillRect/>
                    </ns3:stretch>
                  </ns4:blipFill>
                  <ns4:spPr bwMode="auto">
                    <ns3:xfrm>
                      <ns3:off x="0" y="0"/>
                      <ns3:ext cx="5810250" cy="2600325"/>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UAT Workflow</w:t>
      </w:r>
    </w:p>
    <w:p>
      <w:r>
        <w:br w:type="page"/>
      </w:r>
    </w:p>
    <w:p>
      <w:bookmarkStart w:id="1" w:name="toc_sec_001"/>
      <w:pPr>
        <w:pStyle w:val="Heading1"/>
        <w:spacing w:after="120" w:before="0" w:line="264"/>
      </w:pPr>
      <w:r>
        <w:t xml:space="preserve">1. Executive Summary</w:t>
      </w:r>
      <w:bookmarkEnd w:id="1"/>
    </w:p>
    <w:p>
      <w:pPr>
        <w:spacing w:after="120" w:line="280"/>
      </w:pPr>
      <w:r>
        <w:t xml:space="preserve">The platform handles finance, deposits, resident data, service requests, documents, access actions, AI recommendations and audit history. QA must therefore focus on business correctness and operational trust, not only UI behavior.</w:t>
      </w:r>
    </w:p>
    <w:p>
      <w:pPr>
        <w:spacing w:after="120" w:line="280"/>
      </w:pPr>
      <w:r>
        <w:t xml:space="preserve">The launch should not proceed until the mandatory client scenarios pass: role login, flat lookup, ledger balance, payment/restriction behavior, service ticket, staff completion, booking, move-in, checkout, document permission, reporting and AI guardrail behavior.</w:t>
      </w:r>
    </w:p>
    <w:p>
      <w:bookmarkStart w:id="2" w:name="toc_sec_002"/>
      <w:pPr>
        <w:pStyle w:val="Heading1"/>
        <w:spacing w:after="120" w:before="0" w:line="264"/>
      </w:pPr>
      <w:r>
        <w:t xml:space="preserve">2. Test Strategy</w:t>
      </w:r>
      <w:bookmarkEnd w:id="2"/>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gridCol w:w="100"/>
      </w:tblGrid>
      <w:tr>
        <w:trPr>
          <w:tblHeader/>
        </w:trPr>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Layer</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Purpose</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Example Coverage</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Unit tests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Prove domain rules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Ledger posting, balance calculation, restrictions, deposit settlement, permissions, AI guardrails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Integration tests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Prove services work together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Payment webhook idempotency, access action queue, notification delivery, storage permissions, RLS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E2E tests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Prove user workflows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Resident service request, debt block, staff completion, manager dashboard, booking and checkout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UAT scripts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Prove business acceptance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Client validates scenarios using realistic data</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Security checks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Prove safe controls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RBAC/RLS, file access, audit logs, ASVS checklist, secrets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Performance checks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Prove usability at expected scale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769-flat dashboard, search, reports, mobile staff/resident flows</w:t>
            </w:r>
          </w:p>
        </w:tc>
      </w:tr>
    </w:tbl>
    <w:p>
      <w:pPr>
        <w:spacing w:after="100"/>
      </w:pPr>
    </w:p>
    <w:p>
      <w:bookmarkStart w:id="3" w:name="toc_sec_003"/>
      <w:pPr>
        <w:pStyle w:val="Heading1"/>
        <w:spacing w:after="120" w:before="0" w:line="264"/>
      </w:pPr>
      <w:r>
        <w:t xml:space="preserve">3. UAT Workflow</w:t>
      </w:r>
      <w:bookmarkEnd w:id="3"/>
    </w:p>
    <w:p>
      <w:pPr>
        <w:spacing w:after="60" w:before="100"/>
        <w:jc w:val="center"/>
      </w:pPr>
      <w:r>
        <w:drawing>
          <ns2:inline distT="0" distB="0" distL="0" distR="0">
            <ns2:extent cx="5810250" cy="26003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r:embed="rId9" cstate="none"/>
                    <ns3:srcRect/>
                    <ns3:stretch>
                      <ns3:fillRect/>
                    </ns3:stretch>
                  </ns4:blipFill>
                  <ns4:spPr bwMode="auto">
                    <ns3:xfrm>
                      <ns3:off x="0" y="0"/>
                      <ns3:ext cx="5810250" cy="2600325"/>
                    </ns3:xfrm>
                    <ns3:prstGeom prst="rect">
                      <ns3:avLst/>
                    </ns3:prstGeom>
                  </ns4:spPr>
                </ns4:pic>
              </ns3:graphicData>
            </ns3:graphic>
          </ns2:inline>
        </w:drawing>
      </w:r>
    </w:p>
    <w:p>
      <w:pPr>
        <w:spacing w:after="180"/>
        <w:jc w:val="center"/>
      </w:pPr>
      <w:r>
        <w:rPr>
          <w:rFonts w:ascii="Arial Narrow" w:cs="Arial Narrow" w:eastAsia="Arial Narrow" w:hAnsi="Arial Narrow"/>
          <w:i/>
          <w:iCs/>
          <w:color w:val="5F6368"/>
          <w:sz w:val="18"/>
          <w:szCs w:val="18"/>
        </w:rPr>
        <w:t xml:space="preserve">Figure: UAT Workflow</w:t>
      </w:r>
    </w:p>
    <w:p>
      <w:bookmarkStart w:id="4" w:name="toc_sec_004"/>
      <w:pPr>
        <w:pStyle w:val="Heading1"/>
        <w:spacing w:after="120" w:before="0" w:line="264"/>
      </w:pPr>
      <w:r>
        <w:t xml:space="preserve">4. Mandatory UAT Scenarios</w:t>
      </w:r>
      <w:bookmarkEnd w:id="4"/>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gridCol w:w="100"/>
      </w:tblGrid>
      <w:tr>
        <w:trPr>
          <w:tblHeader/>
        </w:trPr>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Scenario</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Roles</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Acceptance Standard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Role login and navigation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Admin, manager, accountant, owner, tenant, staff</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Each role sees only permitted modules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769-flat lookup</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Flats filter by block, floor, status, owner/tenant and debt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Owner balance and statement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Owner, 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Balance matches ledger and statement export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Tenant service request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Tenant, manager, staff</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Request creates service order, ticket and status trail</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Debt blocks service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Tenant, manager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User sees clear reason and payment path</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Payment clears restriction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Tenant, 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Payment posts once and restriction status updates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Staff task completion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Staff, manager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Staff completes task with notes and media proof</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Booking creation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Availability prevents overlap and links deposit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Move-in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staff, tenant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Preparation tasks, access request and welcome notification are created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Checkout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Inspection, debt check, settlement and access action are complete</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Document access</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Owner, tenant, staff</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Users cannot view unauthorized documents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AI recommendation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AI shows sources and cannot execute restricted action</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Reporting</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Manager, accountant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Dashboard and exports match source records</w:t>
            </w:r>
          </w:p>
        </w:tc>
      </w:tr>
    </w:tbl>
    <w:p>
      <w:pPr>
        <w:spacing w:after="100"/>
      </w:pPr>
    </w:p>
    <w:p>
      <w:bookmarkStart w:id="5" w:name="toc_sec_005"/>
      <w:pPr>
        <w:pStyle w:val="Heading1"/>
        <w:spacing w:after="120" w:before="0" w:line="264"/>
      </w:pPr>
      <w:r>
        <w:t xml:space="preserve">5. Defect Severity Model</w:t>
      </w:r>
      <w:bookmarkEnd w:id="5"/>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gridCol w:w="100"/>
      </w:tblGrid>
      <w:tr>
        <w:trPr>
          <w:tblHeader/>
        </w:trPr>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Severity</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Definition</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Launch Impact</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Critical</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Finance corruption, role data leak, broken login, lost payment/access event</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Blocks launch</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High</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Mandatory workflow blocked or incorrect audit/restriction behavior</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Blocks launch unless formal waiver</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Medium</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Workaround exists but workflow is inefficient or confusing</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Fix before launch if in core flow</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Low</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Cosmetic or low-impact content issue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Can move to launch backlog</w:t>
            </w:r>
          </w:p>
        </w:tc>
      </w:tr>
    </w:tbl>
    <w:p>
      <w:pPr>
        <w:spacing w:after="100"/>
      </w:pPr>
    </w:p>
    <w:p>
      <w:bookmarkStart w:id="6" w:name="toc_sec_006"/>
      <w:pPr>
        <w:pStyle w:val="Heading1"/>
        <w:spacing w:after="120" w:before="0" w:line="264"/>
      </w:pPr>
      <w:r>
        <w:t xml:space="preserve">6. Release Gates</w:t>
      </w:r>
      <w:bookmarkEnd w:id="6"/>
    </w:p>
    <w:tbl>
      <w:tblPr>
        <w:tblW w:type="dxa" w:w="9360"/>
        <w:tblBorders>
          <w:top w:val="single" w:color="D9D9D9" w:sz="6"/>
          <w:left w:val="single" w:color="D9D9D9" w:sz="6"/>
          <w:bottom w:val="single" w:color="D9D9D9" w:sz="6"/>
          <w:right w:val="single" w:color="D9D9D9" w:sz="6"/>
          <w:insideH w:val="single" w:color="D9D9D9" w:sz="4"/>
          <w:insideV w:val="single" w:color="D9D9D9" w:sz="4"/>
        </w:tblBorders>
        <w:tblLayout w:type="fixed"/>
        <w:tblCellMar>
          <w:top w:type="dxa" w:w="80"/>
          <w:left w:type="dxa" w:w="120"/>
          <w:bottom w:type="dxa" w:w="80"/>
          <w:right w:type="dxa" w:w="120"/>
        </w:tblCellMar>
      </w:tblPr>
      <w:tblGrid>
        <w:gridCol w:w="100"/>
        <w:gridCol w:w="100"/>
        <w:gridCol w:w="100"/>
      </w:tblGrid>
      <w:tr>
        <w:trPr>
          <w:tblHeader/>
        </w:trPr>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Gate</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Required Evidence</w:t>
            </w:r>
          </w:p>
        </w:tc>
        <w:tc>
          <w:tcPr>
            <w:tcW w:type="dxa" w:w="3120"/>
            <w:shd w:fill="F2F2F2"/>
            <w:tcMar>
              <w:top w:type="dxa" w:w="100"/>
              <w:left w:type="dxa" w:w="140"/>
              <w:bottom w:type="dxa" w:w="100"/>
              <w:right w:type="dxa" w:w="140"/>
            </w:tcMar>
            <w:vAlign w:val="center"/>
          </w:tcPr>
          <w:p>
            <w:pPr>
              <w:spacing w:after="0" w:line="260"/>
            </w:pPr>
            <w:r>
              <w:rPr>
                <w:rFonts w:ascii="Arial Narrow" w:cs="Arial Narrow" w:eastAsia="Arial Narrow" w:hAnsi="Arial Narrow"/>
                <w:b/>
                <w:bCs/>
                <w:color w:val="000000"/>
                <w:sz w:val="20"/>
                <w:szCs w:val="20"/>
              </w:rPr>
              <w:t xml:space="preserve">Owner</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Feature complete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Scope checklist and demo</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Product lead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Test complete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Unit/integration/E2E/UAT evidence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QA lead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Security ready</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RBAC/RLS, ASVS-aligned checklist, secret check</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Security lead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Data ready</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Migration report and reconciliation sign-off</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Data lead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Operations ready</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Support runbook, monitoring, backup/restore evidence</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Delivery lead</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Training ready</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Role-based training delivered or scheduled</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Client operations</w:t>
            </w:r>
          </w:p>
        </w:tc>
      </w:tr>
      <w:tr>
        <w:trPr>
          <w:tblHeader w:val="false"/>
        </w:trPr>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Launch decision</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Open risks accepted and go-live approved</w:t>
            </w:r>
          </w:p>
        </w:tc>
        <w:tc>
          <w:tcPr>
            <w:tcW w:type="dxa" w:w="3120"/>
            <w:tcMar>
              <w:top w:type="dxa" w:w="100"/>
              <w:left w:type="dxa" w:w="140"/>
              <w:bottom w:type="dxa" w:w="100"/>
              <w:right w:type="dxa" w:w="140"/>
            </w:tcMar>
            <w:vAlign w:val="center"/>
          </w:tcPr>
          <w:p>
            <w:pPr>
              <w:spacing w:after="0" w:line="260"/>
            </w:pPr>
            <w:r>
              <w:rPr>
                <w:rFonts w:ascii="Arial Narrow" w:cs="Arial Narrow" w:eastAsia="Arial Narrow" w:hAnsi="Arial Narrow"/>
                <w:b w:val="false"/>
                <w:bCs w:val="false"/>
                <w:color w:val="111111"/>
                <w:sz w:val="20"/>
                <w:szCs w:val="20"/>
              </w:rPr>
              <w:t xml:space="preserve">Steering group</w:t>
            </w:r>
          </w:p>
        </w:tc>
      </w:tr>
    </w:tbl>
    <w:p>
      <w:pPr>
        <w:spacing w:after="100"/>
      </w:pPr>
    </w:p>
    <w:p>
      <w:bookmarkStart w:id="7" w:name="toc_sec_007"/>
      <w:pPr>
        <w:pStyle w:val="Heading1"/>
        <w:spacing w:after="120" w:before="0" w:line="264"/>
      </w:pPr>
      <w:r>
        <w:t xml:space="preserve">7. Launch Runbook</w:t>
      </w:r>
      <w:bookmarkEnd w:id="7"/>
    </w:p>
    <w:p>
      <w:pPr>
        <w:pStyle w:val="Heading2"/>
        <w:spacing w:after="120" w:before="0" w:line="264"/>
      </w:pPr>
      <w:r>
        <w:t xml:space="preserve">Pre-Launch</w:t>
      </w:r>
    </w:p>
    <w:p>
      <w:pPr>
        <w:pStyle w:val="ListParagraph"/>
        <w:numPr>
          <w:ilvl w:val="0"/>
          <w:numId w:val="2"/>
        </w:numPr>
        <w:spacing w:after="80" w:line="270"/>
      </w:pPr>
      <w:r>
        <w:t xml:space="preserve">Freeze scope for launch release.</w:t>
      </w:r>
    </w:p>
    <w:p>
      <w:pPr>
        <w:pStyle w:val="ListParagraph"/>
        <w:numPr>
          <w:ilvl w:val="0"/>
          <w:numId w:val="2"/>
        </w:numPr>
        <w:spacing w:after="80" w:line="270"/>
      </w:pPr>
      <w:r>
        <w:t xml:space="preserve">Confirm environment variables and secrets.</w:t>
      </w:r>
    </w:p>
    <w:p>
      <w:pPr>
        <w:pStyle w:val="ListParagraph"/>
        <w:numPr>
          <w:ilvl w:val="0"/>
          <w:numId w:val="2"/>
        </w:numPr>
        <w:spacing w:after="80" w:line="270"/>
      </w:pPr>
      <w:r>
        <w:t xml:space="preserve">Run database migrations in staging.</w:t>
      </w:r>
    </w:p>
    <w:p>
      <w:pPr>
        <w:pStyle w:val="ListParagraph"/>
        <w:numPr>
          <w:ilvl w:val="0"/>
          <w:numId w:val="2"/>
        </w:numPr>
        <w:spacing w:after="80" w:line="270"/>
      </w:pPr>
      <w:r>
        <w:t xml:space="preserve">Load or verify production seed/migration data.</w:t>
      </w:r>
    </w:p>
    <w:p>
      <w:pPr>
        <w:pStyle w:val="ListParagraph"/>
        <w:numPr>
          <w:ilvl w:val="0"/>
          <w:numId w:val="2"/>
        </w:numPr>
        <w:spacing w:after="80" w:line="270"/>
      </w:pPr>
      <w:r>
        <w:t xml:space="preserve">Complete backup/restore drill.</w:t>
      </w:r>
    </w:p>
    <w:p>
      <w:pPr>
        <w:pStyle w:val="ListParagraph"/>
        <w:numPr>
          <w:ilvl w:val="0"/>
          <w:numId w:val="2"/>
        </w:numPr>
        <w:spacing w:after="80" w:line="270"/>
      </w:pPr>
      <w:r>
        <w:t xml:space="preserve">Complete smoke tests in production-like environment.</w:t>
      </w:r>
    </w:p>
    <w:p>
      <w:pPr>
        <w:pStyle w:val="ListParagraph"/>
        <w:numPr>
          <w:ilvl w:val="0"/>
          <w:numId w:val="2"/>
        </w:numPr>
        <w:spacing w:after="80" w:line="270"/>
      </w:pPr>
      <w:r>
        <w:t xml:space="preserve">Prepare rollback plan.</w:t>
      </w:r>
    </w:p>
    <w:p>
      <w:pPr>
        <w:pStyle w:val="ListParagraph"/>
        <w:numPr>
          <w:ilvl w:val="0"/>
          <w:numId w:val="2"/>
        </w:numPr>
        <w:spacing w:after="80" w:line="270"/>
      </w:pPr>
      <w:r>
        <w:t xml:space="preserve">Prepare client support contacts.</w:t>
      </w:r>
    </w:p>
    <w:p>
      <w:pPr>
        <w:pStyle w:val="Heading2"/>
        <w:spacing w:after="120" w:before="0" w:line="264"/>
      </w:pPr>
      <w:r>
        <w:t xml:space="preserve">Launch Day</w:t>
      </w:r>
    </w:p>
    <w:p>
      <w:pPr>
        <w:pStyle w:val="ListParagraph"/>
        <w:numPr>
          <w:ilvl w:val="0"/>
          <w:numId w:val="2"/>
        </w:numPr>
        <w:spacing w:after="80" w:line="270"/>
      </w:pPr>
      <w:r>
        <w:t xml:space="preserve">Confirm production deployment.</w:t>
      </w:r>
    </w:p>
    <w:p>
      <w:pPr>
        <w:pStyle w:val="ListParagraph"/>
        <w:numPr>
          <w:ilvl w:val="0"/>
          <w:numId w:val="2"/>
        </w:numPr>
        <w:spacing w:after="80" w:line="270"/>
      </w:pPr>
      <w:r>
        <w:t xml:space="preserve">Run smoke test: login, dashboard, flat lookup, service request, ledger read, document access.</w:t>
      </w:r>
    </w:p>
    <w:p>
      <w:pPr>
        <w:pStyle w:val="ListParagraph"/>
        <w:numPr>
          <w:ilvl w:val="0"/>
          <w:numId w:val="2"/>
        </w:numPr>
        <w:spacing w:after="80" w:line="270"/>
      </w:pPr>
      <w:r>
        <w:t xml:space="preserve">Monitor logs, errors, payments/integrations and notification delivery.</w:t>
      </w:r>
    </w:p>
    <w:p>
      <w:pPr>
        <w:pStyle w:val="ListParagraph"/>
        <w:numPr>
          <w:ilvl w:val="0"/>
          <w:numId w:val="2"/>
        </w:numPr>
        <w:spacing w:after="80" w:line="270"/>
      </w:pPr>
      <w:r>
        <w:t xml:space="preserve">Keep launch bridge open for decision-makers and support.</w:t>
      </w:r>
    </w:p>
    <w:p>
      <w:pPr>
        <w:pStyle w:val="ListParagraph"/>
        <w:numPr>
          <w:ilvl w:val="0"/>
          <w:numId w:val="2"/>
        </w:numPr>
        <w:spacing w:after="80" w:line="270"/>
      </w:pPr>
      <w:r>
        <w:t xml:space="preserve">Record issues in one launch tracker.</w:t>
      </w:r>
    </w:p>
    <w:p>
      <w:pPr>
        <w:pStyle w:val="Heading2"/>
        <w:spacing w:after="120" w:before="0" w:line="264"/>
      </w:pPr>
      <w:r>
        <w:t xml:space="preserve">Hypercare</w:t>
      </w:r>
    </w:p>
    <w:p>
      <w:pPr>
        <w:pStyle w:val="ListParagraph"/>
        <w:numPr>
          <w:ilvl w:val="0"/>
          <w:numId w:val="2"/>
        </w:numPr>
        <w:spacing w:after="80" w:line="270"/>
      </w:pPr>
      <w:r>
        <w:t xml:space="preserve">Daily issue review for first week.</w:t>
      </w:r>
    </w:p>
    <w:p>
      <w:pPr>
        <w:pStyle w:val="ListParagraph"/>
        <w:numPr>
          <w:ilvl w:val="0"/>
          <w:numId w:val="2"/>
        </w:numPr>
        <w:spacing w:after="80" w:line="270"/>
      </w:pPr>
      <w:r>
        <w:t xml:space="preserve">Track adoption by role.</w:t>
      </w:r>
    </w:p>
    <w:p>
      <w:pPr>
        <w:pStyle w:val="ListParagraph"/>
        <w:numPr>
          <w:ilvl w:val="0"/>
          <w:numId w:val="2"/>
        </w:numPr>
        <w:spacing w:after="80" w:line="270"/>
      </w:pPr>
      <w:r>
        <w:t xml:space="preserve">Review support themes.</w:t>
      </w:r>
    </w:p>
    <w:p>
      <w:pPr>
        <w:pStyle w:val="ListParagraph"/>
        <w:numPr>
          <w:ilvl w:val="0"/>
          <w:numId w:val="2"/>
        </w:numPr>
        <w:spacing w:after="80" w:line="270"/>
      </w:pPr>
      <w:r>
        <w:t xml:space="preserve">Review finance and ticket correctness.</w:t>
      </w:r>
    </w:p>
    <w:p>
      <w:pPr>
        <w:pStyle w:val="ListParagraph"/>
        <w:numPr>
          <w:ilvl w:val="0"/>
          <w:numId w:val="2"/>
        </w:numPr>
        <w:spacing w:after="80" w:line="270"/>
      </w:pPr>
      <w:r>
        <w:t xml:space="preserve">Produce first-month adoption and stability report.</w:t>
      </w:r>
    </w:p>
    <w:p>
      <w:bookmarkStart w:id="8" w:name="toc_sec_008"/>
      <w:pPr>
        <w:pStyle w:val="Heading1"/>
        <w:spacing w:after="120" w:before="0" w:line="264"/>
      </w:pPr>
      <w:r>
        <w:t xml:space="preserve">8. QA Exit Checklist</w:t>
      </w:r>
      <w:bookmarkEnd w:id="8"/>
    </w:p>
    <w:p>
      <w:pPr>
        <w:pStyle w:val="ListParagraph"/>
        <w:numPr>
          <w:ilvl w:val="0"/>
          <w:numId w:val="2"/>
        </w:numPr>
        <w:spacing w:after="80" w:line="270"/>
      </w:pPr>
      <w:r>
        <w:t xml:space="preserve">No unresolved critical defects.</w:t>
      </w:r>
    </w:p>
    <w:p>
      <w:pPr>
        <w:pStyle w:val="ListParagraph"/>
        <w:numPr>
          <w:ilvl w:val="0"/>
          <w:numId w:val="2"/>
        </w:numPr>
        <w:spacing w:after="80" w:line="270"/>
      </w:pPr>
      <w:r>
        <w:t xml:space="preserve">High defects resolved or formally accepted.</w:t>
      </w:r>
    </w:p>
    <w:p>
      <w:pPr>
        <w:pStyle w:val="ListParagraph"/>
        <w:numPr>
          <w:ilvl w:val="0"/>
          <w:numId w:val="2"/>
        </w:numPr>
        <w:spacing w:after="80" w:line="270"/>
      </w:pPr>
      <w:r>
        <w:t xml:space="preserve">Mandatory UAT scenarios passed.</w:t>
      </w:r>
    </w:p>
    <w:p>
      <w:pPr>
        <w:pStyle w:val="ListParagraph"/>
        <w:numPr>
          <w:ilvl w:val="0"/>
          <w:numId w:val="2"/>
        </w:numPr>
        <w:spacing w:after="80" w:line="270"/>
      </w:pPr>
      <w:r>
        <w:t xml:space="preserve">Role permissions tested.</w:t>
      </w:r>
    </w:p>
    <w:p>
      <w:pPr>
        <w:pStyle w:val="ListParagraph"/>
        <w:numPr>
          <w:ilvl w:val="0"/>
          <w:numId w:val="2"/>
        </w:numPr>
        <w:spacing w:after="80" w:line="270"/>
      </w:pPr>
      <w:r>
        <w:t xml:space="preserve">Finance ledger tested.</w:t>
      </w:r>
    </w:p>
    <w:p>
      <w:pPr>
        <w:pStyle w:val="ListParagraph"/>
        <w:numPr>
          <w:ilvl w:val="0"/>
          <w:numId w:val="2"/>
        </w:numPr>
        <w:spacing w:after="80" w:line="270"/>
      </w:pPr>
      <w:r>
        <w:t xml:space="preserve">Debt and restriction behavior tested.</w:t>
      </w:r>
    </w:p>
    <w:p>
      <w:pPr>
        <w:pStyle w:val="ListParagraph"/>
        <w:numPr>
          <w:ilvl w:val="0"/>
          <w:numId w:val="2"/>
        </w:numPr>
        <w:spacing w:after="80" w:line="270"/>
      </w:pPr>
      <w:r>
        <w:t xml:space="preserve">Mobile PWA workflows tested.</w:t>
      </w:r>
    </w:p>
    <w:p>
      <w:pPr>
        <w:pStyle w:val="ListParagraph"/>
        <w:numPr>
          <w:ilvl w:val="0"/>
          <w:numId w:val="2"/>
        </w:numPr>
        <w:spacing w:after="80" w:line="270"/>
      </w:pPr>
      <w:r>
        <w:t xml:space="preserve">AI guardrail tests passed.</w:t>
      </w:r>
    </w:p>
    <w:p>
      <w:pPr>
        <w:pStyle w:val="ListParagraph"/>
        <w:numPr>
          <w:ilvl w:val="0"/>
          <w:numId w:val="2"/>
        </w:numPr>
        <w:spacing w:after="80" w:line="270"/>
      </w:pPr>
      <w:r>
        <w:t xml:space="preserve">Backup/restore evidence exists.</w:t>
      </w:r>
    </w:p>
    <w:p>
      <w:pPr>
        <w:pStyle w:val="ListParagraph"/>
        <w:numPr>
          <w:ilvl w:val="0"/>
          <w:numId w:val="2"/>
        </w:numPr>
        <w:spacing w:after="80" w:line="270"/>
      </w:pPr>
      <w:r>
        <w:t xml:space="preserve">Launch runbook approved.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Arial Narrow" w:cs="Arial Narrow" w:eastAsia="Arial Narrow" w:hAnsi="Arial Narrow"/>
        <w:color w:val="5F6368"/>
        <w:sz w:val="16"/>
        <w:szCs w:val="16"/>
      </w:rPr>
      <w:t xml:space="preserve">1Cati requirements package | WAMOCON GmbH | Internal planning artifact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6" w:space="1"/>
      </w:pBdr>
      <w:spacing w:after="120"/>
    </w:pPr>
    <w:r>
      <w:rPr>
        <w:rFonts w:ascii="Arial Narrow" w:cs="Arial Narrow" w:eastAsia="Arial Narrow" w:hAnsi="Arial Narrow"/>
        <w:b/>
        <w:bCs/>
        <w:color w:val="5F6368"/>
        <w:sz w:val="18"/>
        <w:szCs w:val="18"/>
      </w:rPr>
      <w:t xml:space="preserve">QA, UAT And Launch Plan</w:t>
    </w:r>
    <w:r>
      <w:rPr>
        <w:rFonts w:ascii="Arial Narrow" w:cs="Arial Narrow" w:eastAsia="Arial Narrow" w:hAnsi="Arial Narrow"/>
        <w:color w:val="5F6368"/>
        <w:sz w:val="18"/>
        <w:szCs w:val="18"/>
      </w:rPr>
      <w:t xml:space="preserve"> | STRICTLY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80"/>
        <w:ind w:left="720" w:hanging="360"/>
      </w:pPr>
      <w:rPr>
        <w:rFonts w:ascii="Symbol" w:cs="Symbol" w:eastAsia="Symbol" w:hAnsi="Symbol"/>
      </w:rPr>
    </w:lvl>
  </w:abstractNum>
  <w:abstractNum w:abstractNumId="3" w15:restartNumberingAfterBreak="0">
    <w:multiLevelType w:val="hybridMultilevel"/>
    <w:lvl w:ilvl="0" w15:tentative="1">
      <w:start w:val="1"/>
      <w:numFmt w:val="decimal"/>
      <w:lvlText w:val="%1."/>
      <w:lvlJc w:val="left"/>
      <w:pPr>
        <w:spacing w:after="80" w:line="28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color w:val="111111"/>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40404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40404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line="320"/>
      <w:outlineLvl w:val="0"/>
    </w:pPr>
    <w:rPr>
      <w:rFonts w:ascii="Arial Narrow" w:cs="Arial Narrow" w:eastAsia="Arial Narrow" w:hAnsi="Arial Narrow"/>
      <w:b/>
      <w:bCs/>
      <w:color w:val="000000"/>
      <w:sz w:val="32"/>
      <w:szCs w:val="32"/>
    </w:rPr>
  </w:style>
  <w:style w:type="paragraph" w:styleId="Heading2">
    <w:name w:val="Heading 2"/>
    <w:basedOn w:val="Normal"/>
    <w:next w:val="Normal"/>
    <w:qFormat/>
    <w:pPr>
      <w:spacing w:after="120" w:before="240" w:line="300"/>
      <w:outlineLvl w:val="1"/>
    </w:pPr>
    <w:rPr>
      <w:rFonts w:ascii="Arial Narrow" w:cs="Arial Narrow" w:eastAsia="Arial Narrow" w:hAnsi="Arial Narrow"/>
      <w:b/>
      <w:bCs/>
      <w:color w:val="000000"/>
      <w:sz w:val="26"/>
      <w:szCs w:val="26"/>
    </w:rPr>
  </w:style>
  <w:style w:type="paragraph" w:styleId="Heading3">
    <w:name w:val="Heading 3"/>
    <w:basedOn w:val="Normal"/>
    <w:next w:val="Normal"/>
    <w:qFormat/>
    <w:pPr>
      <w:spacing w:after="80" w:before="160" w:line="280"/>
      <w:outlineLvl w:val="2"/>
    </w:pPr>
    <w:rPr>
      <w:rFonts w:ascii="Arial Narrow" w:cs="Arial Narrow" w:eastAsia="Arial Narrow" w:hAnsi="Arial Narrow"/>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9fdb64a48391a28c66d01a2523f24da5bcd967.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UAT And Launch Plan: AI-Powered Residential Site Management CRM</dc:title>
  <dc:creator>1Cati / Product and Engineering</dc:creator>
  <dc:description>Test strategy, mandatory UAT scenarios, release gates, launch runbook and hypercare checklist</dc:description>
  <cp:lastModifiedBy>Un-named</cp:lastModifiedBy>
  <cp:revision>1</cp:revision>
  <dcterms:created xsi:type="dcterms:W3CDTF">2026-06-25T08:48:46.394Z</dcterms:created>
  <dcterms:modified xsi:type="dcterms:W3CDTF">2026-06-25T08:48:46.394Z</dcterms:modified>
</cp:coreProperties>
</file>

<file path=docProps/custom.xml><?xml version="1.0" encoding="utf-8"?>
<Properties xmlns="http://schemas.openxmlformats.org/officeDocument/2006/custom-properties" xmlns:vt="http://schemas.openxmlformats.org/officeDocument/2006/docPropsVTypes"/>
</file>