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15 wp14">
  <w:body>
    <w:p>
      <w:pPr>
        <w:spacing w:after="620"/>
        <w:jc w:val="right"/>
      </w:pPr>
      <w:r>
        <w:rPr>
          <w:rFonts w:ascii="Arial Narrow" w:cs="Arial Narrow" w:eastAsia="Arial Narrow" w:hAnsi="Arial Narrow"/>
          <w:b/>
          <w:bCs/>
          <w:color w:val="000000"/>
          <w:sz w:val="18"/>
          <w:szCs w:val="18"/>
        </w:rPr>
        <w:t xml:space="preserve">STRICTLY CONFIDENTIAL</w:t>
      </w:r>
    </w:p>
    <w:p>
      <w:pPr>
        <w:spacing w:after="80"/>
      </w:pP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SECURITY AND COMPLIANCE PLAN</w:t>
      </w:r>
    </w:p>
    <w:p>
      <w:pPr>
        <w:spacing w:after="140" w:line="540"/>
      </w:pPr>
      <w:r>
        <w:rPr>
          <w:rFonts w:ascii="Arial Narrow" w:cs="Arial Narrow" w:eastAsia="Arial Narrow" w:hAnsi="Arial Narrow"/>
          <w:b/>
          <w:bCs/>
          <w:color w:val="000000"/>
          <w:sz w:val="42"/>
          <w:szCs w:val="42"/>
        </w:rPr>
        <w:t xml:space="preserve">AI-Powered Residential Site Management CRM</w:t>
      </w:r>
    </w:p>
    <w:p>
      <w:pPr>
        <w:spacing w:after="360" w:line="340"/>
      </w:pPr>
      <w:r>
        <w:rPr>
          <w:rFonts w:ascii="Arial Narrow" w:cs="Arial Narrow" w:eastAsia="Arial Narrow" w:hAnsi="Arial Narrow"/>
          <w:color w:val="222222"/>
          <w:sz w:val="25"/>
          <w:szCs w:val="25"/>
        </w:rPr>
        <w:t xml:space="preserve">KVKK-aware processing, OWASP ASVS-aligned controls, data classification and sensitive workflow rules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RBAC/RLS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Audit and privacy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Sensitive workflows</w:t>
      </w:r>
    </w:p>
    <w:p>
      <w:pPr>
        <w:spacing w:after="60" w:before="28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for: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Ataberk Estate digital transformation planning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by: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1Cati / Product and Engineering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Design refresh: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25 June 2026</w:t>
      </w:r>
    </w:p>
    <w:p>
      <w:pPr>
        <w:spacing w:after="62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Status: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Consulting-ready v0.2</w:t>
      </w:r>
    </w:p>
    <w:p>
      <w:r>
        <w:br w:type="page"/>
      </w:r>
    </w:p>
    <w:p>
      <w:pPr>
        <w:pStyle w:val="Heading1"/>
        <w:spacing w:before="0" w:after="180" w:line="320" w:lineRule="auto"/>
      </w:pPr>
      <w:r>
        <w:rPr>
          <w:rFonts w:ascii="Arial Narrow" w:hAnsi="Arial Narrow"/>
          <w:color w:val="111111"/>
        </w:rPr>
        <w:t>Table of Contents</w:t>
      </w:r>
    </w:p>
    <w:p>
      <w:pPr>
        <w:spacing w:after="180" w:line="260" w:lineRule="auto"/>
      </w:pPr>
      <w:r>
        <w:rPr>
          <w:rFonts w:ascii="Arial Narrow" w:hAnsi="Arial Narrow"/>
          <w:color w:val="111111"/>
        </w:rPr>
        <w:t>Executive review map generated from the main document structure.</w:t>
      </w:r>
    </w:p>
    <w:p>
      <w:pPr>
        <w:spacing w:after="45" w:line="240" w:lineRule="auto"/>
        <w:ind w:left="0"/>
      </w:pPr>
      <w:hyperlink w:anchor="toc_sec_001">
        <w:r>
          <w:rPr>
            <w:rFonts w:ascii="Arial Narrow" w:hAnsi="Arial Narrow"/>
            <w:color w:val="111111"/>
          </w:rPr>
          <w:t>1. Executive Summary</w:t>
        </w:r>
      </w:hyperlink>
    </w:p>
    <w:p>
      <w:pPr>
        <w:spacing w:after="45" w:line="240" w:lineRule="auto"/>
        <w:ind w:left="0"/>
      </w:pPr>
      <w:hyperlink w:anchor="toc_sec_002">
        <w:r>
          <w:rPr>
            <w:rFonts w:ascii="Arial Narrow" w:hAnsi="Arial Narrow"/>
            <w:color w:val="111111"/>
          </w:rPr>
          <w:t>2. Reference Baseline</w:t>
        </w:r>
      </w:hyperlink>
    </w:p>
    <w:p>
      <w:pPr>
        <w:spacing w:after="45" w:line="240" w:lineRule="auto"/>
        <w:ind w:left="0"/>
      </w:pPr>
      <w:hyperlink w:anchor="toc_sec_003">
        <w:r>
          <w:rPr>
            <w:rFonts w:ascii="Arial Narrow" w:hAnsi="Arial Narrow"/>
            <w:color w:val="111111"/>
          </w:rPr>
          <w:t>3. Security Control Model</w:t>
        </w:r>
      </w:hyperlink>
    </w:p>
    <w:p>
      <w:pPr>
        <w:spacing w:after="45" w:line="240" w:lineRule="auto"/>
        <w:ind w:left="0"/>
      </w:pPr>
      <w:hyperlink w:anchor="toc_sec_004">
        <w:r>
          <w:rPr>
            <w:rFonts w:ascii="Arial Narrow" w:hAnsi="Arial Narrow"/>
            <w:color w:val="111111"/>
          </w:rPr>
          <w:t>4. Data Classification</w:t>
        </w:r>
      </w:hyperlink>
    </w:p>
    <w:p>
      <w:pPr>
        <w:spacing w:after="45" w:line="240" w:lineRule="auto"/>
        <w:ind w:left="0"/>
      </w:pPr>
      <w:hyperlink w:anchor="toc_sec_005">
        <w:r>
          <w:rPr>
            <w:rFonts w:ascii="Arial Narrow" w:hAnsi="Arial Narrow"/>
            <w:color w:val="111111"/>
          </w:rPr>
          <w:t>5. Control Matrix</w:t>
        </w:r>
      </w:hyperlink>
    </w:p>
    <w:p>
      <w:pPr>
        <w:spacing w:after="45" w:line="240" w:lineRule="auto"/>
        <w:ind w:left="0"/>
      </w:pPr>
      <w:hyperlink w:anchor="toc_sec_006">
        <w:r>
          <w:rPr>
            <w:rFonts w:ascii="Arial Narrow" w:hAnsi="Arial Narrow"/>
            <w:color w:val="111111"/>
          </w:rPr>
          <w:t>6. Sensitive Workflow Rules</w:t>
        </w:r>
      </w:hyperlink>
    </w:p>
    <w:p>
      <w:pPr>
        <w:spacing w:after="45" w:line="240" w:lineRule="auto"/>
        <w:ind w:left="0"/>
      </w:pPr>
      <w:hyperlink w:anchor="toc_sec_007">
        <w:r>
          <w:rPr>
            <w:rFonts w:ascii="Arial Narrow" w:hAnsi="Arial Narrow"/>
            <w:color w:val="111111"/>
          </w:rPr>
          <w:t>7. Compliance Open Questions</w:t>
        </w:r>
      </w:hyperlink>
    </w:p>
    <w:p>
      <w:pPr>
        <w:spacing w:after="45" w:line="240" w:lineRule="auto"/>
        <w:ind w:left="0"/>
      </w:pPr>
      <w:hyperlink w:anchor="toc_sec_008">
        <w:r>
          <w:rPr>
            <w:rFonts w:ascii="Arial Narrow" w:hAnsi="Arial Narrow"/>
            <w:color w:val="111111"/>
          </w:rPr>
          <w:t>8. Security Launch Checklist</w:t>
        </w:r>
      </w:hyperlink>
    </w:p>
    <w:p>
      <w:pPr/>
      <w:r>
        <w:br w:type="page"/>
      </w:r>
    </w:p>
    <w:p>
      <w:pPr>
        <w:pStyle w:val="Heading1"/>
        <w:spacing w:after="120" w:before="0" w:line="264"/>
      </w:pPr>
      <w:r>
        <w:t xml:space="preserve">Executive At-A-Glance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The system will process personal, financial, document, media, access and AI-event data, so security must be designed into launch scope.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Controls should combine authentication, RBAC, RLS, domain validation, audit logs, monitoring and approval workflows.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Debt-based access restriction, identity data, camera/media handling, payment compliance and retention require legal/accounting review.</w:t>
      </w:r>
    </w:p>
    <w:p>
      <w:pPr>
        <w:pStyle w:val="Heading1"/>
        <w:spacing w:after="120" w:before="0" w:line="264"/>
      </w:pPr>
      <w:r>
        <w:t xml:space="preserve">Reader Guide</w:t>
      </w:r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Security And Compliance Plan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Security, compliance, engineering, product and client leadership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Consulting-ready v0.2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STRICTLY CONFIDENTIAL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Design preset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Arial Narrow consulting report; black text; light-grey table and diagram system</w:t>
            </w:r>
          </w:p>
        </w:tc>
      </w:tr>
    </w:tbl>
    <w:p>
      <w:pPr>
        <w:pStyle w:val="Heading1"/>
        <w:spacing w:after="120" w:before="0" w:line="264"/>
      </w:pPr>
      <w:r>
        <w:t xml:space="preserve">Visual Navigation</w:t>
      </w:r>
    </w:p>
    <w:p>
      <w:pPr>
        <w:spacing w:after="60" w:before="100"/>
        <w:jc w:val="center"/>
      </w:pPr>
      <w:r>
        <w:drawing>
          <ns2:inline distT="0" distB="0" distL="0" distR="0">
            <ns2:extent cx="5810250" cy="2905125"/>
            <ns2:effectExtent t="0" r="0" b="0" l="0"/>
            <ns2:docPr id="1" name="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r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10250" cy="29051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i/>
          <w:iCs/>
          <w:color w:val="5F6368"/>
          <w:sz w:val="18"/>
          <w:szCs w:val="18"/>
        </w:rPr>
        <w:t xml:space="preserve">Figure: Security Control Model</w:t>
      </w:r>
    </w:p>
    <w:p>
      <w:r>
        <w:br w:type="page"/>
      </w:r>
    </w:p>
    <w:p>
      <w:bookmarkStart w:id="1" w:name="toc_sec_001"/>
      <w:pPr>
        <w:pStyle w:val="Heading1"/>
        <w:spacing w:after="120" w:before="0" w:line="264"/>
      </w:pPr>
      <w:r>
        <w:t xml:space="preserve">1. Executive Summary</w:t>
      </w:r>
      <w:bookmarkEnd w:id="1"/>
    </w:p>
    <w:p>
      <w:pPr>
        <w:spacing w:after="120" w:line="280"/>
      </w:pPr>
      <w:r>
        <w:t xml:space="preserve">The platform will process personal data, owner/tenant relationships, financial records, documents, media uploads, service communications, access actions and AI events. Security and compliance must be designed into the product from the first production release.</w:t>
      </w:r>
    </w:p>
    <w:p>
      <w:pPr>
        <w:spacing w:after="120" w:line="280"/>
      </w:pPr>
      <w:r>
        <w:t xml:space="preserve">This plan is not a legal opinion. It is a delivery checklist for engineering, product and operations. Debt restriction, access blocking, identity verification, camera data, document retention and payment compliance must still be reviewed by legal/accounting specialists before production launch.</w:t>
      </w:r>
    </w:p>
    <w:p>
      <w:bookmarkStart w:id="2" w:name="toc_sec_002"/>
      <w:pPr>
        <w:pStyle w:val="Heading1"/>
        <w:spacing w:after="120" w:before="0" w:line="264"/>
      </w:pPr>
      <w:r>
        <w:t xml:space="preserve">2. Reference Baseline</w:t>
      </w:r>
      <w:bookmarkEnd w:id="2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How It Applies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KVKK Personal Data Protection Law: https://www.kvkk.gov.tr/Icerik/6649/Personal-Data-Protection-Law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Personal data must be processed lawfully, fairly, purposefully and proportionately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OWASP ASVS: https://owasp.org/www-project-application-security-verification-standard/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Provides a structured baseline for testing web application security controls; current official page references ASVS 5.0.0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web.dev PWA guidance: https://web.dev/learn/pwa/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PWA should be treated as a modern installable web app with responsive design, service worker and secure delivery practices</w:t>
            </w:r>
          </w:p>
        </w:tc>
      </w:tr>
    </w:tbl>
    <w:p>
      <w:pPr>
        <w:spacing w:after="100"/>
      </w:pPr>
    </w:p>
    <w:p>
      <w:bookmarkStart w:id="3" w:name="toc_sec_003"/>
      <w:pPr>
        <w:pStyle w:val="Heading1"/>
        <w:spacing w:after="120" w:before="0" w:line="264"/>
      </w:pPr>
      <w:r>
        <w:t xml:space="preserve">3. Security Control Model</w:t>
      </w:r>
      <w:bookmarkEnd w:id="3"/>
    </w:p>
    <w:p>
      <w:pPr>
        <w:spacing w:after="60" w:before="100"/>
        <w:jc w:val="center"/>
      </w:pPr>
      <w:r>
        <w:drawing>
          <ns2:inline distT="0" distB="0" distL="0" distR="0">
            <ns2:extent cx="5810250" cy="2905125"/>
            <ns2:effectExtent t="0" r="0" b="0" l="0"/>
            <ns2:docPr id="1" name="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r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10250" cy="29051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i/>
          <w:iCs/>
          <w:color w:val="5F6368"/>
          <w:sz w:val="18"/>
          <w:szCs w:val="18"/>
        </w:rPr>
        <w:t xml:space="preserve">Figure: Security Control Model</w:t>
      </w:r>
    </w:p>
    <w:p>
      <w:bookmarkStart w:id="4" w:name="toc_sec_004"/>
      <w:pPr>
        <w:pStyle w:val="Heading1"/>
        <w:spacing w:after="120" w:before="0" w:line="264"/>
      </w:pPr>
      <w:r>
        <w:t xml:space="preserve">4. Data Classification</w:t>
      </w:r>
      <w:bookmarkEnd w:id="4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Data Class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Examples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Required Controls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Public/marketing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Public landing page content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Normal web publishing controls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Tickets, bookings, service categories, staff assignments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RBAC, audit for status changes, role-specific visibility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Personal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Names, contact data, owner/tenant relationships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Purpose limitation, role access, export caution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Ledger, balances, payments, deposits, refunds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Immutable postings, approval, idempotency, audit, restricted exports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Sensitive documents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Identity files, contracts, statements, legal notices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Storage permissions, download audit, retention review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Media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Task photos/videos, possible access/camera references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Role limits, retention policy, avoid unnecessary storage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Card/barrier IDs, activation/deactivation events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High privilege, approval, manual fallback, audit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events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Prompts, context, outputs, accepted/declined suggestions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Source links, role filtering, prompt/output logs, retention policy</w:t>
            </w:r>
          </w:p>
        </w:tc>
      </w:tr>
    </w:tbl>
    <w:p>
      <w:pPr>
        <w:spacing w:after="100"/>
      </w:pPr>
    </w:p>
    <w:p>
      <w:bookmarkStart w:id="5" w:name="toc_sec_005"/>
      <w:pPr>
        <w:pStyle w:val="Heading1"/>
        <w:spacing w:after="120" w:before="0" w:line="264"/>
      </w:pPr>
      <w:r>
        <w:t xml:space="preserve">5. Control Matrix</w:t>
      </w:r>
      <w:bookmarkEnd w:id="5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Required Control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Acceptance Evidence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Supabase Auth, secure session refresh, password reset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Login/logout/session tests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App-level RBAC plus database RLS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Role-based E2E and RLS tests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Finance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Immutable ledger, reversals, idempotency keys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Unit and integration tests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Files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Private buckets, signed URLs where needed, permission checks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Unauthorized file access test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Audit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Actor, timestamp, entity, action and sensitive before/after context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Audit log inspection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Signature verification, retry queue, health dashboard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Webhook and failure-mode tests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Source-linked, role-filtered, no direct sensitive mutations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safety/evaluation tests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Secrets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No secrets in client code or repository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Secret scan and env review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Structured logs without unnecessary personal data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Log review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Backup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Backup and restore drill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Restore evidence</w:t>
            </w:r>
          </w:p>
        </w:tc>
      </w:tr>
    </w:tbl>
    <w:p>
      <w:pPr>
        <w:spacing w:after="100"/>
      </w:pPr>
    </w:p>
    <w:p>
      <w:bookmarkStart w:id="6" w:name="toc_sec_006"/>
      <w:pPr>
        <w:pStyle w:val="Heading1"/>
        <w:spacing w:after="120" w:before="0" w:line="264"/>
      </w:pPr>
      <w:r>
        <w:t xml:space="preserve">6. Sensitive Workflow Rules</w:t>
      </w:r>
      <w:bookmarkEnd w:id="6"/>
    </w:p>
    <w:p>
      <w:pPr>
        <w:pStyle w:val="Heading2"/>
        <w:spacing w:after="120" w:before="0" w:line="264"/>
      </w:pPr>
      <w:r>
        <w:t xml:space="preserve">Finance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Posted records cannot be edited directly.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Corrections must use reversal or adjustment entries.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Refunds require explicit permission and audit.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Duplicate provider events must not double-post.</w:t>
      </w:r>
    </w:p>
    <w:p>
      <w:pPr>
        <w:pStyle w:val="Heading2"/>
        <w:spacing w:after="120" w:before="0" w:line="264"/>
      </w:pPr>
      <w:r>
        <w:t xml:space="preserve">Access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Access activation/deactivation must be recorded as an action request.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Manual override requires high privilege, reason and audit.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Debt-based access restriction requires legal review and client policy approval.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Failed access integrations must create visible alerts.</w:t>
      </w:r>
    </w:p>
    <w:p>
      <w:pPr>
        <w:pStyle w:val="Heading2"/>
        <w:spacing w:after="120" w:before="0" w:line="264"/>
      </w:pPr>
      <w:r>
        <w:t xml:space="preserve">Documents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Sensitive documents need role and relationship checks.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Downloads of sensitive documents should be auditable where required.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Retention and deletion rules require legal/accounting review.</w:t>
      </w:r>
    </w:p>
    <w:p>
      <w:pPr>
        <w:pStyle w:val="Heading2"/>
        <w:spacing w:after="120" w:before="0" w:line="264"/>
      </w:pPr>
      <w:r>
        <w:t xml:space="preserve">AI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cannot post payments.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cannot refund deposits.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cannot mutate ledger records.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cannot activate or disable access.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recommendations must show source data and be logged.</w:t>
      </w:r>
    </w:p>
    <w:p>
      <w:bookmarkStart w:id="7" w:name="toc_sec_007"/>
      <w:pPr>
        <w:pStyle w:val="Heading1"/>
        <w:spacing w:after="120" w:before="0" w:line="264"/>
      </w:pPr>
      <w:r>
        <w:t xml:space="preserve">7. Compliance Open Questions</w:t>
      </w:r>
      <w:bookmarkEnd w:id="7"/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Which data residency requirements apply?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Which user consent and privacy notices are required?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What retention periods apply to financial records, identity documents, media and chat?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What is the legal basis for access restriction due to debt?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Are camera references or video storage required?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Which payment provider compliance rules apply?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Who approves refunds, access changes and sensitive exports?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Which reports are legally required for site management?</w:t>
      </w:r>
    </w:p>
    <w:p>
      <w:bookmarkStart w:id="8" w:name="toc_sec_008"/>
      <w:pPr>
        <w:pStyle w:val="Heading1"/>
        <w:spacing w:after="120" w:before="0" w:line="264"/>
      </w:pPr>
      <w:r>
        <w:t xml:space="preserve">8. Security Launch Checklist</w:t>
      </w:r>
      <w:bookmarkEnd w:id="8"/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RBAC and RLS tests pass.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Finance integrity tests pass.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File permission tests pass.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Integration webhook tests pass.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Secrets are not committed.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Audit logs are created for sensitive actions.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Backup/restore drill is complete.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AI guardrail tests pass.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Legal/accounting review is complete for access, debt, payments, identity and retention.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Arial Narrow" w:cs="Arial Narrow" w:eastAsia="Arial Narrow" w:hAnsi="Arial Narrow"/>
        <w:color w:val="5F6368"/>
        <w:sz w:val="16"/>
        <w:szCs w:val="16"/>
      </w:rPr>
      <w:t xml:space="preserve">1Cati requirements package | WAMOCON GmbH | Internal planning artifact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1"/>
      </w:pBdr>
      <w:spacing w:after="120"/>
    </w:pPr>
    <w:r>
      <w:rPr>
        <w:rFonts w:ascii="Arial Narrow" w:cs="Arial Narrow" w:eastAsia="Arial Narrow" w:hAnsi="Arial Narrow"/>
        <w:b/>
        <w:bCs/>
        <w:color w:val="5F6368"/>
        <w:sz w:val="18"/>
        <w:szCs w:val="18"/>
      </w:rPr>
      <w:t xml:space="preserve">Security And Compliance Plan</w:t>
    </w:r>
    <w:r>
      <w:rPr>
        <w:rFonts w:ascii="Arial Narrow" w:cs="Arial Narrow" w:eastAsia="Arial Narrow" w:hAnsi="Arial Narrow"/>
        <w:color w:val="5F6368"/>
        <w:sz w:val="18"/>
        <w:szCs w:val="18"/>
      </w:rPr>
      <w:t xml:space="preserve"> |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280"/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color w:val="111111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40404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20"/>
      <w:outlineLvl w:val="0"/>
    </w:pPr>
    <w:rPr>
      <w:rFonts w:ascii="Arial Narrow" w:cs="Arial Narrow" w:eastAsia="Arial Narrow" w:hAnsi="Arial Narro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00"/>
      <w:outlineLvl w:val="1"/>
    </w:pPr>
    <w:rPr>
      <w:rFonts w:ascii="Arial Narrow" w:cs="Arial Narrow" w:eastAsia="Arial Narrow" w:hAnsi="Arial Narro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/>
      <w:outlineLvl w:val="2"/>
    </w:pPr>
    <w:rPr>
      <w:rFonts w:ascii="Arial Narrow" w:cs="Arial Narrow" w:eastAsia="Arial Narrow" w:hAnsi="Arial Narro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cf457def1dfbe38d4c2fa524912da76daea982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And Compliance Plan: AI-Powered Residential Site Management CRM</dc:title>
  <dc:creator>1Cati / Product and Engineering</dc:creator>
  <dc:description>KVKK-aware processing, OWASP ASVS-aligned controls, data classification and sensitive workflow rules</dc:description>
  <cp:lastModifiedBy>Un-named</cp:lastModifiedBy>
  <cp:revision>1</cp:revision>
  <dcterms:created xsi:type="dcterms:W3CDTF">2026-06-25T08:48:46.508Z</dcterms:created>
  <dcterms:modified xsi:type="dcterms:W3CDTF">2026-06-25T08:48:46.508Z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