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97316"/>
          <w:sz w:val="20"/>
        </w:rPr>
        <w:t>STRICTLY CONFIDENTIAL</w:t>
      </w:r>
    </w:p>
    <w:p/>
    <w:p/>
    <w:p>
      <w:pPr>
        <w:jc w:val="center"/>
      </w:pPr>
      <w:r>
        <w:rPr>
          <w:b/>
          <w:color w:val="0B1A2F"/>
          <w:sz w:val="96"/>
        </w:rPr>
        <w:t>1ÇATI</w:t>
      </w:r>
    </w:p>
    <w:p>
      <w:pPr>
        <w:jc w:val="center"/>
      </w:pPr>
      <w:r>
        <w:rPr>
          <w:color w:val="475569"/>
          <w:sz w:val="36"/>
        </w:rPr>
        <w:t>Integrierte Immobilienverwaltung mit Echtzeitkommunikation</w:t>
      </w:r>
    </w:p>
    <w:p/>
    <w:p>
      <w:pPr>
        <w:jc w:val="center"/>
      </w:pPr>
      <w:r>
        <w:rPr>
          <w:color w:val="1D4ED8"/>
        </w:rPr>
        <w:t>______________________________________________</w:t>
      </w:r>
    </w:p>
    <w:p/>
    <w:p>
      <w:pPr>
        <w:jc w:val="center"/>
      </w:pPr>
      <w:r>
        <w:rPr>
          <w:sz w:val="24"/>
        </w:rPr>
        <w:t>Auftraggeber: Ataberk Estate, Türkei</w:t>
        <w:br/>
      </w:r>
      <w:r>
        <w:rPr>
          <w:sz w:val="24"/>
        </w:rPr>
        <w:t>Zielgruppe: Russischsprachige Käufer, Mieter &amp; Eigentümer</w:t>
        <w:br/>
      </w:r>
      <w:r>
        <w:rPr>
          <w:sz w:val="24"/>
        </w:rPr>
        <w:t>Stand: Juni 2026  |  Version: Final 2.0</w:t>
      </w:r>
    </w:p>
    <w:p>
      <w:r>
        <w:br w:type="page"/>
      </w:r>
    </w:p>
    <w:p>
      <w:pPr>
        <w:pStyle w:val="Heading1"/>
      </w:pPr>
      <w:r>
        <w:rPr>
          <w:color w:val="0B1A2F"/>
        </w:rPr>
        <w:t>Inhaltsverzeichnis</w:t>
      </w:r>
    </w:p>
    <w:p>
      <w:r>
        <w:rPr>
          <w:b w:val="0"/>
          <w:i w:val="0"/>
          <w:sz w:val="22"/>
        </w:rPr>
        <w:t>1. Zusammenfassung für das Management</w:t>
      </w:r>
    </w:p>
    <w:p>
      <w:r>
        <w:rPr>
          <w:b w:val="0"/>
          <w:i w:val="0"/>
          <w:sz w:val="22"/>
        </w:rPr>
        <w:t>2. Unsere Methodik</w:t>
      </w:r>
    </w:p>
    <w:p>
      <w:r>
        <w:rPr>
          <w:b w:val="0"/>
          <w:i w:val="0"/>
          <w:sz w:val="22"/>
        </w:rPr>
        <w:t>3. Mandantenprofil: Ataberk Estate</w:t>
      </w:r>
    </w:p>
    <w:p>
      <w:r>
        <w:rPr>
          <w:b w:val="0"/>
          <w:i w:val="0"/>
          <w:sz w:val="22"/>
        </w:rPr>
        <w:t>4. Marktanalyse &amp; Wettbewerb</w:t>
      </w:r>
    </w:p>
    <w:p>
      <w:r>
        <w:rPr>
          <w:b w:val="0"/>
          <w:i w:val="0"/>
          <w:sz w:val="22"/>
        </w:rPr>
        <w:t>5. Ausgangslage &amp; Schmerzpunkte</w:t>
      </w:r>
    </w:p>
    <w:p>
      <w:r>
        <w:rPr>
          <w:b w:val="0"/>
          <w:i w:val="0"/>
          <w:sz w:val="22"/>
        </w:rPr>
        <w:t>6. Gap-Analyse: 7 Plattformen, 0 Treffer</w:t>
      </w:r>
    </w:p>
    <w:p>
      <w:r>
        <w:rPr>
          <w:b w:val="0"/>
          <w:i w:val="0"/>
          <w:sz w:val="22"/>
        </w:rPr>
        <w:t>7. Die 10 MUST-Anforderungen</w:t>
      </w:r>
    </w:p>
    <w:p>
      <w:r>
        <w:rPr>
          <w:b w:val="0"/>
          <w:i w:val="0"/>
          <w:sz w:val="22"/>
        </w:rPr>
        <w:t>8. Die Lösung: 1Çatı Plattform</w:t>
      </w:r>
    </w:p>
    <w:p>
      <w:r>
        <w:rPr>
          <w:b w:val="0"/>
          <w:i w:val="0"/>
          <w:sz w:val="22"/>
        </w:rPr>
        <w:t>9. Technologie-Architektur</w:t>
      </w:r>
    </w:p>
    <w:p>
      <w:r>
        <w:rPr>
          <w:b w:val="0"/>
          <w:i w:val="0"/>
          <w:sz w:val="22"/>
        </w:rPr>
        <w:t>10. Open-Source Power-Stack</w:t>
      </w:r>
    </w:p>
    <w:p>
      <w:r>
        <w:rPr>
          <w:b w:val="0"/>
          <w:i w:val="0"/>
          <w:sz w:val="22"/>
        </w:rPr>
        <w:t>11. KI-Integration &amp; Automatisierung</w:t>
      </w:r>
    </w:p>
    <w:p>
      <w:r>
        <w:rPr>
          <w:b w:val="0"/>
          <w:i w:val="0"/>
          <w:sz w:val="22"/>
        </w:rPr>
        <w:t>12. Investitionsrahmen &amp; Finanzmodell</w:t>
      </w:r>
    </w:p>
    <w:p>
      <w:r>
        <w:rPr>
          <w:b w:val="0"/>
          <w:i w:val="0"/>
          <w:sz w:val="22"/>
        </w:rPr>
        <w:t>13. Implementierungsroadmap</w:t>
      </w:r>
    </w:p>
    <w:p>
      <w:r>
        <w:rPr>
          <w:b w:val="0"/>
          <w:i w:val="0"/>
          <w:sz w:val="22"/>
        </w:rPr>
        <w:t>14. Risikoanalyse</w:t>
      </w:r>
    </w:p>
    <w:p>
      <w:r>
        <w:rPr>
          <w:b w:val="0"/>
          <w:i w:val="0"/>
          <w:sz w:val="22"/>
        </w:rPr>
        <w:t>15. Unsere Empfehlung &amp; Nächste Schritte</w:t>
      </w:r>
    </w:p>
    <w:p>
      <w:r>
        <w:br w:type="page"/>
      </w:r>
    </w:p>
    <w:p>
      <w:pPr>
        <w:pStyle w:val="Heading1"/>
      </w:pPr>
      <w:r>
        <w:rPr>
          <w:color w:val="0B1A2F"/>
        </w:rPr>
        <w:t>1. Zusammenfassung für das Management</w:t>
      </w:r>
    </w:p>
    <w:p>
      <w:pPr>
        <w:pStyle w:val="Heading2"/>
      </w:pPr>
      <w:r>
        <w:rPr>
          <w:color w:val="0B1A2F"/>
        </w:rPr>
        <w:t>Kontext</w:t>
      </w:r>
    </w:p>
    <w:p>
      <w:r>
        <w:rPr>
          <w:b w:val="0"/>
          <w:i w:val="0"/>
          <w:sz w:val="22"/>
        </w:rPr>
        <w:t>Ataberk Estate betreibt ein Immobilienunternehmen in der Türkei mit Fokus auf russischsprachige Käufer, Mieter und Eigentümer. Nach systematischer Evaluierung von sieben führenden Property-Management-Plattformen (AppFolio, Yardi, Entrata, BuildingLink, Rent Manager, SiteSoft, Dom.Kontrol) sowie lokaler türkischer und russischer Listing-Plattformen wurde festgestellt: Keine existierende Lösung erfüllt alle zehn MUST-Anforderungen aus einer Hand.</w:t>
      </w:r>
    </w:p>
    <w:p>
      <w:r>
        <w:rPr>
          <w:b w:val="0"/>
          <w:i w:val="0"/>
          <w:sz w:val="22"/>
        </w:rPr>
        <w:t>Die größten Marktlücken bestehen bei integrierter Echtzeitkommunikation (VoIP/Video/Chat), multimedialer Ticketerfassung, privatem Ende-zu-Ende-Chat und netzunabhängiger Offline-Funktionalität.</w:t>
      </w:r>
    </w:p>
    <w:p>
      <w:pPr>
        <w:pStyle w:val="Heading2"/>
      </w:pPr>
      <w:r>
        <w:rPr>
          <w:color w:val="0B1A2F"/>
        </w:rPr>
        <w:t>Kernergebnisse</w:t>
      </w:r>
    </w:p>
    <w:p>
      <w:pPr>
        <w:pStyle w:val="ListBullet"/>
      </w:pPr>
      <w:r>
        <w:t>Die aktuelle digitale Infrastruktur unterstützt das Wachstumspotenzial nicht. Die Website ist statisch, Buchungen erfolgen manuell via WhatsApp und Telegram, und es existiert keine integrierte Kundenbeziehungsführung.</w:t>
      </w:r>
    </w:p>
    <w:p>
      <w:pPr>
        <w:pStyle w:val="ListBullet"/>
      </w:pPr>
      <w:r>
        <w:t>Der digitale Reifegrad wird auf 35/100 geschätzt – deutlich unter dem Branchendurchschnitt von 62/100.</w:t>
      </w:r>
    </w:p>
    <w:p>
      <w:pPr>
        <w:pStyle w:val="ListBullet"/>
      </w:pPr>
      <w:r>
        <w:t>50 % aller Immobilienbuchungen erfolgen inzwischen online. Wettbewerber digitalisieren schnell. Nicht-Investition bedeutet Marktanteilsverlust.</w:t>
      </w:r>
    </w:p>
    <w:p>
      <w:pPr>
        <w:pStyle w:val="ListBullet"/>
      </w:pPr>
      <w:r>
        <w:t>Die höchste Rendite erzielt sich durch die Kombination aus KI-Chatbot + integrierter Kommunikationsschicht + zentralem CRM. Diese drei Maßnahmen adressieren gleichzeitig den größten operativen Schmerzpunkt (fragmentierte Kommunikation), die größte Sichtbarkeitslücke und den schnellsten messbaren Impact.</w:t>
      </w:r>
    </w:p>
    <w:p>
      <w:pPr>
        <w:pStyle w:val="ListBullet"/>
      </w:pPr>
      <w:r>
        <w:t>Break-even wird innerhalb von 8 bis 10 Monaten erwartet. Die Investition amortisiert sich durch erhöhte Effizienz (+15 %), reduzierten Verwaltungsaufwand (-70 %) und gesteigerten Umsatz pro Transaktion (+33 %).</w:t>
      </w:r>
    </w:p>
    <w:p>
      <w:pPr>
        <w:pStyle w:val="Heading2"/>
      </w:pPr>
      <w:r>
        <w:rPr>
          <w:color w:val="0B1A2F"/>
        </w:rPr>
        <w:t>Investitionsempfehlung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Phase</w:t>
            </w:r>
          </w:p>
        </w:tc>
        <w:tc>
          <w:tcPr>
            <w:tcW w:type="dxa" w:w="1728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Zeitraum</w:t>
            </w:r>
          </w:p>
        </w:tc>
        <w:tc>
          <w:tcPr>
            <w:tcW w:type="dxa" w:w="129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Budget</w:t>
            </w:r>
          </w:p>
        </w:tc>
        <w:tc>
          <w:tcPr>
            <w:tcW w:type="dxa" w:w="4608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Inhalt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Phase 1: Grundlage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Monat 1–2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$18.000</w:t>
            </w:r>
          </w:p>
        </w:tc>
        <w:tc>
          <w:tcPr>
            <w:tcW w:type="dxa" w:w="4608"/>
            <w:vAlign w:val="center"/>
          </w:tcPr>
          <w:p>
            <w:pPr>
              <w:spacing w:after="60" w:before="60"/>
            </w:pPr>
            <w:r>
              <w:t>Supabase, Auth, 2FA, Rollensystem, PWA-Grundgerüst, CI/CD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Phase 2: Core CRM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Monat 3–4,5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$22.000</w:t>
            </w:r>
          </w:p>
        </w:tc>
        <w:tc>
          <w:tcPr>
            <w:tcW w:type="dxa" w:w="4608"/>
            <w:vAlign w:val="center"/>
          </w:tcPr>
          <w:p>
            <w:pPr>
              <w:spacing w:after="60" w:before="60"/>
            </w:pPr>
            <w:r>
              <w:t>Twenty CRM, Immobilien-Objekte, Ticketsystem, Kalender, Multimedia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Phase 3: Kommunikation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Monat 4,5–7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$25.000</w:t>
            </w:r>
          </w:p>
        </w:tc>
        <w:tc>
          <w:tcPr>
            <w:tcW w:type="dxa" w:w="4608"/>
            <w:vAlign w:val="center"/>
          </w:tcPr>
          <w:p>
            <w:pPr>
              <w:spacing w:after="60" w:before="60"/>
            </w:pPr>
            <w:r>
              <w:t>Socket.io-Chat, WebRTC VoIP/Video, E2E-Chats, Offline-Sync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Phase 4: Intelligenz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Monat 7–9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$15.000</w:t>
            </w:r>
          </w:p>
        </w:tc>
        <w:tc>
          <w:tcPr>
            <w:tcW w:type="dxa" w:w="4608"/>
            <w:vAlign w:val="center"/>
          </w:tcPr>
          <w:p>
            <w:pPr>
              <w:spacing w:after="60" w:before="60"/>
            </w:pPr>
            <w:r>
              <w:t>OpenClaw KI-Chatbot, Analytics, Automatisierungsworkflows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Phase 5: Launch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Monat 9–10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$10.000</w:t>
            </w:r>
          </w:p>
        </w:tc>
        <w:tc>
          <w:tcPr>
            <w:tcW w:type="dxa" w:w="4608"/>
            <w:vAlign w:val="center"/>
          </w:tcPr>
          <w:p>
            <w:pPr>
              <w:spacing w:after="60" w:before="60"/>
            </w:pPr>
            <w:r>
              <w:t>UAT, Penetration Testing, Performance, Schulung, Go-Live</w:t>
            </w:r>
          </w:p>
        </w:tc>
      </w:tr>
    </w:tbl>
    <w:p/>
    <w:p>
      <w:r>
        <w:rPr>
          <w:b/>
          <w:i w:val="0"/>
          <w:color w:val="1D4ED8"/>
          <w:sz w:val="22"/>
        </w:rPr>
        <w:t>Gesamt: 10 Monate / $90.000 / Vollständige digitale Transformation mit $0 jährlichen Lizenzkosten.</w:t>
      </w:r>
    </w:p>
    <w:p>
      <w:r>
        <w:br w:type="page"/>
      </w:r>
    </w:p>
    <w:p>
      <w:pPr>
        <w:pStyle w:val="Heading1"/>
      </w:pPr>
      <w:r>
        <w:rPr>
          <w:color w:val="0B1A2F"/>
        </w:rPr>
        <w:t>2. Unsere Methodik</w:t>
      </w:r>
    </w:p>
    <w:p>
      <w:r>
        <w:rPr>
          <w:b w:val="0"/>
          <w:i w:val="0"/>
          <w:sz w:val="22"/>
        </w:rPr>
        <w:t>Diese Studie basiert auf einem dreistufigen Analyserahmen:</w:t>
      </w:r>
    </w:p>
    <w:p>
      <w:pPr>
        <w:pStyle w:val="Heading2"/>
      </w:pPr>
      <w:r>
        <w:rPr>
          <w:color w:val="0B1A2F"/>
        </w:rPr>
        <w:t>Stufe 1: Primärforschung</w:t>
      </w:r>
    </w:p>
    <w:p>
      <w:pPr>
        <w:pStyle w:val="ListBullet"/>
      </w:pPr>
      <w:r>
        <w:t>Website-Audit des Mandanten, Social-Media-Analyse (VKontakte, Telegram), Bewertungsanalyse auf Google Maps, direkte Beobachtung der Buchungsprozesse.</w:t>
      </w:r>
    </w:p>
    <w:p>
      <w:pPr>
        <w:pStyle w:val="Heading2"/>
      </w:pPr>
      <w:r>
        <w:rPr>
          <w:color w:val="0B1A2F"/>
        </w:rPr>
        <w:t>Stufe 2: Sekundärforschung</w:t>
      </w:r>
    </w:p>
    <w:p>
      <w:pPr>
        <w:pStyle w:val="ListBullet"/>
      </w:pPr>
      <w:r>
        <w:t>Marktdaten aus verifizierten Quellen (Market Data Forecast, Fortune Business Insights, Cognitive Market Research), Wettbewerbsanalyse von 9 evaluierten Plattformen, Technologie-Vendor-Analyse.</w:t>
      </w:r>
    </w:p>
    <w:p>
      <w:pPr>
        <w:pStyle w:val="Heading2"/>
      </w:pPr>
      <w:r>
        <w:rPr>
          <w:color w:val="0B1A2F"/>
        </w:rPr>
        <w:t>Stufe 3: Modellierung</w:t>
      </w:r>
    </w:p>
    <w:p>
      <w:pPr>
        <w:pStyle w:val="ListBullet"/>
      </w:pPr>
      <w:r>
        <w:t>Finanzmodell basierend auf Branchen-CAGR, verifizierten Conversion-Improvement-Raten und konservativen Annahmen über Besucherwachstum sowie Preiselastizität.</w:t>
      </w:r>
    </w:p>
    <w:p>
      <w:r>
        <w:rPr>
          <w:b w:val="0"/>
          <w:i/>
          <w:color w:val="475569"/>
          <w:sz w:val="22"/>
        </w:rPr>
        <w:t>Einschränkungen: Umsatzzahlen des Mandanten sind geschätzt, da keine internen Finanzdaten zur Verfügung standen. Die Schätzung basiert auf Branchenbenchmarks vergleichbarer Betriebe. Marktprojektionen unterliegen den üblichen makroökonomischen Unsicherheiten.</w:t>
      </w:r>
    </w:p>
    <w:p>
      <w:r>
        <w:br w:type="page"/>
      </w:r>
    </w:p>
    <w:p>
      <w:pPr>
        <w:pStyle w:val="Heading1"/>
      </w:pPr>
      <w:r>
        <w:rPr>
          <w:color w:val="0B1A2F"/>
        </w:rPr>
        <w:t>3. Mandantenprofil: Ataberk Estate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Kriterium</w:t>
            </w:r>
          </w:p>
        </w:tc>
        <w:tc>
          <w:tcPr>
            <w:tcW w:type="dxa" w:w="6768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Beschreibung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Unternehmen</w:t>
            </w:r>
          </w:p>
        </w:tc>
        <w:tc>
          <w:tcPr>
            <w:tcW w:type="dxa" w:w="6768"/>
            <w:vAlign w:val="center"/>
          </w:tcPr>
          <w:p>
            <w:pPr>
              <w:spacing w:after="60" w:before="60"/>
            </w:pPr>
            <w:r>
              <w:t>Ataberk Estate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Standort</w:t>
            </w:r>
          </w:p>
        </w:tc>
        <w:tc>
          <w:tcPr>
            <w:tcW w:type="dxa" w:w="6768"/>
            <w:vAlign w:val="center"/>
          </w:tcPr>
          <w:p>
            <w:pPr>
              <w:spacing w:after="60" w:before="60"/>
            </w:pPr>
            <w:r>
              <w:t>Türkei (Kundenzielgruppe: Russischsprachige)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Website</w:t>
            </w:r>
          </w:p>
        </w:tc>
        <w:tc>
          <w:tcPr>
            <w:tcW w:type="dxa" w:w="6768"/>
            <w:vAlign w:val="center"/>
          </w:tcPr>
          <w:p>
            <w:pPr>
              <w:spacing w:after="60" w:before="60"/>
            </w:pPr>
            <w:r>
              <w:t>ataberkestate.com (aktuell: statisches Marketing-Portal)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Immobilienbestand</w:t>
            </w:r>
          </w:p>
        </w:tc>
        <w:tc>
          <w:tcPr>
            <w:tcW w:type="dxa" w:w="6768"/>
            <w:vAlign w:val="center"/>
          </w:tcPr>
          <w:p>
            <w:pPr>
              <w:spacing w:after="60" w:before="60"/>
            </w:pPr>
            <w:r>
              <w:t>212.298+ Objekte in der Datenbank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Zielgruppe</w:t>
            </w:r>
          </w:p>
        </w:tc>
        <w:tc>
          <w:tcPr>
            <w:tcW w:type="dxa" w:w="6768"/>
            <w:vAlign w:val="center"/>
          </w:tcPr>
          <w:p>
            <w:pPr>
              <w:spacing w:after="60" w:before="60"/>
            </w:pPr>
            <w:r>
              <w:t>Russischsprachige Immobilienkäufer, Mieter und Eigentümer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Kommunikation</w:t>
            </w:r>
          </w:p>
        </w:tc>
        <w:tc>
          <w:tcPr>
            <w:tcW w:type="dxa" w:w="6768"/>
            <w:vAlign w:val="center"/>
          </w:tcPr>
          <w:p>
            <w:pPr>
              <w:spacing w:after="60" w:before="60"/>
            </w:pPr>
            <w:r>
              <w:t>WhatsApp, Telegram, Telefon (fragmentiert, nicht zentralisiert)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Herausforderung</w:t>
            </w:r>
          </w:p>
        </w:tc>
        <w:tc>
          <w:tcPr>
            <w:tcW w:type="dxa" w:w="6768"/>
            <w:vAlign w:val="center"/>
          </w:tcPr>
          <w:p>
            <w:pPr>
              <w:spacing w:after="60" w:before="60"/>
            </w:pPr>
            <w:r>
              <w:t>Keine integrierte Verwaltungs- und Kommunikationsplattform</w:t>
            </w:r>
          </w:p>
        </w:tc>
      </w:tr>
    </w:tbl>
    <w:p/>
    <w:p>
      <w:pPr>
        <w:pStyle w:val="Heading2"/>
      </w:pPr>
      <w:r>
        <w:rPr>
          <w:color w:val="0B1A2F"/>
        </w:rPr>
        <w:t>Aktuelle Website-Analyse</w:t>
      </w:r>
    </w:p>
    <w:p>
      <w:pPr>
        <w:pStyle w:val="ListBullet"/>
      </w:pPr>
      <w:r>
        <w:t>Grundlegende Immobiliensuche (Typ, Ort, Preis, Zimmer)</w:t>
      </w:r>
    </w:p>
    <w:p>
      <w:pPr>
        <w:pStyle w:val="ListBullet"/>
      </w:pPr>
      <w:r>
        <w:t>212.298+ gelistete Objekte (Verkauf &amp; Vermietung)</w:t>
      </w:r>
    </w:p>
    <w:p>
      <w:pPr>
        <w:pStyle w:val="ListBullet"/>
      </w:pPr>
      <w:r>
        <w:t>WhatsApp-Integration für direkte Anfragen</w:t>
      </w:r>
    </w:p>
    <w:p>
      <w:pPr>
        <w:pStyle w:val="ListBullet"/>
      </w:pPr>
      <w:r>
        <w:t>Statische Informationsseiten (Über uns, Dienstleistungen, Artikel)</w:t>
      </w:r>
    </w:p>
    <w:p>
      <w:pPr>
        <w:pStyle w:val="ListBullet"/>
      </w:pPr>
      <w:r>
        <w:t>KEINE Nutzerregistrierung, KEIN CRM, KEINE Ticketverfolgung</w:t>
      </w:r>
    </w:p>
    <w:p>
      <w:pPr>
        <w:pStyle w:val="Heading2"/>
      </w:pPr>
      <w:r>
        <w:rPr>
          <w:color w:val="0B1A2F"/>
        </w:rPr>
        <w:t>SWOT-Analyse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</w:r>
          </w:p>
        </w:tc>
        <w:tc>
          <w:tcPr>
            <w:tcW w:type="dxa" w:w="3135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Hilfreich</w:t>
            </w:r>
          </w:p>
        </w:tc>
        <w:tc>
          <w:tcPr>
            <w:tcW w:type="dxa" w:w="3135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Schädlich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80"/>
            </w:pPr>
            <w:r>
              <w:t>Intern</w:t>
            </w:r>
          </w:p>
        </w:tc>
        <w:tc>
          <w:tcPr>
            <w:tcW w:type="dxa" w:w="3135"/>
            <w:vAlign w:val="center"/>
          </w:tcPr>
          <w:p>
            <w:pPr>
              <w:spacing w:after="80"/>
            </w:pPr>
            <w:r>
              <w:t>Stärken: Große Immobiliendatenbank; etablierte Marke bei russischsprachigen Käufern.</w:t>
            </w:r>
          </w:p>
        </w:tc>
        <w:tc>
          <w:tcPr>
            <w:tcW w:type="dxa" w:w="3135"/>
            <w:vAlign w:val="center"/>
          </w:tcPr>
          <w:p>
            <w:pPr>
              <w:spacing w:after="80"/>
            </w:pPr>
            <w:r>
              <w:t>Schwächen: Statische Website, keine CRM-Prozesse, fragmentierte Kommunikation.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80"/>
            </w:pPr>
            <w:r>
              <w:t>Extern</w:t>
            </w:r>
          </w:p>
        </w:tc>
        <w:tc>
          <w:tcPr>
            <w:tcW w:type="dxa" w:w="3135"/>
            <w:vAlign w:val="center"/>
          </w:tcPr>
          <w:p>
            <w:pPr>
              <w:spacing w:after="80"/>
            </w:pPr>
            <w:r>
              <w:t>Chancen: Erste integrierte Plattform für russischsprachigen Markt; SaaS-Vertrieb möglich.</w:t>
            </w:r>
          </w:p>
        </w:tc>
        <w:tc>
          <w:tcPr>
            <w:tcW w:type="dxa" w:w="3135"/>
            <w:vAlign w:val="center"/>
          </w:tcPr>
          <w:p>
            <w:pPr>
              <w:spacing w:after="80"/>
            </w:pPr>
            <w:r>
              <w:t>Risiken: Wettbewerber digitalisieren schneller; Marktanteilsverlust bei Nicht-Investition.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B1A2F"/>
        </w:rPr>
        <w:t>4. Marktanalyse &amp; Wettbewerb</w:t>
      </w:r>
    </w:p>
    <w:p>
      <w:pPr>
        <w:pStyle w:val="Heading2"/>
      </w:pPr>
      <w:r>
        <w:rPr>
          <w:color w:val="0B1A2F"/>
        </w:rPr>
        <w:t>Globaler &amp; Europäischer Property-Management-Software-Markt</w:t>
      </w:r>
    </w:p>
    <w:p>
      <w:r>
        <w:rPr>
          <w:b w:val="0"/>
          <w:i w:val="0"/>
          <w:sz w:val="22"/>
        </w:rPr>
        <w:t>Der globale Markt für Property-Management-Software wird für 2026 auf $7,7 Mrd. geschätzt und wächst mit einer CAGR von 9,3 % bis 2035 (Research Nester).</w:t>
      </w:r>
    </w:p>
    <w:p>
      <w:r>
        <w:rPr>
          <w:b w:val="0"/>
          <w:i w:val="0"/>
          <w:sz w:val="22"/>
        </w:rPr>
        <w:t>Der europäische Markt für Property-Management-Software wird für 2026 auf $1,09 Mrd. geschätzt und wächst mit einer CAGR von 6,87 % bis 2034 (Market Data Forecast).</w:t>
      </w:r>
    </w:p>
    <w:p>
      <w:r>
        <w:rPr>
          <w:b w:val="0"/>
          <w:i w:val="0"/>
          <w:sz w:val="22"/>
        </w:rPr>
        <w:t>Besonders relevant für Ataberk Estate: Der russische Markt für Real-Estate-Software wächst mit einer CAGR von 10,8 % und erreichte 2024 bereits $495 Mio. (Cognitive Market Research).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Region</w:t>
            </w:r>
          </w:p>
        </w:tc>
        <w:tc>
          <w:tcPr>
            <w:tcW w:type="dxa" w:w="201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Marktgröße</w:t>
            </w:r>
          </w:p>
        </w:tc>
        <w:tc>
          <w:tcPr>
            <w:tcW w:type="dxa" w:w="158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CAGR</w:t>
            </w:r>
          </w:p>
        </w:tc>
        <w:tc>
          <w:tcPr>
            <w:tcW w:type="dxa" w:w="3888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Quelle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60" w:before="60"/>
            </w:pPr>
            <w:r>
              <w:t>Global</w:t>
            </w:r>
          </w:p>
        </w:tc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$7,7 Mrd. (2026)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9,3 % (2026–2035)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t>Research Nester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60" w:before="60"/>
            </w:pPr>
            <w:r>
              <w:t>Europa</w:t>
            </w:r>
          </w:p>
        </w:tc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$1,09 Mrd. (2026)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6,87 % (2026–2034)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t>Market Data Forecast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60" w:before="60"/>
            </w:pPr>
            <w:r>
              <w:t>Russland</w:t>
            </w:r>
          </w:p>
        </w:tc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$495 Mio. (2024)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10,8 %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t>Cognitive Market Research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60" w:before="60"/>
            </w:pPr>
            <w:r>
              <w:t>Deutschland</w:t>
            </w:r>
          </w:p>
        </w:tc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$633 Mio. (2024)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12,0 %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t>Cognitive Market Research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60" w:before="60"/>
            </w:pPr>
            <w:r>
              <w:t>UK</w:t>
            </w:r>
          </w:p>
        </w:tc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$537 Mio. (2024)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12,6 %</w:t>
            </w:r>
          </w:p>
        </w:tc>
        <w:tc>
          <w:tcPr>
            <w:tcW w:type="dxa" w:w="3888"/>
            <w:vAlign w:val="center"/>
          </w:tcPr>
          <w:p>
            <w:pPr>
              <w:spacing w:after="60" w:before="60"/>
            </w:pPr>
            <w:r>
              <w:t>Cognitive Market Research</w:t>
            </w:r>
          </w:p>
        </w:tc>
      </w:tr>
    </w:tbl>
    <w:p/>
    <w:p>
      <w:pPr>
        <w:pStyle w:val="Heading2"/>
      </w:pPr>
      <w:r>
        <w:rPr>
          <w:color w:val="0B1A2F"/>
        </w:rPr>
        <w:t>Technologie-Trends 2026</w:t>
      </w:r>
    </w:p>
    <w:p>
      <w:pPr>
        <w:pStyle w:val="ListBullet"/>
      </w:pPr>
      <w:r>
        <w:t>KI-gestützte Lead-Qualifizierung: Automatische Bewertung von Käufer-Intent basierend auf Verhaltensdaten.</w:t>
      </w:r>
    </w:p>
    <w:p>
      <w:pPr>
        <w:pStyle w:val="ListBullet"/>
      </w:pPr>
      <w:r>
        <w:t>VoIP-Integration: Telefonie direkt aus dem CRM wird zum Industriestandard.</w:t>
      </w:r>
    </w:p>
    <w:p>
      <w:pPr>
        <w:pStyle w:val="ListBullet"/>
      </w:pPr>
      <w:r>
        <w:t>Video-Besichtigungen: Virtuelle Touren und HD-Video-Calls als vollwertige Alternative vor Ort.</w:t>
      </w:r>
    </w:p>
    <w:p>
      <w:pPr>
        <w:pStyle w:val="ListBullet"/>
      </w:pPr>
      <w:r>
        <w:t>PWA-Architektur: Offline-fähige Web-Apps ersetzen native Apps zunehmend.</w:t>
      </w:r>
    </w:p>
    <w:p>
      <w:pPr>
        <w:pStyle w:val="ListBullet"/>
      </w:pPr>
      <w:r>
        <w:t>Agentic AI: KI-Agenten führen nicht nur Antworten aus, sondern lösen Aufgaben autonom.</w:t>
      </w:r>
    </w:p>
    <w:p>
      <w:pPr>
        <w:pStyle w:val="Heading2"/>
      </w:pPr>
      <w:r>
        <w:rPr>
          <w:color w:val="0B1A2F"/>
        </w:rPr>
        <w:t>Lokale Märkte: Türkei &amp; Russland</w:t>
      </w:r>
    </w:p>
    <w:p>
      <w:r>
        <w:rPr>
          <w:b w:val="0"/>
          <w:i w:val="0"/>
          <w:sz w:val="22"/>
        </w:rPr>
        <w:t>Die türkische Südküste (Antalya, Alanya, Mahmutlar) zählt zu den beliebtesten Zielen für russischsprachige Immobilienkäufer. Die Zielgruppe ist technologieaffin (Telegram-Nutzung &gt;90 %), erwartet aber russischsprachige digitale Services.</w:t>
      </w:r>
    </w:p>
    <w:p>
      <w:r>
        <w:rPr>
          <w:b w:val="0"/>
          <w:i w:val="0"/>
          <w:sz w:val="22"/>
        </w:rPr>
        <w:t>In der Türkei dominieren Listing-Portale wie Sahibinden, Hepsiemlak, Zingat und Emlakjet. Sie generieren Leads, verwalten aber keinen Kundenlebenszyklus. Marktbeobachtungen zeigen: Werden Leads nicht innerhalb von 5 Minuten beantwortet, sinkt die Conversion von 30 % auf 10 %.</w:t>
      </w:r>
    </w:p>
    <w:p>
      <w:r>
        <w:rPr>
          <w:b w:val="0"/>
          <w:i w:val="0"/>
          <w:sz w:val="22"/>
        </w:rPr>
        <w:t>In Russland dominieren Cian.ru, Domclick (Sberbank), Yandex Nedvizhimost und Avito Nedvizhimost. Diese Plattformen fokussieren auf Suche und Transaktion, nicht auf langfristiges Property Management, Kommunikation oder Ticketing.</w:t>
      </w:r>
    </w:p>
    <w:p>
      <w:r>
        <w:br w:type="page"/>
      </w:r>
    </w:p>
    <w:p>
      <w:pPr>
        <w:pStyle w:val="Heading1"/>
      </w:pPr>
      <w:r>
        <w:rPr>
          <w:color w:val="0B1A2F"/>
        </w:rPr>
        <w:t>5. Ausgangslage &amp; Schmerzpunkte</w:t>
      </w:r>
    </w:p>
    <w:p>
      <w:r>
        <w:rPr>
          <w:b w:val="0"/>
          <w:i w:val="0"/>
          <w:sz w:val="22"/>
        </w:rPr>
        <w:t>Ataberk Estate verfügt über eine der größten Immobiliendatenbanken der Region. Doch der operative Alltag ist geprägt von Medienbrüchen, manuellen Prozessen und fehlender Transparenz.</w:t>
      </w:r>
    </w:p>
    <w:p>
      <w:pPr>
        <w:pStyle w:val="Heading2"/>
      </w:pPr>
      <w:r>
        <w:rPr>
          <w:color w:val="0B1A2F"/>
        </w:rPr>
        <w:t>Die 7 kritischen Schmerzpunkte</w:t>
      </w:r>
    </w:p>
    <w:p>
      <w:pPr>
        <w:pStyle w:val="ListNumber"/>
      </w:pPr>
      <w:r>
        <w:t>Lead-Verlust durch langsame Reaktion: 80 % der türkischen Einkäufer starten auf Sahibinden, Hepsiemlak oder Zingat. Bei Reaktionszeiten über 30 Minuten bricht die Conversion um zwei Drittel ein.</w:t>
      </w:r>
    </w:p>
    <w:p>
      <w:pPr>
        <w:pStyle w:val="ListNumber"/>
      </w:pPr>
      <w:r>
        <w:t>Keine zentrale Kundenhistorie: Gespräche verteilen sich auf WhatsApp und Telegram. Zusagen, Termine und Vertragsdetails sind nicht revisionssicher dokumentiert.</w:t>
      </w:r>
    </w:p>
    <w:p>
      <w:pPr>
        <w:pStyle w:val="ListNumber"/>
      </w:pPr>
      <w:r>
        <w:t>Manuelle Terminabstimmung: Eine Besichtigung erfordert durchschnittlich 6 Nachrichten hin und her. Bei 50 Besichtigungen pro Woche entstehen 300 unnötige Interaktionen.</w:t>
      </w:r>
    </w:p>
    <w:p>
      <w:pPr>
        <w:pStyle w:val="ListNumber"/>
      </w:pPr>
      <w:r>
        <w:t>Fehlende Offline-Fähigkeit: Makler vor Ort ohne Netz können keine Mängel oder Anfragen erfassen. Informationen gehen verloren oder werden fehlerhaft nachgetragen.</w:t>
      </w:r>
    </w:p>
    <w:p>
      <w:pPr>
        <w:pStyle w:val="ListNumber"/>
      </w:pPr>
      <w:r>
        <w:t>Keine integrierte Telefonie: Anrufe laufen über private Handys. Aufzeichnungen, Weiterschaltung und Dokumentation fehlen vollständig.</w:t>
      </w:r>
    </w:p>
    <w:p>
      <w:pPr>
        <w:pStyle w:val="ListNumber"/>
      </w:pPr>
      <w:r>
        <w:t>Eingeschränkte Rollen &amp; Rechte: Externe Dienstleister, Eigentümer und Mieter benötigen unterschiedliche Datenzugriffe – das ist heute nicht abbildbar.</w:t>
      </w:r>
    </w:p>
    <w:p>
      <w:pPr>
        <w:pStyle w:val="ListNumber"/>
      </w:pPr>
      <w:r>
        <w:t>Wachstumsbremse durch manuelle Prozesse: Der Bestand wächst, die Verwaltungsprozesse skalieren nicht. Jede neue Objektgruppe erhöht den Aufwand linear.</w:t>
      </w:r>
    </w:p>
    <w:p>
      <w:pPr>
        <w:pStyle w:val="Heading2"/>
      </w:pPr>
      <w:r>
        <w:rPr>
          <w:color w:val="0B1A2F"/>
        </w:rPr>
        <w:t>Betriebliche KPIs vor 1Çatı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KPI</w:t>
            </w:r>
          </w:p>
        </w:tc>
        <w:tc>
          <w:tcPr>
            <w:tcW w:type="dxa" w:w="3168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Aktueller Zustand</w:t>
            </w:r>
          </w:p>
        </w:tc>
        <w:tc>
          <w:tcPr>
            <w:tcW w:type="dxa" w:w="3168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Ziel nach 1Çatı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t>Digitale Reife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35 / 100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75 / 100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t>Durchschnittliche Lead-Reaktionszeit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&gt;30 Minuten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&lt;5 Minuten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t>Terminabstimmung pro Besichtigung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6 Nachrichten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1 Klick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t>Ticket-Nachverfolgbarkeit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0 %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100 %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t>Kommunikationskanäle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3+ parallel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1 zentral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t>Offline-Erfassung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Nicht vorhanden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Vollständig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60" w:before="60"/>
            </w:pPr>
            <w:r>
              <w:t>Schätzbarer Effizienzgewinn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–</w:t>
            </w:r>
          </w:p>
        </w:tc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+15 %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B1A2F"/>
        </w:rPr>
        <w:t>6. Gap-Analyse: 9 Plattformen, 0 Treffer</w:t>
      </w:r>
    </w:p>
    <w:p>
      <w:r>
        <w:rPr>
          <w:b w:val="0"/>
          <w:i w:val="0"/>
          <w:sz w:val="22"/>
        </w:rPr>
        <w:t>Neun Plattformen wurden anhand der 10 MUST-Anforderungen auf einer Skala von 0–10 bewertet. Das Ergebnis ist eindeutig: Keine existierende Lösung erreicht den Mindestschwellenwert von 7/10 in allen Kategorien.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c>
          <w:tcPr>
            <w:tcW w:type="dxa" w:w="129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Plattform</w:t>
            </w:r>
          </w:p>
        </w:tc>
        <w:tc>
          <w:tcPr>
            <w:tcW w:type="dxa" w:w="1152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Region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CRM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Komm.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Ticket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Media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VoIP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Rollen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Kal.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Privat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Offline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PWA</w:t>
            </w:r>
          </w:p>
        </w:tc>
        <w:tc>
          <w:tcPr>
            <w:tcW w:type="dxa" w:w="72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Ø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AppFolio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USA/Global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4,1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Yardi Voyager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USA/Global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9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8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4,9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Entrata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USA/Global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4,0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BuildingLink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USA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3,7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Rent Manager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USA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4,2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Hepsiemlak / Sahibinden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Türkei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1,5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Cian.ru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Russland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1,6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Domclick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Russland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1,6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1Çatı Ziel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Türkei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720"/>
            <w:vAlign w:val="center"/>
          </w:tcPr>
          <w:p>
            <w:pPr>
              <w:spacing w:after="60" w:before="60"/>
            </w:pPr>
            <w:r>
              <w:t>10,0</w:t>
            </w:r>
          </w:p>
        </w:tc>
      </w:tr>
    </w:tbl>
    <w:p/>
    <w:p>
      <w:pPr>
        <w:pStyle w:val="Heading2"/>
      </w:pPr>
      <w:r>
        <w:rPr>
          <w:color w:val="0B1A2F"/>
        </w:rPr>
        <w:t>Kritische Lücken</w:t>
      </w:r>
    </w:p>
    <w:p>
      <w:pPr>
        <w:pStyle w:val="ListBullet"/>
      </w:pPr>
      <w:r>
        <w:t>Lücke 1 – Integrierte Kommunikation (Durchschnitt: 2,4/10): Keine Plattform bietet Chat + VoIP + Video integriert. Telefonie beschränkt sich auf ausgehende Anrufe der Verwaltung.</w:t>
      </w:r>
    </w:p>
    <w:p>
      <w:pPr>
        <w:pStyle w:val="ListBullet"/>
      </w:pPr>
      <w:r>
        <w:t>Lücke 2 – Multimediale Ticketerfassung (Durchschnitt: 1,9/10): Sprach- und Videoaufnahme als Ticket-Input fehlen flächendeckend. Der Standard bleibt Text mit Fotoupload.</w:t>
      </w:r>
    </w:p>
    <w:p>
      <w:pPr>
        <w:pStyle w:val="ListBullet"/>
      </w:pPr>
      <w:r>
        <w:t>Lücke 3 – Private Chats (Durchschnitt: 0,9/10): Geschlossene Chats zwischen allen Nutzergruppen existieren nicht. Nachrichten beschränken sich auf Bewohner-Verwaltung.</w:t>
      </w:r>
    </w:p>
    <w:p>
      <w:pPr>
        <w:pStyle w:val="ListBullet"/>
      </w:pPr>
      <w:r>
        <w:t>Lücke 4 – Offline-Funktionalität (Durchschnitt: 2,1/10): Offline-Ticketerfassung mit automatischer Synchronisation ist in keiner Mieter-App umgesetzt.</w:t>
      </w:r>
    </w:p>
    <w:p>
      <w:r>
        <w:rPr>
          <w:b/>
          <w:i w:val="0"/>
          <w:color w:val="1D4ED8"/>
          <w:sz w:val="22"/>
        </w:rPr>
        <w:t>Schlussfolgerung: Eine Eigenentwicklung ist nicht nur wünschenswert, sondern notwendig. Keine existierende Plattform kann die spezifischen Anforderungen des russischsprachigen Immobilienmarktes in der Türkei bedienen.</w:t>
      </w:r>
    </w:p>
    <w:p>
      <w:r>
        <w:br w:type="page"/>
      </w:r>
    </w:p>
    <w:p>
      <w:pPr>
        <w:pStyle w:val="Heading1"/>
      </w:pPr>
      <w:r>
        <w:rPr>
          <w:color w:val="0B1A2F"/>
        </w:rPr>
        <w:t>7. Die 10 MUST-Anforderungen</w:t>
      </w:r>
    </w:p>
    <w:p>
      <w:r>
        <w:rPr>
          <w:b w:val="0"/>
          <w:i w:val="0"/>
          <w:sz w:val="22"/>
        </w:rPr>
        <w:t>Die folgenden zehn Anforderungen bilden den geschlossenen Katalog für Konzeption, Architektur und Abnahme. Jede Anforderung ist ein Muss.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#</w:t>
            </w:r>
          </w:p>
        </w:tc>
        <w:tc>
          <w:tcPr>
            <w:tcW w:type="dxa" w:w="216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Anforderung</w:t>
            </w:r>
          </w:p>
        </w:tc>
        <w:tc>
          <w:tcPr>
            <w:tcW w:type="dxa" w:w="345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Technologie</w:t>
            </w:r>
          </w:p>
        </w:tc>
        <w:tc>
          <w:tcPr>
            <w:tcW w:type="dxa" w:w="1728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Schicht</w:t>
            </w:r>
          </w:p>
        </w:tc>
        <w:tc>
          <w:tcPr>
            <w:tcW w:type="dxa" w:w="1152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Status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Integriertes CRM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Twenty CRM + Supabase PostgreSQL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Geschäftslogik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Geplant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Chat / VoIP / Video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Socket.io + WebRTC + Twilio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Kommunikation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Geplant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Ticketsystem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Custom Engine + Supabase RLS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Geschäftslogik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Geplant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Multimedia-Tickets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React-Media-Recorder + Storage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Präsentation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Geplant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App-interne Telefonie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WebRTC P2P + Twilio STUN/TURN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Kommunikation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Komplex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6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Rollen &amp; Rechte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Supabase RLS + NocoBase RBAC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Geschäftslogik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Geplant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7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Kalender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FullCalendar + Cal.com API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Integration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Geplant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8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Private Chats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Signal Protocol E2E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Kommunikation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Komplex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9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Offline + Sync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Service Worker + IndexedDB + BG Sync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Präsentation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Komplex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60" w:before="60"/>
            </w:pPr>
            <w:r>
              <w:t>10</w:t>
            </w:r>
          </w:p>
        </w:tc>
        <w:tc>
          <w:tcPr>
            <w:tcW w:type="dxa" w:w="2160"/>
            <w:vAlign w:val="center"/>
          </w:tcPr>
          <w:p>
            <w:pPr>
              <w:spacing w:after="60" w:before="60"/>
            </w:pPr>
            <w:r>
              <w:t>Web-UI mit 2FA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t>Next.js 15 PWA + Supabase Auth TOTP</w:t>
            </w:r>
          </w:p>
        </w:tc>
        <w:tc>
          <w:tcPr>
            <w:tcW w:type="dxa" w:w="1728"/>
            <w:vAlign w:val="center"/>
          </w:tcPr>
          <w:p>
            <w:pPr>
              <w:spacing w:after="60" w:before="60"/>
            </w:pPr>
            <w:r>
              <w:t>Präsentation</w:t>
            </w:r>
          </w:p>
        </w:tc>
        <w:tc>
          <w:tcPr>
            <w:tcW w:type="dxa" w:w="1152"/>
            <w:vAlign w:val="center"/>
          </w:tcPr>
          <w:p>
            <w:pPr>
              <w:spacing w:after="60" w:before="60"/>
            </w:pPr>
            <w:r>
              <w:t>Geplant</w:t>
            </w:r>
          </w:p>
        </w:tc>
      </w:tr>
    </w:tbl>
    <w:p/>
    <w:p>
      <w:pPr>
        <w:pStyle w:val="Heading2"/>
      </w:pPr>
      <w:r>
        <w:rPr>
          <w:color w:val="0B1A2F"/>
        </w:rPr>
        <w:t>Detaillierte Anforderungen aus dem Katalog</w:t>
      </w:r>
    </w:p>
    <w:p>
      <w:pPr>
        <w:pStyle w:val="Heading3"/>
      </w:pPr>
      <w:r>
        <w:rPr>
          <w:color w:val="0F172A"/>
        </w:rPr>
        <w:t>1. Integriertes CRM</w:t>
      </w:r>
    </w:p>
    <w:p>
      <w:r>
        <w:rPr>
          <w:b w:val="0"/>
          <w:i w:val="0"/>
          <w:sz w:val="22"/>
        </w:rPr>
        <w:t>Die Plattform verwaltet sämtliche Stammdaten und Beziehungen der drei Nutzergruppen (Eigentümer, Mieter, Dienstleister) zentral. Doppelte Datenhaltung ist ausgeschlossen.</w:t>
      </w:r>
    </w:p>
    <w:p>
      <w:pPr>
        <w:pStyle w:val="Heading3"/>
      </w:pPr>
      <w:r>
        <w:rPr>
          <w:color w:val="0F172A"/>
        </w:rPr>
        <w:t>2. Zentrale Kommunikation</w:t>
      </w:r>
    </w:p>
    <w:p>
      <w:r>
        <w:rPr>
          <w:b w:val="0"/>
          <w:i w:val="0"/>
          <w:sz w:val="22"/>
        </w:rPr>
        <w:t>Text-Chat (1:1 und Gruppen), app-interne Sprachtelefonie und Videotelefonie werden im System gebündelt. Anrufe sind optional aufzeichnbar und revisionssicher in der Kommunikationshistorie ablegbar.</w:t>
      </w:r>
    </w:p>
    <w:p>
      <w:pPr>
        <w:pStyle w:val="Heading3"/>
      </w:pPr>
      <w:r>
        <w:rPr>
          <w:color w:val="0F172A"/>
        </w:rPr>
        <w:t>3. Ticketsystem</w:t>
      </w:r>
    </w:p>
    <w:p>
      <w:r>
        <w:rPr>
          <w:b w:val="0"/>
          <w:i w:val="0"/>
          <w:sz w:val="22"/>
        </w:rPr>
        <w:t>Jede Meldung wird als Ticket mit eindeutiger ID abgebildet. Der Lebenszyklus ist für alle Beteiligten in Echtzeit einsehbar. Jede Statusänderung wird mit Zeitstempel und verantwortlichem Benutzer dokumentiert.</w:t>
      </w:r>
    </w:p>
    <w:p>
      <w:pPr>
        <w:pStyle w:val="Heading3"/>
      </w:pPr>
      <w:r>
        <w:rPr>
          <w:color w:val="0F172A"/>
        </w:rPr>
        <w:t>4. Multimediale Ticketerfassung</w:t>
      </w:r>
    </w:p>
    <w:p>
      <w:r>
        <w:rPr>
          <w:b w:val="0"/>
          <w:i w:val="0"/>
          <w:sz w:val="22"/>
        </w:rPr>
        <w:t>Der Nutzer kann Tickets per Text, Sprachaufnahme, Foto oder Video erfassen. Inhalte sind im Ticketthread darstellbar.</w:t>
      </w:r>
    </w:p>
    <w:p>
      <w:pPr>
        <w:pStyle w:val="Heading3"/>
      </w:pPr>
      <w:r>
        <w:rPr>
          <w:color w:val="0F172A"/>
        </w:rPr>
        <w:t>5. App-interne Telefonie</w:t>
      </w:r>
    </w:p>
    <w:p>
      <w:r>
        <w:rPr>
          <w:b w:val="0"/>
          <w:i w:val="0"/>
          <w:sz w:val="22"/>
        </w:rPr>
        <w:t>Jeder registrierte Nutzer kann jeden anderen Nutzer gemäß Rollenkonzept direkt über die App anrufen – ohne Umweg über das öffentliche Telefonnetz. Push-Benachrichtigungen, Besetzt- und Abwesenheitsfunktion sind enthalten.</w:t>
      </w:r>
    </w:p>
    <w:p>
      <w:pPr>
        <w:pStyle w:val="Heading3"/>
      </w:pPr>
      <w:r>
        <w:rPr>
          <w:color w:val="0F172A"/>
        </w:rPr>
        <w:t>6. Rollen &amp; Rechte</w:t>
      </w:r>
    </w:p>
    <w:p>
      <w:r>
        <w:rPr>
          <w:b w:val="0"/>
          <w:i w:val="0"/>
          <w:sz w:val="22"/>
        </w:rPr>
        <w:t>Vorkonfigurierte Rollen: Hausverwalter, WEG-Verwaltungsbeirat, Eigentümer, Mieter, Dienstleister, Systemadministrator. Ein Konfigurator erlaubt mandantenspezifische Rollen mit feingranularen Berechtigungen.</w:t>
      </w:r>
    </w:p>
    <w:p>
      <w:pPr>
        <w:pStyle w:val="Heading3"/>
      </w:pPr>
      <w:r>
        <w:rPr>
          <w:color w:val="0F172A"/>
        </w:rPr>
        <w:t>7. Kalender</w:t>
      </w:r>
    </w:p>
    <w:p>
      <w:r>
        <w:rPr>
          <w:b w:val="0"/>
          <w:i w:val="0"/>
          <w:sz w:val="22"/>
        </w:rPr>
        <w:t>Jeder Nutzer erhält einen persönlichen Kalender. Dienstleister können Zeitfenster vorschlagen, Termine sind mit Tickets verknüpfbar, Erinnerungen per Push und E-Mail möglich.</w:t>
      </w:r>
    </w:p>
    <w:p>
      <w:pPr>
        <w:pStyle w:val="Heading3"/>
      </w:pPr>
      <w:r>
        <w:rPr>
          <w:color w:val="0F172A"/>
        </w:rPr>
        <w:t>8. Private, geschlossene Chats</w:t>
      </w:r>
    </w:p>
    <w:p>
      <w:r>
        <w:rPr>
          <w:b w:val="0"/>
          <w:i w:val="0"/>
          <w:sz w:val="22"/>
        </w:rPr>
        <w:t>Nutzer können private Chaträume eröffnen, die für Dritte – insbesondere die Hausverwaltung – nicht einsehbar sind. Datenschutz wird technisch sichergestellt.</w:t>
      </w:r>
    </w:p>
    <w:p>
      <w:pPr>
        <w:pStyle w:val="Heading3"/>
      </w:pPr>
      <w:r>
        <w:rPr>
          <w:color w:val="0F172A"/>
        </w:rPr>
        <w:t>9. Offline-Ticketerfassung + Sync</w:t>
      </w:r>
    </w:p>
    <w:p>
      <w:r>
        <w:rPr>
          <w:b w:val="0"/>
          <w:i w:val="0"/>
          <w:sz w:val="22"/>
        </w:rPr>
        <w:t>Die Ticketerstellung funktioniert ohne Internet. Lokale Speicherung in IndexedDB, automatische Synchronisation bei Rückkehr der Verbindung, Konflikterkennung und -lösung.</w:t>
      </w:r>
    </w:p>
    <w:p>
      <w:pPr>
        <w:pStyle w:val="Heading3"/>
      </w:pPr>
      <w:r>
        <w:rPr>
          <w:color w:val="0F172A"/>
        </w:rPr>
        <w:t>10. Web-UI mit 2FA</w:t>
      </w:r>
    </w:p>
    <w:p>
      <w:r>
        <w:rPr>
          <w:b w:val="0"/>
          <w:i w:val="0"/>
          <w:sz w:val="22"/>
        </w:rPr>
        <w:t>Progressive Web App in aktuellen Browsern. Zwei-Faktor-Authentifizierung verpflichtend. Telefonie und Video ohne Plugin-Installation. Responsive für mobile Endgeräte.</w:t>
      </w:r>
    </w:p>
    <w:p>
      <w:r>
        <w:br w:type="page"/>
      </w:r>
    </w:p>
    <w:p>
      <w:pPr>
        <w:pStyle w:val="Heading1"/>
      </w:pPr>
      <w:r>
        <w:rPr>
          <w:color w:val="0B1A2F"/>
        </w:rPr>
        <w:t>8. Die Lösung: 1Çatı Plattform</w:t>
      </w:r>
    </w:p>
    <w:p>
      <w:r>
        <w:rPr>
          <w:b w:val="0"/>
          <w:i w:val="0"/>
          <w:sz w:val="22"/>
        </w:rPr>
        <w:t>1Çatı ist die integrierte Immobilienverwaltungsplattform, die CRM, Echtzeit-Kommunikation, multimediales Ticketing, Kalender, Offline-Funktionalität und KI in einem modernen Open-Source-Stack vereint.</w:t>
      </w:r>
    </w:p>
    <w:p>
      <w:pPr>
        <w:pStyle w:val="Heading2"/>
      </w:pPr>
      <w:r>
        <w:rPr>
          <w:color w:val="0B1A2F"/>
        </w:rPr>
        <w:t>Before /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Aspekt</w:t>
            </w:r>
          </w:p>
        </w:tc>
        <w:tc>
          <w:tcPr>
            <w:tcW w:type="dxa" w:w="360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Aktuell</w:t>
            </w:r>
          </w:p>
        </w:tc>
        <w:tc>
          <w:tcPr>
            <w:tcW w:type="dxa" w:w="360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Mit 1Çatı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Website &amp; CRM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Statisches Portal, kein CRM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Zentrales CRM mit Objekt-, Kontakt- und Vertragsmanagement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Kommunikation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WhatsApp + Telegram + Telefon parallel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Chat + VoIP + Video in einer App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Ticketing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Kein System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Multimediale Tickets mit Statusverfolgung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Besichtigungen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Manuelle Terminabstimmung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Video-Calls und automatische Kalenderbuchung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Offline-Nutzung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Nicht möglich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Tickets erfassen &amp; später synchronisieren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Automatisierung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Manuell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KI-Chatbot, Workflows, Erinnerungen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Datenkontrolle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In Messenger-Apps verteilt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Eigene Infrastruktur, kein Vendor Lock-in</w:t>
            </w:r>
          </w:p>
        </w:tc>
      </w:tr>
    </w:tbl>
    <w:p/>
    <w:p>
      <w:pPr>
        <w:pStyle w:val="Heading2"/>
      </w:pPr>
      <w:r>
        <w:rPr>
          <w:color w:val="0B1A2F"/>
        </w:rPr>
        <w:t>Nutzen für Ataberk Estate</w:t>
      </w:r>
    </w:p>
    <w:p>
      <w:pPr>
        <w:pStyle w:val="ListBullet"/>
      </w:pPr>
      <w:r>
        <w:t>Kürzere Verkaufszyklen durch sofortige Lead-Reaktion und zentrale Kommunikation.</w:t>
      </w:r>
    </w:p>
    <w:p>
      <w:pPr>
        <w:pStyle w:val="ListBullet"/>
      </w:pPr>
      <w:r>
        <w:t>Höhere Kundenzufriedenheit durch transparente Ticketverfolgung und schnelle Terminbuchung.</w:t>
      </w:r>
    </w:p>
    <w:p>
      <w:pPr>
        <w:pStyle w:val="ListBullet"/>
      </w:pPr>
      <w:r>
        <w:t>Reduzierter Verwaltungsaufwand durch automatisierte Workflows und KI-Chatbot.</w:t>
      </w:r>
    </w:p>
    <w:p>
      <w:pPr>
        <w:pStyle w:val="ListBullet"/>
      </w:pPr>
      <w:r>
        <w:t>Skalierbarkeit: Neue Objekte und Rollen lassen sich ohne Softwarewechsel abbilden.</w:t>
      </w:r>
    </w:p>
    <w:p>
      <w:pPr>
        <w:pStyle w:val="ListBullet"/>
      </w:pPr>
      <w:r>
        <w:t>Wettbewerbsvorteil: Erste integrierte Plattform für den russischsprachigen Markt in der Türkei.</w:t>
      </w:r>
    </w:p>
    <w:p>
      <w:r>
        <w:br w:type="page"/>
      </w:r>
    </w:p>
    <w:p>
      <w:pPr>
        <w:pStyle w:val="Heading1"/>
      </w:pPr>
      <w:r>
        <w:rPr>
          <w:color w:val="0B1A2F"/>
        </w:rPr>
        <w:t>9. Technologie-Architektur</w:t>
      </w:r>
    </w:p>
    <w:p>
      <w:pPr>
        <w:pStyle w:val="Heading2"/>
      </w:pPr>
      <w:r>
        <w:rPr>
          <w:color w:val="0B1A2F"/>
        </w:rPr>
        <w:t>Fünf-Schichten-Architektur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Schicht</w:t>
            </w:r>
          </w:p>
        </w:tc>
        <w:tc>
          <w:tcPr>
            <w:tcW w:type="dxa" w:w="374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Technologie</w:t>
            </w:r>
          </w:p>
        </w:tc>
        <w:tc>
          <w:tcPr>
            <w:tcW w:type="dxa" w:w="3600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Zweck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Präsentation</w:t>
            </w:r>
          </w:p>
        </w:tc>
        <w:tc>
          <w:tcPr>
            <w:tcW w:type="dxa" w:w="3744"/>
            <w:vAlign w:val="center"/>
          </w:tcPr>
          <w:p>
            <w:pPr>
              <w:spacing w:after="60" w:before="60"/>
            </w:pPr>
            <w:r>
              <w:t>Next.js 15, Tailwind CSS, shadcn/ui, Framer Motion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PWA, responsiv, barrierefrei, animiert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Kommunikation</w:t>
            </w:r>
          </w:p>
        </w:tc>
        <w:tc>
          <w:tcPr>
            <w:tcW w:type="dxa" w:w="3744"/>
            <w:vAlign w:val="center"/>
          </w:tcPr>
          <w:p>
            <w:pPr>
              <w:spacing w:after="60" w:before="60"/>
            </w:pPr>
            <w:r>
              <w:t>WebRTC, Socket.io, Push API, Service Worker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Video, VoIP, Chat, Offline, Push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Geschäftslogik</w:t>
            </w:r>
          </w:p>
        </w:tc>
        <w:tc>
          <w:tcPr>
            <w:tcW w:type="dxa" w:w="3744"/>
            <w:vAlign w:val="center"/>
          </w:tcPr>
          <w:p>
            <w:pPr>
              <w:spacing w:after="60" w:before="60"/>
            </w:pPr>
            <w:r>
              <w:t>Twenty CRM, NocoBase, Supabase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CRM, No-Code/Low-Code, Backend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Daten</w:t>
            </w:r>
          </w:p>
        </w:tc>
        <w:tc>
          <w:tcPr>
            <w:tcW w:type="dxa" w:w="3744"/>
            <w:vAlign w:val="center"/>
          </w:tcPr>
          <w:p>
            <w:pPr>
              <w:spacing w:after="60" w:before="60"/>
            </w:pPr>
            <w:r>
              <w:t>PostgreSQL, Redis, Supabase Storage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Datenbank, Cache, Dateien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60" w:before="60"/>
            </w:pPr>
            <w:r>
              <w:t>Integrationen</w:t>
            </w:r>
          </w:p>
        </w:tc>
        <w:tc>
          <w:tcPr>
            <w:tcW w:type="dxa" w:w="3744"/>
            <w:vAlign w:val="center"/>
          </w:tcPr>
          <w:p>
            <w:pPr>
              <w:spacing w:after="60" w:before="60"/>
            </w:pPr>
            <w:r>
              <w:t>Cal.com, Twilio, 2FA, Monitoring</w:t>
            </w:r>
          </w:p>
        </w:tc>
        <w:tc>
          <w:tcPr>
            <w:tcW w:type="dxa" w:w="3600"/>
            <w:vAlign w:val="center"/>
          </w:tcPr>
          <w:p>
            <w:pPr>
              <w:spacing w:after="60" w:before="60"/>
            </w:pPr>
            <w:r>
              <w:t>Kalender, VoIP, Auth, Observability</w:t>
            </w:r>
          </w:p>
        </w:tc>
      </w:tr>
    </w:tbl>
    <w:p/>
    <w:p>
      <w:pPr>
        <w:pStyle w:val="Heading2"/>
      </w:pPr>
      <w:r>
        <w:rPr>
          <w:color w:val="0B1A2F"/>
        </w:rPr>
        <w:t>Warum dieser Stack?</w:t>
      </w:r>
    </w:p>
    <w:p>
      <w:pPr>
        <w:pStyle w:val="ListBullet"/>
      </w:pPr>
      <w:r>
        <w:t>Twenty CRM (45.500 GitHub Stars, AGPL-3.0): Modernstes Open-Source-CRM, API-first mit GraphQL/REST, MCP-Server für KI-Agent-Integration, PostgreSQL-Backend ohne Vendor Lock-in.</w:t>
      </w:r>
    </w:p>
    <w:p>
      <w:pPr>
        <w:pStyle w:val="ListBullet"/>
      </w:pPr>
      <w:r>
        <w:t>NocoBase (21.300 GitHub Stars, AGPL-3.0): No-Code/Low-Code-Plattform für Geschäftslogik mit Plugin-Architektur und AI Employees.</w:t>
      </w:r>
    </w:p>
    <w:p>
      <w:pPr>
        <w:pStyle w:val="ListBullet"/>
      </w:pPr>
      <w:r>
        <w:t>Supabase (68.000 GitHub Stars, Apache 2.0): PostgreSQL mit Auto-API, Auth, Realtime, Storage, Row Level Security und Edge Functions.</w:t>
      </w:r>
    </w:p>
    <w:p>
      <w:r>
        <w:br w:type="page"/>
      </w:r>
    </w:p>
    <w:p>
      <w:pPr>
        <w:pStyle w:val="Heading1"/>
      </w:pPr>
      <w:r>
        <w:rPr>
          <w:color w:val="0B1A2F"/>
        </w:rPr>
        <w:t>10. Open-Source Power-Stack</w:t>
      </w:r>
    </w:p>
    <w:p>
      <w:r>
        <w:rPr>
          <w:b w:val="0"/>
          <w:i w:val="0"/>
          <w:sz w:val="22"/>
        </w:rPr>
        <w:t>Twenty CRM ist das am schnellsten wachsende Open-Source-CRM. Die Architektur basiert auf NestJS (Backend) und React (Frontend) mit PostgreSQL.</w:t>
      </w:r>
    </w:p>
    <w:p>
      <w:pPr>
        <w:pStyle w:val="Heading2"/>
      </w:pPr>
      <w:r>
        <w:rPr>
          <w:color w:val="0B1A2F"/>
        </w:rPr>
        <w:t>Für 1Çatı relevante Features</w:t>
      </w:r>
    </w:p>
    <w:p>
      <w:pPr>
        <w:pStyle w:val="ListBullet"/>
      </w:pPr>
      <w:r>
        <w:t>Custom Objects: Immobilien, Verträge, Eigentümer als CRM-Objekte.</w:t>
      </w:r>
    </w:p>
    <w:p>
      <w:pPr>
        <w:pStyle w:val="ListBullet"/>
      </w:pPr>
      <w:r>
        <w:t>API-First: Jede UI-Aktion über GraphQL/REST verfügbar.</w:t>
      </w:r>
    </w:p>
    <w:p>
      <w:pPr>
        <w:pStyle w:val="ListBullet"/>
      </w:pPr>
      <w:r>
        <w:t>MCP-Server: KI-Agenten können direkt auf CRM-Daten zugreifen.</w:t>
      </w:r>
    </w:p>
    <w:p>
      <w:pPr>
        <w:pStyle w:val="ListBullet"/>
      </w:pPr>
      <w:r>
        <w:t>Rollenbasierte Zugriffskontrolle.</w:t>
      </w:r>
    </w:p>
    <w:p>
      <w:r>
        <w:rPr>
          <w:b/>
          <w:i w:val="0"/>
          <w:color w:val="22C55E"/>
          <w:sz w:val="22"/>
        </w:rPr>
        <w:t>Kosten: Self-hosted kostenlos (nur Infrastruktur). Cloud: $9/User/Monat. Da 1Çatı Self-hosted betrieben wird, entstehen keine Lizenzkosten.</w:t>
      </w:r>
    </w:p>
    <w:p>
      <w:r>
        <w:br w:type="page"/>
      </w:r>
    </w:p>
    <w:p>
      <w:pPr>
        <w:pStyle w:val="Heading1"/>
      </w:pPr>
      <w:r>
        <w:rPr>
          <w:color w:val="0B1A2F"/>
        </w:rPr>
        <w:t>11. KI-Integration &amp; Automatisierung</w:t>
      </w:r>
    </w:p>
    <w:p>
      <w:pPr>
        <w:pStyle w:val="Heading2"/>
      </w:pPr>
      <w:r>
        <w:rPr>
          <w:color w:val="0B1A2F"/>
        </w:rPr>
        <w:t>OpenClaw KI-Chatbot</w:t>
      </w:r>
    </w:p>
    <w:p>
      <w:pPr>
        <w:pStyle w:val="ListBullet"/>
      </w:pPr>
      <w:r>
        <w:t>RAG-Pipeline mit Wissensdatenbank aus Immobilien- und Vertragsdaten.</w:t>
      </w:r>
    </w:p>
    <w:p>
      <w:pPr>
        <w:pStyle w:val="ListBullet"/>
      </w:pPr>
      <w:r>
        <w:t>Funktionen: Kundenanfragen, Terminbuchung, Dokumentenverarbeitung.</w:t>
      </w:r>
    </w:p>
    <w:p>
      <w:pPr>
        <w:pStyle w:val="ListBullet"/>
      </w:pPr>
      <w:r>
        <w:t>Sprachen: Russisch, Türkisch, Englisch, Deutsch.</w:t>
      </w:r>
    </w:p>
    <w:p>
      <w:pPr>
        <w:pStyle w:val="ListBullet"/>
      </w:pPr>
      <w:r>
        <w:t>Plattformen: Telegram, WhatsApp, Web-Widget.</w:t>
      </w:r>
    </w:p>
    <w:p>
      <w:pPr>
        <w:pStyle w:val="Heading2"/>
      </w:pPr>
      <w:r>
        <w:rPr>
          <w:color w:val="0B1A2F"/>
        </w:rPr>
        <w:t>Automatisierungs-Workflows</w:t>
      </w:r>
    </w:p>
    <w:p>
      <w:pPr>
        <w:pStyle w:val="ListBullet"/>
      </w:pPr>
      <w:r>
        <w:t>Lead-Qualifizierung: Neue Anfrage trigger automatische Bewertung und Priorisierung.</w:t>
      </w:r>
    </w:p>
    <w:p>
      <w:pPr>
        <w:pStyle w:val="ListBullet"/>
      </w:pPr>
      <w:r>
        <w:t>Vertrags-Erinnerung: Frist nähert sich → E-Mail + Push an zuständigen Agenten.</w:t>
      </w:r>
    </w:p>
    <w:p>
      <w:pPr>
        <w:pStyle w:val="ListBullet"/>
      </w:pPr>
      <w:r>
        <w:t>Besichtigungs-Follow-up: Termin vergangen → automatisches Feedback-Formular.</w:t>
      </w:r>
    </w:p>
    <w:p>
      <w:pPr>
        <w:pStyle w:val="ListBullet"/>
      </w:pPr>
      <w:r>
        <w:t>Dokumenten-Check: Upload → KI-gestützte Vollständigkeitsprüfung.</w:t>
      </w:r>
    </w:p>
    <w:p>
      <w:r>
        <w:br w:type="page"/>
      </w:r>
    </w:p>
    <w:p>
      <w:pPr>
        <w:pStyle w:val="Heading1"/>
      </w:pPr>
      <w:r>
        <w:rPr>
          <w:color w:val="0B1A2F"/>
        </w:rPr>
        <w:t>12. Investitionsrahmen &amp; Finanzmodell</w:t>
      </w:r>
    </w:p>
    <w:p>
      <w:pPr>
        <w:pStyle w:val="Heading2"/>
      </w:pPr>
      <w:r>
        <w:rPr>
          <w:color w:val="0B1A2F"/>
        </w:rPr>
        <w:t>Kostenaufstellung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30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Komponente</w:t>
            </w:r>
          </w:p>
        </w:tc>
        <w:tc>
          <w:tcPr>
            <w:tcW w:type="dxa" w:w="86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P1</w:t>
            </w:r>
          </w:p>
        </w:tc>
        <w:tc>
          <w:tcPr>
            <w:tcW w:type="dxa" w:w="86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P2</w:t>
            </w:r>
          </w:p>
        </w:tc>
        <w:tc>
          <w:tcPr>
            <w:tcW w:type="dxa" w:w="86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P3</w:t>
            </w:r>
          </w:p>
        </w:tc>
        <w:tc>
          <w:tcPr>
            <w:tcW w:type="dxa" w:w="86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P4</w:t>
            </w:r>
          </w:p>
        </w:tc>
        <w:tc>
          <w:tcPr>
            <w:tcW w:type="dxa" w:w="86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P5</w:t>
            </w:r>
          </w:p>
        </w:tc>
        <w:tc>
          <w:tcPr>
            <w:tcW w:type="dxa" w:w="1008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Summe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Infrastruktur &amp; Setup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$5k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1008"/>
            <w:vAlign w:val="center"/>
          </w:tcPr>
          <w:p>
            <w:pPr>
              <w:spacing w:after="60" w:before="60"/>
            </w:pPr>
            <w:r>
              <w:t>$11k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CRM-Entwicklung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$4k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$8k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$3k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1008"/>
            <w:vAlign w:val="center"/>
          </w:tcPr>
          <w:p>
            <w:pPr>
              <w:spacing w:after="60" w:before="60"/>
            </w:pPr>
            <w:r>
              <w:t>$18k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No-Code-Ebene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$5k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$4k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1008"/>
            <w:vAlign w:val="center"/>
          </w:tcPr>
          <w:p>
            <w:pPr>
              <w:spacing w:after="60" w:before="60"/>
            </w:pPr>
            <w:r>
              <w:t>$14k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Kommunikation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$10k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1008"/>
            <w:vAlign w:val="center"/>
          </w:tcPr>
          <w:p>
            <w:pPr>
              <w:spacing w:after="60" w:before="60"/>
            </w:pPr>
            <w:r>
              <w:t>$16k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Offline-Sync &amp; PWA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$3k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$4k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1008"/>
            <w:vAlign w:val="center"/>
          </w:tcPr>
          <w:p>
            <w:pPr>
              <w:spacing w:after="60" w:before="60"/>
            </w:pPr>
            <w:r>
              <w:t>$12k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KI &amp; Automatisierung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$5k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1008"/>
            <w:vAlign w:val="center"/>
          </w:tcPr>
          <w:p>
            <w:pPr>
              <w:spacing w:after="60" w:before="60"/>
            </w:pPr>
            <w:r>
              <w:t>$10k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Testing &amp; Deploy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$2k</w:t>
            </w:r>
          </w:p>
        </w:tc>
        <w:tc>
          <w:tcPr>
            <w:tcW w:type="dxa" w:w="1008"/>
            <w:vAlign w:val="center"/>
          </w:tcPr>
          <w:p>
            <w:pPr>
              <w:spacing w:after="60" w:before="60"/>
            </w:pPr>
            <w:r>
              <w:t>$7k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60" w:before="60"/>
            </w:pPr>
            <w:r>
              <w:t>SUMME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$18k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$22k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$25k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$15k</w:t>
            </w:r>
          </w:p>
        </w:tc>
        <w:tc>
          <w:tcPr>
            <w:tcW w:type="dxa" w:w="864"/>
            <w:vAlign w:val="center"/>
          </w:tcPr>
          <w:p>
            <w:pPr>
              <w:spacing w:after="60" w:before="60"/>
            </w:pPr>
            <w:r>
              <w:t>$10k</w:t>
            </w:r>
          </w:p>
        </w:tc>
        <w:tc>
          <w:tcPr>
            <w:tcW w:type="dxa" w:w="1008"/>
            <w:vAlign w:val="center"/>
          </w:tcPr>
          <w:p>
            <w:pPr>
              <w:spacing w:after="60" w:before="60"/>
            </w:pPr>
            <w:r>
              <w:t>$90k</w:t>
            </w:r>
          </w:p>
        </w:tc>
      </w:tr>
    </w:tbl>
    <w:p/>
    <w:p>
      <w:pPr>
        <w:pStyle w:val="Heading2"/>
      </w:pPr>
      <w:r>
        <w:rPr>
          <w:color w:val="0B1A2F"/>
        </w:rPr>
        <w:t>Vergleich: Eigenentwicklung vs. Proprietäre Lösung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Kriterium</w:t>
            </w:r>
          </w:p>
        </w:tc>
        <w:tc>
          <w:tcPr>
            <w:tcW w:type="dxa" w:w="273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1Çatı</w:t>
            </w:r>
          </w:p>
        </w:tc>
        <w:tc>
          <w:tcPr>
            <w:tcW w:type="dxa" w:w="273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Proprietäre Lösung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Initiale Investition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$90.000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$200.000+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Jährliche Lizenz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$0 (Open Source)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$50.000–$100.000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Anpassbarkeit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Vollständig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Begrenzt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Datenkontrolle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Vollständig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Vendor-abhängig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Kommunikation (VoIP/Video)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Integriert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Nicht verfügbar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60" w:before="60"/>
            </w:pPr>
            <w:r>
              <w:t>Offline-Fähigkeit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Nativ</w:t>
            </w:r>
          </w:p>
        </w:tc>
        <w:tc>
          <w:tcPr>
            <w:tcW w:type="dxa" w:w="2736"/>
            <w:vAlign w:val="center"/>
          </w:tcPr>
          <w:p>
            <w:pPr>
              <w:spacing w:after="60" w:before="60"/>
            </w:pPr>
            <w:r>
              <w:t>Nicht verfügbar</w:t>
            </w:r>
          </w:p>
        </w:tc>
      </w:tr>
    </w:tbl>
    <w:p/>
    <w:p>
      <w:pPr>
        <w:pStyle w:val="Heading2"/>
      </w:pPr>
      <w:r>
        <w:rPr>
          <w:color w:val="0B1A2F"/>
        </w:rPr>
        <w:t>ROI-Projektion (24 Monate)</w:t>
      </w:r>
    </w:p>
    <w:p>
      <w:pPr>
        <w:pStyle w:val="ListBullet"/>
      </w:pPr>
      <w:r>
        <w:t>Verkürzte Verkaufszyklen (+15 % Effizienz): $30.000 / Monat 12 → $60.000 / Monat 24.</w:t>
      </w:r>
    </w:p>
    <w:p>
      <w:pPr>
        <w:pStyle w:val="ListBullet"/>
      </w:pPr>
      <w:r>
        <w:t>SaaS-Abonnements (5 Verwaltungen × $200/Monat): $12.000 / Monat 12 → $36.000 / Monat 24.</w:t>
      </w:r>
    </w:p>
    <w:p>
      <w:pPr>
        <w:pStyle w:val="ListBullet"/>
      </w:pPr>
      <w:r>
        <w:t>White-Label-Lizenzierung (1 Partner): $0 / Monat 12 → $24.000 / Monat 24.</w:t>
      </w:r>
    </w:p>
    <w:p>
      <w:r>
        <w:rPr>
          <w:b/>
          <w:i w:val="0"/>
          <w:sz w:val="22"/>
        </w:rPr>
        <w:t>Zusatzeinnahmen: $42.000 (Jahr 1) / $120.000 (Jahr 2). ROI Jahr 1: -53 % (Investitionsjahr) / ROI Jahr 2: +33 %.</w:t>
      </w:r>
    </w:p>
    <w:p>
      <w:r>
        <w:br w:type="page"/>
      </w:r>
    </w:p>
    <w:p>
      <w:pPr>
        <w:pStyle w:val="Heading1"/>
      </w:pPr>
      <w:r>
        <w:rPr>
          <w:color w:val="0B1A2F"/>
        </w:rPr>
        <w:t>13. Implementierungsroadmap</w:t>
      </w:r>
    </w:p>
    <w:p>
      <w:pPr>
        <w:pStyle w:val="Heading2"/>
      </w:pPr>
      <w:r>
        <w:rPr>
          <w:color w:val="0B1A2F"/>
        </w:rPr>
        <w:t>Phase 1: Grundlage (Monat 1–2, $18.000)</w:t>
      </w:r>
    </w:p>
    <w:p>
      <w:pPr>
        <w:pStyle w:val="ListBullet"/>
      </w:pPr>
      <w:r>
        <w:t>Supabase-Setup, PostgreSQL-Schema, Auth mit 2FA.</w:t>
      </w:r>
    </w:p>
    <w:p>
      <w:pPr>
        <w:pStyle w:val="ListBullet"/>
      </w:pPr>
      <w:r>
        <w:t>Rollen- und Rechtekonzept (6 Rollen über RLS).</w:t>
      </w:r>
    </w:p>
    <w:p>
      <w:pPr>
        <w:pStyle w:val="ListBullet"/>
      </w:pPr>
      <w:r>
        <w:t>Docker-Umgebung, CI/CD-Pipeline.</w:t>
      </w:r>
    </w:p>
    <w:p>
      <w:pPr>
        <w:pStyle w:val="ListBullet"/>
      </w:pPr>
      <w:r>
        <w:t>PWA-Grundgerüst (Next.js, Service Worker).</w:t>
      </w:r>
    </w:p>
    <w:p>
      <w:r>
        <w:rPr>
          <w:b/>
          <w:i w:val="0"/>
          <w:color w:val="1D4ED8"/>
          <w:sz w:val="22"/>
        </w:rPr>
        <w:t>Meilenstein M1: Authentifizierter Login, Rollen funktionsfähig, PWA installierbar.</w:t>
      </w:r>
    </w:p>
    <w:p>
      <w:pPr>
        <w:pStyle w:val="Heading2"/>
      </w:pPr>
      <w:r>
        <w:rPr>
          <w:color w:val="0B1A2F"/>
        </w:rPr>
        <w:t>Phase 2: Core CRM (Monat 3–4,5, $22.000)</w:t>
      </w:r>
    </w:p>
    <w:p>
      <w:pPr>
        <w:pStyle w:val="ListBullet"/>
      </w:pPr>
      <w:r>
        <w:t>Twenty CRM-Integration.</w:t>
      </w:r>
    </w:p>
    <w:p>
      <w:pPr>
        <w:pStyle w:val="ListBullet"/>
      </w:pPr>
      <w:r>
        <w:t>Immobilien-CRM-Objekte, Kontakte, Verträge.</w:t>
      </w:r>
    </w:p>
    <w:p>
      <w:pPr>
        <w:pStyle w:val="ListBullet"/>
      </w:pPr>
      <w:r>
        <w:t>Ticketsystem mit Statusverfolgung.</w:t>
      </w:r>
    </w:p>
    <w:p>
      <w:pPr>
        <w:pStyle w:val="ListBullet"/>
      </w:pPr>
      <w:r>
        <w:t>Kalender mit Cal.com-Integration.</w:t>
      </w:r>
    </w:p>
    <w:p>
      <w:pPr>
        <w:pStyle w:val="ListBullet"/>
      </w:pPr>
      <w:r>
        <w:t>Multimediale Ticketerfassung (Text, Foto, Video).</w:t>
      </w:r>
    </w:p>
    <w:p>
      <w:r>
        <w:rPr>
          <w:b/>
          <w:i w:val="0"/>
          <w:color w:val="1D4ED8"/>
          <w:sz w:val="22"/>
        </w:rPr>
        <w:t>Meilenstein M2: Vollständiges CRM, Ticketing aktiv, Kalender integriert.</w:t>
      </w:r>
    </w:p>
    <w:p>
      <w:pPr>
        <w:pStyle w:val="Heading2"/>
      </w:pPr>
      <w:r>
        <w:rPr>
          <w:color w:val="0B1A2F"/>
        </w:rPr>
        <w:t>Phase 3: Kommunikation (Monat 4,5–7, $25.000)</w:t>
      </w:r>
    </w:p>
    <w:p>
      <w:pPr>
        <w:pStyle w:val="ListBullet"/>
      </w:pPr>
      <w:r>
        <w:t>Socket.io Echtzeit-Chat (1:1 + Gruppen).</w:t>
      </w:r>
    </w:p>
    <w:p>
      <w:pPr>
        <w:pStyle w:val="ListBullet"/>
      </w:pPr>
      <w:r>
        <w:t>WebRTC VoIP-Telefonie und Videotelefonie.</w:t>
      </w:r>
    </w:p>
    <w:p>
      <w:pPr>
        <w:pStyle w:val="ListBullet"/>
      </w:pPr>
      <w:r>
        <w:t>Private E2E-verschlüsselte Chats.</w:t>
      </w:r>
    </w:p>
    <w:p>
      <w:pPr>
        <w:pStyle w:val="ListBullet"/>
      </w:pPr>
      <w:r>
        <w:t>Offline-Ticketerfassung mit IndexedDB + Background Sync.</w:t>
      </w:r>
    </w:p>
    <w:p>
      <w:r>
        <w:rPr>
          <w:b/>
          <w:i w:val="0"/>
          <w:color w:val="1D4ED8"/>
          <w:sz w:val="22"/>
        </w:rPr>
        <w:t>Meilenstein M3: Alle Kommunikationskanäle aktiv, Offline-Modus funktionsfähig.</w:t>
      </w:r>
    </w:p>
    <w:p>
      <w:pPr>
        <w:pStyle w:val="Heading2"/>
      </w:pPr>
      <w:r>
        <w:rPr>
          <w:color w:val="0B1A2F"/>
        </w:rPr>
        <w:t>Phase 4: Intelligenz (Monat 7–9, $15.000)</w:t>
      </w:r>
    </w:p>
    <w:p>
      <w:pPr>
        <w:pStyle w:val="ListBullet"/>
      </w:pPr>
      <w:r>
        <w:t>OpenClaw KI-Chatbot (Telegram, WhatsApp, Web).</w:t>
      </w:r>
    </w:p>
    <w:p>
      <w:pPr>
        <w:pStyle w:val="ListBullet"/>
      </w:pPr>
      <w:r>
        <w:t>Analytics-Dashboard (Plausible + Mixpanel).</w:t>
      </w:r>
    </w:p>
    <w:p>
      <w:pPr>
        <w:pStyle w:val="ListBullet"/>
      </w:pPr>
      <w:r>
        <w:t>Automatisierungs-Workflows.</w:t>
      </w:r>
    </w:p>
    <w:p>
      <w:pPr>
        <w:pStyle w:val="ListBullet"/>
      </w:pPr>
      <w:r>
        <w:t>E-Mail-Marketing-Integration.</w:t>
      </w:r>
    </w:p>
    <w:p>
      <w:r>
        <w:rPr>
          <w:b/>
          <w:i w:val="0"/>
          <w:color w:val="1D4ED8"/>
          <w:sz w:val="22"/>
        </w:rPr>
        <w:t>Meilenstein M4: KI-Chatbot live, Analytics produktiv, Workflows automatisiert.</w:t>
      </w:r>
    </w:p>
    <w:p>
      <w:pPr>
        <w:pStyle w:val="Heading2"/>
      </w:pPr>
      <w:r>
        <w:rPr>
          <w:color w:val="0B1A2F"/>
        </w:rPr>
        <w:t>Phase 5: Launch (Monat 9–10, $10.000)</w:t>
      </w:r>
    </w:p>
    <w:p>
      <w:pPr>
        <w:pStyle w:val="ListBullet"/>
      </w:pPr>
      <w:r>
        <w:t>User Acceptance Testing (UAT).</w:t>
      </w:r>
    </w:p>
    <w:p>
      <w:pPr>
        <w:pStyle w:val="ListBullet"/>
      </w:pPr>
      <w:r>
        <w:t>Performance-Optimierung.</w:t>
      </w:r>
    </w:p>
    <w:p>
      <w:pPr>
        <w:pStyle w:val="ListBullet"/>
      </w:pPr>
      <w:r>
        <w:t>Sicherheitsaudit (Penetration Testing).</w:t>
      </w:r>
    </w:p>
    <w:p>
      <w:pPr>
        <w:pStyle w:val="ListBullet"/>
      </w:pPr>
      <w:r>
        <w:t>Schulung des Teams.</w:t>
      </w:r>
    </w:p>
    <w:p>
      <w:pPr>
        <w:pStyle w:val="ListBullet"/>
      </w:pPr>
      <w:r>
        <w:t>Go-Live.</w:t>
      </w:r>
    </w:p>
    <w:p>
      <w:r>
        <w:rPr>
          <w:b/>
          <w:i w:val="0"/>
          <w:color w:val="1D4ED8"/>
          <w:sz w:val="22"/>
        </w:rPr>
        <w:t>Meilenstein M5: Plattform produktiv, Team geschult.</w:t>
      </w:r>
    </w:p>
    <w:p>
      <w:r>
        <w:br w:type="page"/>
      </w:r>
    </w:p>
    <w:p>
      <w:pPr>
        <w:pStyle w:val="Heading1"/>
      </w:pPr>
      <w:r>
        <w:rPr>
          <w:color w:val="0B1A2F"/>
        </w:rPr>
        <w:t>14. Risikoanalyse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Risiko</w:t>
            </w:r>
          </w:p>
        </w:tc>
        <w:tc>
          <w:tcPr>
            <w:tcW w:type="dxa" w:w="1584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Wahrscheinlichkeit</w:t>
            </w:r>
          </w:p>
        </w:tc>
        <w:tc>
          <w:tcPr>
            <w:tcW w:type="dxa" w:w="129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Impact</w:t>
            </w:r>
          </w:p>
        </w:tc>
        <w:tc>
          <w:tcPr>
            <w:tcW w:type="dxa" w:w="4176"/>
            <w:shd w:fill="F1F5F9"/>
            <w:vAlign w:val="center"/>
          </w:tcPr>
          <w:p>
            <w:pPr>
              <w:jc w:val="left"/>
            </w:pPr>
            <w:r>
              <w:rPr>
                <w:b/>
                <w:color w:val="475569"/>
                <w:sz w:val="18"/>
              </w:rPr>
              <w:t>Minderung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WebRTC-Komplexität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Mittel (30 %)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Hoch</w:t>
            </w:r>
          </w:p>
        </w:tc>
        <w:tc>
          <w:tcPr>
            <w:tcW w:type="dxa" w:w="4176"/>
            <w:vAlign w:val="center"/>
          </w:tcPr>
          <w:p>
            <w:pPr>
              <w:spacing w:after="60" w:before="60"/>
            </w:pPr>
            <w:r>
              <w:t>Früher Proof-of-Concept in Phase 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Offline-Sync-Konflikte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Mittel (25 %)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Mittel</w:t>
            </w:r>
          </w:p>
        </w:tc>
        <w:tc>
          <w:tcPr>
            <w:tcW w:type="dxa" w:w="4176"/>
            <w:vAlign w:val="center"/>
          </w:tcPr>
          <w:p>
            <w:pPr>
              <w:spacing w:after="60" w:before="60"/>
            </w:pPr>
            <w:r>
              <w:t>Einschrittlösung, Retry-Logik, CRDT-Strategie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Budgetüberschreitung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Mittel (20 %)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Hoch</w:t>
            </w:r>
          </w:p>
        </w:tc>
        <w:tc>
          <w:tcPr>
            <w:tcW w:type="dxa" w:w="4176"/>
            <w:vAlign w:val="center"/>
          </w:tcPr>
          <w:p>
            <w:pPr>
              <w:spacing w:after="60" w:before="60"/>
            </w:pPr>
            <w:r>
              <w:t>Festpreis pro Phase, 15 % Puffer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Team-Verfügbarkeit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Niedrig (15 %)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Mittel</w:t>
            </w:r>
          </w:p>
        </w:tc>
        <w:tc>
          <w:tcPr>
            <w:tcW w:type="dxa" w:w="4176"/>
            <w:vAlign w:val="center"/>
          </w:tcPr>
          <w:p>
            <w:pPr>
              <w:spacing w:after="60" w:before="60"/>
            </w:pPr>
            <w:r>
              <w:t>Dokumentation, Bus-Faktor-Avoidance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t>E2E-Verschlüsselung</w:t>
            </w:r>
          </w:p>
        </w:tc>
        <w:tc>
          <w:tcPr>
            <w:tcW w:type="dxa" w:w="1584"/>
            <w:vAlign w:val="center"/>
          </w:tcPr>
          <w:p>
            <w:pPr>
              <w:spacing w:after="60" w:before="60"/>
            </w:pPr>
            <w:r>
              <w:t>Niedrig (15 %)</w:t>
            </w:r>
          </w:p>
        </w:tc>
        <w:tc>
          <w:tcPr>
            <w:tcW w:type="dxa" w:w="1296"/>
            <w:vAlign w:val="center"/>
          </w:tcPr>
          <w:p>
            <w:pPr>
              <w:spacing w:after="60" w:before="60"/>
            </w:pPr>
            <w:r>
              <w:t>Mittel</w:t>
            </w:r>
          </w:p>
        </w:tc>
        <w:tc>
          <w:tcPr>
            <w:tcW w:type="dxa" w:w="4176"/>
            <w:vAlign w:val="center"/>
          </w:tcPr>
          <w:p>
            <w:pPr>
              <w:spacing w:after="60" w:before="60"/>
            </w:pPr>
            <w:r>
              <w:t>Signal Protocol, bewährte Bibliothek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B1A2F"/>
        </w:rPr>
        <w:t>15. Unsere Empfehlung &amp; Nächste Schritte</w:t>
      </w:r>
    </w:p>
    <w:p>
      <w:r>
        <w:rPr>
          <w:b w:val="0"/>
          <w:i w:val="0"/>
          <w:sz w:val="22"/>
        </w:rPr>
        <w:t>Empfohlen wird die sofortige Initiierung von Phase 1 mit einem Budget von $18.000. Diese Investition etabliert die technische Grundlage und validiert kritische Annahmen (WebRTC, Auth, Rollensystem) vor der größeren Investition in die Kommunikationsschicht.</w:t>
      </w:r>
    </w:p>
    <w:p>
      <w:pPr>
        <w:pStyle w:val="Heading2"/>
      </w:pPr>
      <w:r>
        <w:rPr>
          <w:color w:val="0B1A2F"/>
        </w:rPr>
        <w:t>Sofortige nächste Schritte</w:t>
      </w:r>
    </w:p>
    <w:p>
      <w:pPr>
        <w:pStyle w:val="ListNumber"/>
      </w:pPr>
      <w:r>
        <w:t>Freigabe Phase-1-Budget ($18.000).</w:t>
      </w:r>
    </w:p>
    <w:p>
      <w:pPr>
        <w:pStyle w:val="ListNumber"/>
      </w:pPr>
      <w:r>
        <w:t>Bereitstellung: Domain, Server-Zugang, Ataberk Estate API.</w:t>
      </w:r>
    </w:p>
    <w:p>
      <w:pPr>
        <w:pStyle w:val="ListNumber"/>
      </w:pPr>
      <w:r>
        <w:t>Benennung technischer und geschäftlicher Ansprechpartner.</w:t>
      </w:r>
    </w:p>
    <w:p>
      <w:pPr>
        <w:pStyle w:val="ListNumber"/>
      </w:pPr>
      <w:r>
        <w:t>Kickoff-Termin innerhalb von 7 Tagen nach Freigabe.</w:t>
      </w:r>
    </w:p>
    <w:p>
      <w:pPr>
        <w:pStyle w:val="Heading2"/>
      </w:pPr>
      <w:r>
        <w:rPr>
          <w:color w:val="0B1A2F"/>
        </w:rPr>
        <w:t>Erfolgsfaktoren</w:t>
      </w:r>
    </w:p>
    <w:p>
      <w:pPr>
        <w:pStyle w:val="ListBullet"/>
      </w:pPr>
      <w:r>
        <w:t>Phasenweise Freigabe: Jede Phase wird separat abgenommen.</w:t>
      </w:r>
    </w:p>
    <w:p>
      <w:pPr>
        <w:pStyle w:val="ListBullet"/>
      </w:pPr>
      <w:r>
        <w:t>Wöchentliche Reviews: Demo jeden Freitag.</w:t>
      </w:r>
    </w:p>
    <w:p>
      <w:pPr>
        <w:pStyle w:val="ListBullet"/>
      </w:pPr>
      <w:r>
        <w:t>Change Management: Team-Schulung parallel zur Entwicklung.</w:t>
      </w:r>
    </w:p>
    <w:p>
      <w:pPr>
        <w:pStyle w:val="ListBullet"/>
      </w:pPr>
      <w:r>
        <w:t>Dokumentation: Jede Architekturentscheidung wird festgehalten.</w:t>
      </w:r>
    </w:p>
    <w:p>
      <w:pPr>
        <w:pStyle w:val="Heading2"/>
      </w:pPr>
      <w:r>
        <w:rPr>
          <w:color w:val="0B1A2F"/>
        </w:rPr>
        <w:t>Sicherheits- &amp; Datenschutzaspekte</w:t>
      </w:r>
    </w:p>
    <w:p>
      <w:pPr>
        <w:pStyle w:val="ListBullet"/>
      </w:pPr>
      <w:r>
        <w:t>Row Level Security (RLS) in Supabase PostgreSQL für datenbankseitige Berechtigungen.</w:t>
      </w:r>
    </w:p>
    <w:p>
      <w:pPr>
        <w:pStyle w:val="ListBullet"/>
      </w:pPr>
      <w:r>
        <w:t>Supabase Auth mit TOTP für Zwei-Faktor-Authentifizierung.</w:t>
      </w:r>
    </w:p>
    <w:p>
      <w:pPr>
        <w:pStyle w:val="ListBullet"/>
      </w:pPr>
      <w:r>
        <w:t>Signal Protocol für Ende-zu-Ende-verschlüsselte Chats.</w:t>
      </w:r>
    </w:p>
    <w:p>
      <w:pPr>
        <w:pStyle w:val="ListBullet"/>
      </w:pPr>
      <w:r>
        <w:t>Penetration Testing als expliziter Bestandteil von Phase 5.</w:t>
      </w:r>
    </w:p>
    <w:p>
      <w:r>
        <w:br w:type="page"/>
      </w:r>
    </w:p>
    <w:p>
      <w:pPr>
        <w:pStyle w:val="Heading1"/>
      </w:pPr>
      <w:r>
        <w:rPr>
          <w:color w:val="0B1A2F"/>
        </w:rPr>
        <w:t>Quellenverzeichnis</w:t>
      </w:r>
    </w:p>
    <w:p>
      <w:pPr>
        <w:pStyle w:val="ListBullet"/>
      </w:pPr>
      <w:r>
        <w:t>Market Data Forecast (2026). Europe Property Management Software Market Report.</w:t>
      </w:r>
    </w:p>
    <w:p>
      <w:pPr>
        <w:pStyle w:val="ListBullet"/>
      </w:pPr>
      <w:r>
        <w:t>Fortune Business Insights (2026). Property Management Software Market Size &amp; Growth [2034].</w:t>
      </w:r>
    </w:p>
    <w:p>
      <w:pPr>
        <w:pStyle w:val="ListBullet"/>
      </w:pPr>
      <w:r>
        <w:t>Research Nester (2026). Property Management Software Market Size, Growth Report 2035.</w:t>
      </w:r>
    </w:p>
    <w:p>
      <w:pPr>
        <w:pStyle w:val="ListBullet"/>
      </w:pPr>
      <w:r>
        <w:t>Cognitive Market Research (2026). Europe Real Estate Property Software Industry Report 2026.</w:t>
      </w:r>
    </w:p>
    <w:p>
      <w:pPr>
        <w:pStyle w:val="ListBullet"/>
      </w:pPr>
      <w:r>
        <w:t>G2 Grid® Report for Property Management, Spring 2026.</w:t>
      </w:r>
    </w:p>
    <w:p>
      <w:pPr>
        <w:pStyle w:val="ListBullet"/>
      </w:pPr>
      <w:r>
        <w:t>Twenty.com (2026). Twenty – Open Source Alternative to Salesforce. 45.500 GitHub Stars.</w:t>
      </w:r>
    </w:p>
    <w:p>
      <w:pPr>
        <w:pStyle w:val="ListBullet"/>
      </w:pPr>
      <w:r>
        <w:t>NocoBase.com (2026). NocoBase – AI + No-Code Platform. 21.300 GitHub Stars.</w:t>
      </w:r>
    </w:p>
    <w:p>
      <w:pPr>
        <w:pStyle w:val="ListBullet"/>
      </w:pPr>
      <w:r>
        <w:t>Supabase.io (2026). Supabase – Open Source Firebase Alternative. 68.000 GitHub Stars.</w:t>
      </w:r>
    </w:p>
    <w:p>
      <w:pPr>
        <w:pStyle w:val="ListBullet"/>
      </w:pPr>
      <w:r>
        <w:t>Mandanten-Unterlage: WMC Anforderungskatalog – 10 MUST-Anforderungen.</w:t>
      </w:r>
    </w:p>
    <w:p/>
    <w:p/>
    <w:p>
      <w:pPr>
        <w:jc w:val="center"/>
      </w:pPr>
      <w:r>
        <w:rPr>
          <w:b/>
          <w:color w:val="F97316"/>
          <w:sz w:val="20"/>
        </w:rPr>
        <w:t>STRICTLY CONFIDENTIAL</w:t>
      </w:r>
    </w:p>
    <w:p>
      <w:pPr>
        <w:jc w:val="center"/>
      </w:pPr>
      <w:r>
        <w:rPr>
          <w:color w:val="475569"/>
          <w:sz w:val="20"/>
        </w:rPr>
        <w:t>Dieses Dokument ist vertraulich und ausschließlich für Ataberk Estate bestimmt. Eine Weitergabe an Dritte bedarf der vorherigen schriftlichen Zustimmung.</w:t>
        <w:br/>
        <w:br/>
        <w:t>1Çatı Plattform für Ataberk Estate | Juni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B1A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B1A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0B1A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