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22B"/>
          <w:sz w:val="18"/>
        </w:rPr>
        <w:t>MARKET ANALYSIS · PROPERTY-MANAGEMENT SOFTWARE · 2026</w:t>
      </w:r>
    </w:p>
    <w:p>
      <w:r>
        <w:rPr>
          <w:b/>
          <w:color w:val="066B63"/>
          <w:sz w:val="40"/>
        </w:rPr>
        <w:t>1Çatı in the market — Germany &amp; Turkey</w:t>
      </w:r>
    </w:p>
    <w:p>
      <w:r>
        <w:rPr>
          <w:sz w:val="22"/>
        </w:rPr>
        <w:t>What does a system like 1Çatı really cost in 2026? Transparent license and development costs — including an honest explanation of external interfaces and third-party costs.</w:t>
      </w:r>
    </w:p>
    <w:p>
      <w:r>
        <w:rPr>
          <w:sz w:val="18"/>
        </w:rPr>
        <w:t xml:space="preserve">As of July 2026 · Prepared for WAMOCON GmbH / Ataberk Estate · </w:t>
      </w:r>
      <w:r>
        <w:rPr>
          <w:b/>
          <w:color w:val="D0445B"/>
          <w:sz w:val="18"/>
        </w:rPr>
        <w:t>STRICTLY CONFIDENTIAL</w:t>
      </w:r>
    </w:p>
    <w:p/>
    <w:p>
      <w:r>
        <w:rPr>
          <w:b/>
          <w:color w:val="B9822B"/>
          <w:sz w:val="30"/>
        </w:rPr>
        <w:t xml:space="preserve">1  </w:t>
      </w:r>
      <w:r>
        <w:rPr>
          <w:b/>
          <w:color w:val="066B63"/>
          <w:sz w:val="30"/>
        </w:rPr>
        <w:t>Executive summary</w:t>
      </w:r>
    </w:p>
    <w:p>
      <w:r>
        <w:rPr>
          <w:sz w:val="21"/>
        </w:rPr>
        <w:t>The property-management software market splits into three classes. 1Çatı belongs functionally to the top one — yet delivers this enterprise depth at the price of a lean service subscription, plannable via price guarantee and available immediately.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€ / ₺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1Çatı as a 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€5 / 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≈ €10 / unit, all-in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Custom build Germany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€150–400k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5-yr TCO + 15–25 %/yr maintenance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Custom build Turkey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&gt;4.5M 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≈ $100–250k enterprise system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Enterprise software 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Black box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Aareon, iX-Haus, DOMUS: on request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The cheap standard tools (Apsiyon etc.) are not functionally comparable — they cover dues/payment, not finance ledger, workforce/SLA, AI and multilingualism. 1Çatı delivers enterprise class as a transparent OpEx subscription instead of a six-figure CapEx project.</w:t>
      </w:r>
    </w:p>
    <w:p>
      <w:r>
        <w:rPr>
          <w:b/>
          <w:color w:val="B9822B"/>
          <w:sz w:val="30"/>
        </w:rPr>
        <w:t xml:space="preserve">2  </w:t>
      </w:r>
      <w:r>
        <w:rPr>
          <w:b/>
          <w:color w:val="066B63"/>
          <w:sz w:val="30"/>
        </w:rPr>
        <w:t>Method &amp; transparency</w:t>
      </w:r>
    </w:p>
    <w:p>
      <w:r>
        <w:rPr>
          <w:sz w:val="21"/>
        </w:rPr>
        <w:t>All figures come from publicly available vendor, comparison or market sources (as of July 2026); sources in section 8. Where leading vendors publish no list prices ("on request"), that is itself a documented finding. No figures are invented.</w:t>
      </w:r>
    </w:p>
    <w:p>
      <w:r>
        <w:rPr>
          <w:b/>
          <w:color w:val="B9822B"/>
          <w:sz w:val="30"/>
        </w:rPr>
        <w:t xml:space="preserve">3  </w:t>
      </w:r>
      <w:r>
        <w:rPr>
          <w:b/>
          <w:color w:val="066B63"/>
          <w:sz w:val="30"/>
        </w:rPr>
        <w:t>Market Germany 2026</w:t>
      </w:r>
    </w:p>
    <w:p>
      <w:r>
        <w:rPr>
          <w:b/>
          <w:color w:val="0D443F"/>
          <w:sz w:val="23"/>
        </w:rPr>
        <w:t>3.1 Transparent SaaS (small/mid managers)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Vendor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Casavi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€219 / €329 / €599 /Mon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Objego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€7,95 + €0,95/E.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Immoware24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~€2,50/E.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immocloud / VermietenPlus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€9,99 / €9,90+€0,99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iDWELL / SCALARA / SMARTBRIX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€99 / €199 / €350</w:t>
            </w:r>
          </w:p>
        </w:tc>
      </w:tr>
    </w:tbl>
    <w:p>
      <w:r>
        <w:rPr>
          <w:b/>
          <w:color w:val="0D443F"/>
          <w:sz w:val="23"/>
        </w:rPr>
        <w:t>3.2 Enterprise ERP — the functionally comparable class</w:t>
      </w:r>
    </w:p>
    <w:p>
      <w:r>
        <w:rPr>
          <w:sz w:val="21"/>
        </w:rPr>
        <w:t>Aareon (Wodis Yuneo, RELion ONE), CREM iX-Haus, Haufe/DOMUS ERP, FIO: no public prices — all "individual quote". DOMUS indicatively from €2,100 license + €42/mo maintenance. These match 1Çatı's function class — opaque, typically four- to five-figure p.a.</w:t>
      </w:r>
    </w:p>
    <w:p>
      <w:r>
        <w:rPr>
          <w:b/>
          <w:color w:val="0D443F"/>
          <w:sz w:val="23"/>
        </w:rPr>
        <w:t>3.3 Custom development 2026</w:t>
      </w:r>
    </w:p>
    <w:p>
      <w:r>
        <w:rPr>
          <w:sz w:val="21"/>
        </w:rPr>
        <w:t>Custom software €20,000–250,000; tailored ERP €50,000–300,000+, complete industry software ~€150,000, 5-year TCO €150,000–400,000. 1Çatı's scope: €120,000–300,000+ initial build.</w:t>
      </w:r>
    </w:p>
    <w:p>
      <w:r>
        <w:rPr>
          <w:b/>
          <w:color w:val="B9822B"/>
          <w:sz w:val="30"/>
        </w:rPr>
        <w:t xml:space="preserve">4  </w:t>
      </w:r>
      <w:r>
        <w:rPr>
          <w:b/>
          <w:color w:val="066B63"/>
          <w:sz w:val="30"/>
        </w:rPr>
        <w:t>Market Turkey 2026</w:t>
      </w:r>
    </w:p>
    <w:p>
      <w:r>
        <w:rPr>
          <w:b/>
          <w:color w:val="0D443F"/>
          <w:sz w:val="23"/>
        </w:rPr>
        <w:t>4.1 Dues/site tools (per unit)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Vendor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Marktband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5–30 ₺/E.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Apsiyon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~2,80 ₺/E. · ~803 ₺ min · ~5 %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YÖNETİCİ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700 / 1.100 / 1.400 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Komşum / Net Yönetim / Vayonet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₺</w:t>
            </w:r>
          </w:p>
        </w:tc>
      </w:tr>
    </w:tbl>
    <w:p>
      <w:r>
        <w:rPr>
          <w:b/>
          <w:color w:val="0D443F"/>
          <w:sz w:val="23"/>
        </w:rPr>
        <w:t>4.2 Classic ERP &amp; service</w:t>
      </w:r>
    </w:p>
    <w:p>
      <w:r>
        <w:rPr>
          <w:sz w:val="21"/>
        </w:rPr>
        <w:t>Logo Netsis 3 Standard (Jan 2025): 1 user 83,000 ₺, +5 users 402,600 ₺, +10 users 775,900 ₺ — perpetual license + LEM, generic ERP without real-estate domain. Human management: 100–250 ₺/unit/month.</w:t>
      </w:r>
    </w:p>
    <w:p>
      <w:r>
        <w:rPr>
          <w:b/>
          <w:color w:val="0D443F"/>
          <w:sz w:val="23"/>
        </w:rPr>
        <w:t>4.3 Custom development 2026</w:t>
      </w:r>
    </w:p>
    <w:p>
      <w:r>
        <w:rPr>
          <w:sz w:val="21"/>
        </w:rPr>
        <w:t>Custom software 300,000 ₺ (simple) to 4.5M ₺+ (complex); developer rates 1,000–3,000 ₺/hr or $24–54/hr. A Turkish rebuild of 1Çatı's breadth: &gt;4.5M ₺ / ~$100,000–250,000+.</w:t>
      </w:r>
    </w:p>
    <w:p>
      <w:r>
        <w:rPr>
          <w:b/>
          <w:color w:val="B9822B"/>
          <w:sz w:val="30"/>
        </w:rPr>
        <w:t xml:space="preserve">5  </w:t>
      </w:r>
      <w:r>
        <w:rPr>
          <w:b/>
          <w:color w:val="066B63"/>
          <w:sz w:val="30"/>
        </w:rPr>
        <w:t>Feature &amp; technology comparison</w:t>
      </w:r>
    </w:p>
    <w:p>
      <w:r>
        <w:rPr>
          <w:sz w:val="21"/>
        </w:rPr>
        <w:t>1Çatı is not a dues tool but a full real-estate ERP. Only then is the cost comparison fair.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Module / 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1Çatı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Dues tools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Classic ERP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Enterprise 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Object/unit model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Finance ledger (posting integrity)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Payments / deposits / reconciliation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collection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Service tickets &amp; orders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Workforce / SLA / field proof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AI assistant / analytics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add-on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Multi-role RBAC/RLS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 languages (tr/en/de/ru)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TR only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TR only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DE/EN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Price transparency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 request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price list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black box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Only the enterprise ERPs (DE) reach 1Çatı's breadth — but they are opaquely priced and without 4-language/AI focus. 1Çatı unites enterprise breadth + price transparency + multilingualism + AI.</w:t>
      </w:r>
    </w:p>
    <w:p>
      <w:r>
        <w:rPr>
          <w:b/>
          <w:color w:val="B9822B"/>
          <w:sz w:val="30"/>
        </w:rPr>
        <w:t xml:space="preserve">6  </w:t>
      </w:r>
      <w:r>
        <w:rPr>
          <w:b/>
          <w:color w:val="066B63"/>
          <w:sz w:val="30"/>
        </w:rPr>
        <w:t>External interfaces &amp; third-party costs — explained transparently</w:t>
      </w:r>
    </w:p>
    <w:p>
      <w:r>
        <w:rPr>
          <w:sz w:val="21"/>
        </w:rPr>
        <w:t>1Çatı is the platform. Some functions connect to external systems that incur their own costs at third parties. We explain this with full transparency: you always know what you pay to whom — no hidden markups.</w:t>
      </w:r>
    </w:p>
    <w:p>
      <w:r>
        <w:rPr>
          <w:b/>
          <w:color w:val="066B63"/>
          <w:sz w:val="22"/>
        </w:rPr>
        <w:t>A · Included in the 1Çatı fixed price</w:t>
      </w:r>
    </w:p>
    <w:p>
      <w:r>
        <w:rPr>
          <w:sz w:val="20"/>
        </w:rPr>
        <w:t>Software, operation/hosting, updates, maintenance, support, base AI and all property-management modules. One fixed price, no surprises.</w:t>
      </w:r>
    </w:p>
    <w:p>
      <w:r>
        <w:rPr>
          <w:b/>
          <w:color w:val="B9822B"/>
          <w:sz w:val="22"/>
        </w:rPr>
        <w:t>B · Pass-through third-party costs (usage-based, no markup)</w:t>
      </w:r>
    </w:p>
    <w:p>
      <w:r>
        <w:rPr>
          <w:sz w:val="20"/>
        </w:rPr>
        <w:t>Real third-party costs that only arise on use and which we pass on 1:1 at documented cost — or which you bear directly with the provider. Transparent on every invoice, no WAMOCON markup.</w:t>
      </w:r>
    </w:p>
    <w:p>
      <w:r>
        <w:rPr>
          <w:b/>
          <w:color w:val="54615D"/>
          <w:sz w:val="22"/>
        </w:rPr>
        <w:t>C · Optional add-on systems (own contract, separate)</w:t>
      </w:r>
    </w:p>
    <w:p>
      <w:r>
        <w:rPr>
          <w:sz w:val="20"/>
        </w:rPr>
        <w:t>Standalone systems outside property management with their own hardware/contracts. Connected on request and calculated separately — marked "to be defined" in the offer.</w:t>
      </w:r>
    </w:p>
    <w:p>
      <w:r>
        <w:rPr>
          <w:b/>
          <w:color w:val="0D443F"/>
          <w:sz w:val="23"/>
        </w:rPr>
        <w:t>Overview of interfaces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Typical cost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Who pays / billing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Payment system (iyzico/PayTR)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~2.9–4.29 % + fixed per payment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pass-through / payer, no markup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SMS / OTP (Netgsm)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per SMS (cents)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pass-through at cost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e-Invoice (licensed integrator)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document quotas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pass-through; regulated TR integrator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AI assistant (tokens)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A/B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base incl.; heavy use capped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fair-use / transparent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Access/security system (camera/barrier)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hardware + vendor API (quote)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own contract, separate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Payroll &amp; HR system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separate subscription / 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own contract, separate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Sales system (real-estate CRM)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separate subscription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own contract, separate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Booking system (rental / rooms)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subscription + booking commission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own contract, separate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Cloud / storage / maps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usage-based (low)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included in operation up to threshold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The principle is simple. The software is included in the fixed price. Ongoing usage — payment fees, SMS — is billed transparently by actual use and without any markup. Standalone add-on systems such as access and security, payroll, sales or booking are connected only when needed and billed separately.</w:t>
      </w:r>
    </w:p>
    <w:p>
      <w:pPr>
        <w:ind w:left="216"/>
      </w:pPr>
      <w:r>
        <w:rPr>
          <w:i/>
          <w:color w:val="0D443F"/>
          <w:sz w:val="20"/>
        </w:rPr>
        <w:t>Our promise: no hidden markup. Category A is your fixed price, category B we pass through at documented cost, category C is optional and calculated separately in advance. This clean separation is lived German transparency.</w:t>
      </w:r>
    </w:p>
    <w:p>
      <w:r>
        <w:rPr>
          <w:b/>
          <w:color w:val="B9822B"/>
          <w:sz w:val="30"/>
        </w:rPr>
        <w:t xml:space="preserve">7  </w:t>
      </w:r>
      <w:r>
        <w:rPr>
          <w:b/>
          <w:color w:val="066B63"/>
          <w:sz w:val="30"/>
        </w:rPr>
        <w:t>Economics — the most sensible choice</w:t>
      </w:r>
    </w:p>
    <w:p>
      <w:r>
        <w:rPr>
          <w:sz w:val="21"/>
        </w:rPr>
        <w:t>The fair comparison is build-vs-buy at enterprise level — not the monthly price of a dues tool.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What it costs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Included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Time-to-value / risk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1Çatı (service, 3 yrs)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€5/user, all-in + guarantee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Software+hosting+updates+support+AI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live immediately · no build risk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Custom build Germany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€150,000–400,000 + maintenance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software only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6–18 months · high risk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Custom build Turkey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&gt;4.5M ₺ / ~$100–250k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software only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6–18 months · risk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Enterprise software 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"on request" (4–5 figures p.a.)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software+support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rollout project · opaque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A system of 1Çatı's class as a custom build costs €150,000+ / &gt;4.5M ₺ just to build, plus years of maintenance, plus 6–18 months' wait, plus risk. 1Çatı delivers the same class as a plannable subscription, immediate, all-inclusive, with a 3-year price guarantee.</w:t>
      </w:r>
    </w:p>
    <w:p>
      <w:r>
        <w:rPr>
          <w:b/>
          <w:color w:val="B9822B"/>
          <w:sz w:val="30"/>
        </w:rPr>
        <w:t xml:space="preserve">8  </w:t>
      </w:r>
      <w:r>
        <w:rPr>
          <w:b/>
          <w:color w:val="066B63"/>
          <w:sz w:val="30"/>
        </w:rPr>
        <w:t>Conclusion</w:t>
      </w:r>
    </w:p>
    <w:p>
      <w:r>
        <w:rPr>
          <w:sz w:val="21"/>
        </w:rPr>
        <w:t>1Çatı is (a) technologically the most comprehensive solution — combining domain depth, accounting rigor, workforce/SLA, AI and a 4-language buyer/tenant portal — and (b) economically the most sensible: enterprise class at a service price, transparent, plannable via price guarantee. For a developer like Ataberk: maximum function, minimum risk, plannable cost.</w:t>
      </w:r>
    </w:p>
    <w:p>
      <w:r>
        <w:rPr>
          <w:b/>
          <w:color w:val="B9822B"/>
          <w:sz w:val="30"/>
        </w:rPr>
        <w:t xml:space="preserve">9  </w:t>
      </w:r>
      <w:r>
        <w:rPr>
          <w:b/>
          <w:color w:val="066B63"/>
          <w:sz w:val="30"/>
        </w:rPr>
        <w:t>Sources</w:t>
      </w:r>
    </w:p>
    <w:p>
      <w:pPr>
        <w:pStyle w:val="ListBullet"/>
      </w:pPr>
      <w:r>
        <w:rPr>
          <w:color w:val="54615D"/>
          <w:sz w:val="17"/>
        </w:rPr>
        <w:t>Casavi — casavi.com/de/preise/</w:t>
      </w:r>
    </w:p>
    <w:p>
      <w:pPr>
        <w:pStyle w:val="ListBullet"/>
      </w:pPr>
      <w:r>
        <w:rPr>
          <w:color w:val="54615D"/>
          <w:sz w:val="17"/>
        </w:rPr>
        <w:t>Objego — objego.de/preise/</w:t>
      </w:r>
    </w:p>
    <w:p>
      <w:pPr>
        <w:pStyle w:val="ListBullet"/>
      </w:pPr>
      <w:r>
        <w:rPr>
          <w:color w:val="54615D"/>
          <w:sz w:val="17"/>
        </w:rPr>
        <w:t>Immoware24 — immoware24.de/preise/</w:t>
      </w:r>
    </w:p>
    <w:p>
      <w:pPr>
        <w:pStyle w:val="ListBullet"/>
      </w:pPr>
      <w:r>
        <w:rPr>
          <w:color w:val="54615D"/>
          <w:sz w:val="17"/>
        </w:rPr>
        <w:t>Haufe/DOMUS — softwareabc24.de/hausverwaltung-software/domus-4000</w:t>
      </w:r>
    </w:p>
    <w:p>
      <w:pPr>
        <w:pStyle w:val="ListBullet"/>
      </w:pPr>
      <w:r>
        <w:rPr>
          <w:color w:val="54615D"/>
          <w:sz w:val="17"/>
        </w:rPr>
        <w:t>Aareon — aareon.de/immobiliensoftware</w:t>
      </w:r>
    </w:p>
    <w:p>
      <w:pPr>
        <w:pStyle w:val="ListBullet"/>
      </w:pPr>
      <w:r>
        <w:rPr>
          <w:color w:val="54615D"/>
          <w:sz w:val="17"/>
        </w:rPr>
        <w:t>CREM iX-Haus — crem-solutions.de</w:t>
      </w:r>
    </w:p>
    <w:p>
      <w:pPr>
        <w:pStyle w:val="ListBullet"/>
      </w:pPr>
      <w:r>
        <w:rPr>
          <w:color w:val="54615D"/>
          <w:sz w:val="17"/>
        </w:rPr>
        <w:t>FIO — fio.de</w:t>
      </w:r>
    </w:p>
    <w:p>
      <w:pPr>
        <w:pStyle w:val="ListBullet"/>
      </w:pPr>
      <w:r>
        <w:rPr>
          <w:color w:val="54615D"/>
          <w:sz w:val="17"/>
        </w:rPr>
        <w:t>Dev DE — groenewold-it.solutions ; software-entwickeln-lassen.com/ratgeber/erp-system-kosten</w:t>
      </w:r>
    </w:p>
    <w:p>
      <w:pPr>
        <w:pStyle w:val="ListBullet"/>
      </w:pPr>
      <w:r>
        <w:rPr>
          <w:color w:val="54615D"/>
          <w:sz w:val="17"/>
        </w:rPr>
        <w:t>Apartora TR — apartora.com/en/blog/2026-site-yonetimi-aidat-yazilimlari-karsilastirmasi</w:t>
      </w:r>
    </w:p>
    <w:p>
      <w:pPr>
        <w:pStyle w:val="ListBullet"/>
      </w:pPr>
      <w:r>
        <w:rPr>
          <w:color w:val="54615D"/>
          <w:sz w:val="17"/>
        </w:rPr>
        <w:t>Apsiyon — apsiyon.com/en/get-offer ; sikayetvar.com/apsiyon/hizmet-bedeli</w:t>
      </w:r>
    </w:p>
    <w:p>
      <w:pPr>
        <w:pStyle w:val="ListBullet"/>
      </w:pPr>
      <w:r>
        <w:rPr>
          <w:color w:val="54615D"/>
          <w:sz w:val="17"/>
        </w:rPr>
        <w:t>YÖNETİCİ — yoneticiprogrami.com</w:t>
      </w:r>
    </w:p>
    <w:p>
      <w:pPr>
        <w:pStyle w:val="ListBullet"/>
      </w:pPr>
      <w:r>
        <w:rPr>
          <w:color w:val="54615D"/>
          <w:sz w:val="17"/>
        </w:rPr>
        <w:t>Komşum — komsum.online</w:t>
      </w:r>
    </w:p>
    <w:p>
      <w:pPr>
        <w:pStyle w:val="ListBullet"/>
      </w:pPr>
      <w:r>
        <w:rPr>
          <w:color w:val="54615D"/>
          <w:sz w:val="17"/>
        </w:rPr>
        <w:t>Logo Netsis — logo.com.tr/en/logo-price-lists</w:t>
      </w:r>
    </w:p>
    <w:p>
      <w:pPr>
        <w:pStyle w:val="ListBullet"/>
      </w:pPr>
      <w:r>
        <w:rPr>
          <w:color w:val="54615D"/>
          <w:sz w:val="17"/>
        </w:rPr>
        <w:t>Dev TR — codefacture.com ; cmrsoft.com/erp-yazilimi-fiyati-2026-guncel-rehber/</w:t>
      </w:r>
    </w:p>
    <w:p>
      <w:pPr>
        <w:pStyle w:val="ListBullet"/>
      </w:pPr>
      <w:r>
        <w:rPr>
          <w:color w:val="54615D"/>
          <w:sz w:val="17"/>
        </w:rPr>
        <w:t>Dev-Sätze TR — lemon.io/rate-calculator/turkey/ ; yazilimcimaaslari.org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18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