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erschrift1"/>
      </w:pPr>
      <w:r>
        <w:rPr>
          <w:color w:val="F40E0E"/>
        </w:rPr>
        <w:t>Hypercare-Plan nach dem Go-Live von Damicon</w:t>
      </w:r>
    </w:p>
    <w:p>
      <w:r>
        <w:rPr>
          <w:b/>
        </w:rPr>
        <w:t>Festgelegt am 15.10.2026 · Jira WMCNL-1465 (Abschluss: Hypercare-Phase nach Go-Live definieren)</w:t>
      </w:r>
      <w:r/>
    </w:p>
    <w:p>
      <w:pPr>
        <w:pStyle w:val="berschrift2"/>
      </w:pPr>
      <w:r>
        <w:rPr>
          <w:color w:val="F40E0E"/>
        </w:rPr>
        <w:t>1. Worum es geht</w:t>
      </w:r>
    </w:p>
    <w:p>
      <w:r>
        <w:t>Die Hypercare ist die Zeit direkt nach der Produktivsetzung, in der ein erhöhter Aufwand betrieben wird: Das System wird enger beobachtet, Störungen werden schneller bearbeitet, und es gibt klare Kriterien, wann die Phase endet und der Regelbetrieb beginnt. Dieser Plan legt dafür den Rahmen fest.</w:t>
      </w:r>
    </w:p>
    <w:p>
      <w:r>
        <w:t>Die Zahlen zu Reaktionszeiten, Dauer und Bereitschaft sind festgelegt, die Begründungen stehen in Abschnitt 12. Offen bleibt nur, was allein der Betreiber weiß und das Projekt nicht aus sich ableiten kann: das Datum des Go-Live sowie die Namen und die Erreichbarkeit der Rollen.</w:t>
      </w:r>
      <w:r>
        <w:rPr>
          <w:b/>
        </w:rPr>
      </w:r>
      <w:r/>
    </w:p>
    <w:p>
      <w:r>
        <w:rPr>
          <w:b/>
        </w:rPr>
        <w:t>Was heute feststeht:</w:t>
      </w:r>
    </w:p>
    <w:p>
      <w:pPr>
        <w:pStyle w:val="Listenabsatz"/>
        <w:spacing w:after="57"/>
        <w:ind w:left="425" w:hanging="283"/>
      </w:pPr>
      <w:r>
        <w:t>•</w:t>
        <w:tab/>
      </w:r>
      <w:r>
        <w:t xml:space="preserve">Das Produkt läuft heute in einer Entwicklungs- und Vorschauumgebung. Der Umzug auf Server in Kasachstan erfolgt nach der Beauftragung und </w:t>
      </w:r>
      <w:r>
        <w:rPr>
          <w:b/>
        </w:rPr>
        <w:t>vor</w:t>
      </w:r>
      <w:r>
        <w:t xml:space="preserve"> dem Produktivbetrieb. Die Hypercare beginnt erst danach.</w:t>
      </w:r>
    </w:p>
    <w:p>
      <w:pPr>
        <w:pStyle w:val="Listenabsatz"/>
        <w:spacing w:after="57"/>
        <w:ind w:left="425" w:hanging="283"/>
      </w:pPr>
      <w:r>
        <w:t>•</w:t>
        <w:tab/>
      </w:r>
      <w:r>
        <w:t>Ein Go-Live-Datum ist nicht festgelegt. Es hängt an der Beauftragung, an dem Umzug und an der Erntesaison.</w:t>
      </w:r>
    </w:p>
    <w:p>
      <w:pPr>
        <w:pStyle w:val="Listenabsatz"/>
        <w:spacing w:after="57"/>
        <w:ind w:left="425" w:hanging="283"/>
      </w:pPr>
      <w:r>
        <w:t>•</w:t>
        <w:tab/>
      </w:r>
      <w:r>
        <w:t>Die staatlichen Pflichtmeldungen (ЭСФ und ЕСУТД) laufen in Stufe 1: Das Portal führt den Stand, die Eingabe im staatlichen System geschieht von Hand. Die automatische Übergabe braucht den Zugang der Behörde.</w:t>
      </w:r>
    </w:p>
    <w:p>
      <w:pPr>
        <w:pStyle w:val="berschrift2"/>
      </w:pPr>
      <w:r>
        <w:rPr>
          <w:color w:val="F40E0E"/>
        </w:rPr>
        <w:t>2. Ziele der Hypercare</w:t>
      </w:r>
    </w:p>
    <w:p>
      <w:pPr>
        <w:pStyle w:val="Listenabsatz"/>
        <w:spacing w:after="57"/>
        <w:ind w:left="425" w:hanging="283"/>
      </w:pPr>
      <w:r>
        <w:t>1.</w:t>
        <w:tab/>
      </w:r>
      <w:r>
        <w:t>Kein Pflückvorgang, keine Kühlmessung und keine Lieferung geht durch einen Fehler des Systems verloren oder wird falsch bewertet.</w:t>
      </w:r>
    </w:p>
    <w:p>
      <w:pPr>
        <w:pStyle w:val="Listenabsatz"/>
        <w:spacing w:after="57"/>
        <w:ind w:left="425" w:hanging="283"/>
      </w:pPr>
      <w:r>
        <w:t>2.</w:t>
        <w:tab/>
      </w:r>
      <w:r>
        <w:t>Anwender im Feld und im Büro bekommen bei Fragen und Störungen schnell Antwort, in ihrer Sprache (Russisch, Kasachisch, Deutsch).</w:t>
      </w:r>
    </w:p>
    <w:p>
      <w:pPr>
        <w:pStyle w:val="Listenabsatz"/>
        <w:spacing w:after="57"/>
        <w:ind w:left="425" w:hanging="283"/>
      </w:pPr>
      <w:r>
        <w:t>3.</w:t>
        <w:tab/>
      </w:r>
      <w:r>
        <w:t>Fehler, die nur im echten Betrieb sichtbar werden, werden gefunden, bevor sie sich häufen.</w:t>
      </w:r>
    </w:p>
    <w:p>
      <w:pPr>
        <w:pStyle w:val="Listenabsatz"/>
        <w:spacing w:after="57"/>
        <w:ind w:left="425" w:hanging="283"/>
      </w:pPr>
      <w:r>
        <w:t>4.</w:t>
        <w:tab/>
      </w:r>
      <w:r>
        <w:t>Am Ende steht eine belegte Entscheidung: Das System ist stabil, oder die Phase wird begründet verlängert.</w:t>
      </w:r>
    </w:p>
    <w:p>
      <w:pPr>
        <w:pStyle w:val="berschrift2"/>
      </w:pPr>
      <w:r>
        <w:rPr>
          <w:color w:val="F40E0E"/>
        </w:rPr>
        <w:t>3. Zeitraum und Phasen</w:t>
      </w:r>
    </w:p>
    <w:p>
      <w:r>
        <w:t>Festgelegt: vier Wochen ab dem ersten Produktivtag. Fällt der Start in die Erntespitze, wird die Phase um die Dauer der Spitze verlängert, denn nur dort zeigt sich die volle Last.</w:t>
      </w:r>
      <w:r>
        <w:rPr>
          <w:b/>
        </w:rPr>
      </w:r>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1701"/>
        <w:gridCol w:w="5670"/>
      </w:tblGrid>
      <w:tr>
        <w:tc>
          <w:tcPr>
            <w:tcW w:type="dxa" w:w="1701"/>
            <w:shd w:val="clear" w:color="auto" w:fill="F40E0E"/>
          </w:tcPr>
          <w:p>
            <w:r>
              <w:rPr>
                <w:b/>
                <w:color w:val="FFFFFF"/>
              </w:rPr>
            </w:r>
            <w:r>
              <w:rPr>
                <w:b/>
                <w:color w:val="FFFFFF"/>
              </w:rPr>
              <w:t>Phase</w:t>
            </w:r>
          </w:p>
        </w:tc>
        <w:tc>
          <w:tcPr>
            <w:tcW w:type="dxa" w:w="1701"/>
            <w:shd w:val="clear" w:color="auto" w:fill="F40E0E"/>
          </w:tcPr>
          <w:p>
            <w:r>
              <w:rPr>
                <w:b/>
                <w:color w:val="FFFFFF"/>
              </w:rPr>
            </w:r>
            <w:r>
              <w:rPr>
                <w:b/>
                <w:color w:val="FFFFFF"/>
              </w:rPr>
              <w:t>Zeitraum</w:t>
            </w:r>
          </w:p>
        </w:tc>
        <w:tc>
          <w:tcPr>
            <w:tcW w:type="dxa" w:w="5669"/>
            <w:shd w:val="clear" w:color="auto" w:fill="F40E0E"/>
          </w:tcPr>
          <w:p>
            <w:r>
              <w:rPr>
                <w:b/>
                <w:color w:val="FFFFFF"/>
              </w:rPr>
            </w:r>
            <w:r>
              <w:rPr>
                <w:b/>
                <w:color w:val="FFFFFF"/>
              </w:rPr>
              <w:t>Was gilt</w:t>
            </w:r>
          </w:p>
        </w:tc>
      </w:tr>
      <w:tr>
        <w:tc>
          <w:tcPr>
            <w:tcW w:type="dxa" w:w="1701"/>
          </w:tcPr>
          <w:p>
            <w:r/>
            <w:r>
              <w:t>Intensivbetrieb</w:t>
            </w:r>
          </w:p>
        </w:tc>
        <w:tc>
          <w:tcPr>
            <w:tcW w:type="dxa" w:w="1701"/>
          </w:tcPr>
          <w:p>
            <w:r/>
            <w:r>
              <w:t>Woche 1</w:t>
            </w:r>
          </w:p>
        </w:tc>
        <w:tc>
          <w:tcPr>
            <w:tcW w:type="dxa" w:w="5669"/>
          </w:tcPr>
          <w:p>
            <w:r/>
            <w:r>
              <w:t>Tägliche Sichtung vor der ersten Pflückschicht und am Abend. Technische Bereitschaft während der Pflückzeiten. Tägliche Lagemeldung an den Betreiber.</w:t>
            </w:r>
          </w:p>
        </w:tc>
      </w:tr>
      <w:tr>
        <w:tc>
          <w:tcPr>
            <w:tcW w:type="dxa" w:w="1701"/>
          </w:tcPr>
          <w:p>
            <w:r/>
            <w:r>
              <w:t>Stabilisierung</w:t>
            </w:r>
          </w:p>
        </w:tc>
        <w:tc>
          <w:tcPr>
            <w:tcW w:type="dxa" w:w="1701"/>
          </w:tcPr>
          <w:p>
            <w:r/>
            <w:r>
              <w:t>Wochen 2 und 3</w:t>
            </w:r>
          </w:p>
        </w:tc>
        <w:tc>
          <w:tcPr>
            <w:tcW w:type="dxa" w:w="5669"/>
          </w:tcPr>
          <w:p>
            <w:r/>
            <w:r>
              <w:t>Tägliche Sichtung am Morgen. Bereitschaft auf Abruf. Lagemeldung zweimal pro Woche.</w:t>
            </w:r>
          </w:p>
        </w:tc>
      </w:tr>
      <w:tr>
        <w:tc>
          <w:tcPr>
            <w:tcW w:type="dxa" w:w="1701"/>
          </w:tcPr>
          <w:p>
            <w:r/>
            <w:r>
              <w:t>Übergabe</w:t>
            </w:r>
          </w:p>
        </w:tc>
        <w:tc>
          <w:tcPr>
            <w:tcW w:type="dxa" w:w="1701"/>
          </w:tcPr>
          <w:p>
            <w:r/>
            <w:r>
              <w:t>Woche 4</w:t>
            </w:r>
          </w:p>
        </w:tc>
        <w:tc>
          <w:tcPr>
            <w:tcW w:type="dxa" w:w="5669"/>
          </w:tcPr>
          <w:p>
            <w:r/>
            <w:r>
              <w:t>Abschlussbewertung nach den Kriterien in Abschnitt 9. Gespräch mit dem Betreiber. Übergabe in den Regelbetrieb.</w:t>
            </w:r>
          </w:p>
        </w:tc>
      </w:tr>
    </w:tbl>
    <w:p/>
    <w:p>
      <w:r>
        <w:t xml:space="preserve">Während der Hypercare gilt ein </w:t>
      </w:r>
      <w:r>
        <w:rPr>
          <w:b/>
        </w:rPr>
        <w:t>Änderungsstopp für neue Funktionen</w:t>
      </w:r>
      <w:r>
        <w:t>. Zulässig sind Fehlerbehebungen und Anpassungen, ohne die ein Ablauf im Betrieb nicht läuft. Jede Änderung läuft über die übliche Prüfkette: Pull Request, automatische Tests, Freigabe durch die Projektleitung, danach Übernahme. Datenbankänderungen gelten nach der Übernahme automatisch für alle, deshalb werden sie vorher in der Vorschauumgebung geprüft.</w:t>
      </w:r>
    </w:p>
    <w:p>
      <w:pPr>
        <w:pStyle w:val="berschrift2"/>
      </w:pPr>
      <w:r>
        <w:rPr>
          <w:color w:val="F40E0E"/>
        </w:rPr>
        <w:t>4. Schweregrade und Reaktionsziele</w:t>
      </w:r>
    </w:p>
    <w:p>
      <w:r>
        <w:t>Die Ziele gelten innerhalb der Betriebszeiten der Ernte (06:00 bis 20:00 Uhr Almaty-Zeit, an allen Tagen der Ernte) und, außerhalb der Ernte, an Arbeitstagen von 09:00 bis 18:00 Uhr. In Woche 1 ist die Hypercare-Leitung für S1 zusätzlich telefonisch bis 22:00 Uhr erreichbar. Die Spalte „Zwischenlösung“ nennt, was der Betrieb bis zur Behebung tun kann.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04"/>
        <w:gridCol w:w="1644"/>
        <w:gridCol w:w="2211"/>
        <w:gridCol w:w="1020"/>
        <w:gridCol w:w="1247"/>
        <w:gridCol w:w="1644"/>
      </w:tblGrid>
      <w:tr>
        <w:tc>
          <w:tcPr>
            <w:tcW w:type="dxa" w:w="1304"/>
            <w:shd w:val="clear" w:color="auto" w:fill="F40E0E"/>
          </w:tcPr>
          <w:p>
            <w:r>
              <w:rPr>
                <w:b/>
                <w:color w:val="FFFFFF"/>
              </w:rPr>
            </w:r>
            <w:r>
              <w:rPr>
                <w:b/>
                <w:color w:val="FFFFFF"/>
              </w:rPr>
              <w:t>Stufe</w:t>
            </w:r>
          </w:p>
        </w:tc>
        <w:tc>
          <w:tcPr>
            <w:tcW w:type="dxa" w:w="1644"/>
            <w:shd w:val="clear" w:color="auto" w:fill="F40E0E"/>
          </w:tcPr>
          <w:p>
            <w:r>
              <w:rPr>
                <w:b/>
                <w:color w:val="FFFFFF"/>
              </w:rPr>
            </w:r>
            <w:r>
              <w:rPr>
                <w:b/>
                <w:color w:val="FFFFFF"/>
              </w:rPr>
              <w:t>Bedeutung</w:t>
            </w:r>
          </w:p>
        </w:tc>
        <w:tc>
          <w:tcPr>
            <w:tcW w:type="dxa" w:w="2211"/>
            <w:shd w:val="clear" w:color="auto" w:fill="F40E0E"/>
          </w:tcPr>
          <w:p>
            <w:r>
              <w:rPr>
                <w:b/>
                <w:color w:val="FFFFFF"/>
              </w:rPr>
            </w:r>
            <w:r>
              <w:rPr>
                <w:b/>
                <w:color w:val="FFFFFF"/>
              </w:rPr>
              <w:t>Beispiele</w:t>
            </w:r>
          </w:p>
        </w:tc>
        <w:tc>
          <w:tcPr>
            <w:tcW w:type="dxa" w:w="1020"/>
            <w:shd w:val="clear" w:color="auto" w:fill="F40E0E"/>
          </w:tcPr>
          <w:p>
            <w:r>
              <w:rPr>
                <w:b/>
                <w:color w:val="FFFFFF"/>
              </w:rPr>
            </w:r>
            <w:r>
              <w:rPr>
                <w:b/>
                <w:color w:val="FFFFFF"/>
              </w:rPr>
              <w:t>Reaktion</w:t>
            </w:r>
          </w:p>
        </w:tc>
        <w:tc>
          <w:tcPr>
            <w:tcW w:type="dxa" w:w="1247"/>
            <w:shd w:val="clear" w:color="auto" w:fill="F40E0E"/>
          </w:tcPr>
          <w:p>
            <w:r>
              <w:rPr>
                <w:b/>
                <w:color w:val="FFFFFF"/>
              </w:rPr>
            </w:r>
            <w:r>
              <w:rPr>
                <w:b/>
                <w:color w:val="FFFFFF"/>
              </w:rPr>
              <w:t>Zwischenlösung</w:t>
            </w:r>
          </w:p>
        </w:tc>
        <w:tc>
          <w:tcPr>
            <w:tcW w:type="dxa" w:w="1644"/>
            <w:shd w:val="clear" w:color="auto" w:fill="F40E0E"/>
          </w:tcPr>
          <w:p>
            <w:r>
              <w:rPr>
                <w:b/>
                <w:color w:val="FFFFFF"/>
              </w:rPr>
            </w:r>
            <w:r>
              <w:rPr>
                <w:b/>
                <w:color w:val="FFFFFF"/>
              </w:rPr>
              <w:t>Behebung</w:t>
            </w:r>
          </w:p>
        </w:tc>
      </w:tr>
      <w:tr>
        <w:tc>
          <w:tcPr>
            <w:tcW w:type="dxa" w:w="1304"/>
          </w:tcPr>
          <w:p>
            <w:r/>
            <w:r>
              <w:rPr>
                <w:b/>
              </w:rPr>
              <w:t>S1 Stillstand</w:t>
            </w:r>
          </w:p>
        </w:tc>
        <w:tc>
          <w:tcPr>
            <w:tcW w:type="dxa" w:w="1644"/>
          </w:tcPr>
          <w:p>
            <w:r/>
            <w:r>
              <w:t>Ein Kernablauf ist für viele Anwender unmöglich oder liefert falsche Ergebnisse.</w:t>
            </w:r>
          </w:p>
        </w:tc>
        <w:tc>
          <w:tcPr>
            <w:tcW w:type="dxa" w:w="2211"/>
          </w:tcPr>
          <w:p>
            <w:r/>
            <w:r>
              <w:t>Anmeldung für alle nicht möglich. Pflückaufgaben, Steigen oder Kühlmessung nicht erfassbar. Verdacht auf Datenverlust oder falsche Bewertung der 60-Minuten-Grenze.</w:t>
            </w:r>
          </w:p>
        </w:tc>
        <w:tc>
          <w:tcPr>
            <w:tcW w:type="dxa" w:w="1020"/>
          </w:tcPr>
          <w:p>
            <w:r/>
            <w:r>
              <w:t>30 Minuten</w:t>
            </w:r>
          </w:p>
        </w:tc>
        <w:tc>
          <w:tcPr>
            <w:tcW w:type="dxa" w:w="1247"/>
          </w:tcPr>
          <w:p>
            <w:r/>
            <w:r>
              <w:t>2 Stunden</w:t>
            </w:r>
          </w:p>
        </w:tc>
        <w:tc>
          <w:tcPr>
            <w:tcW w:type="dxa" w:w="1644"/>
          </w:tcPr>
          <w:p>
            <w:r/>
            <w:r>
              <w:t>8 Stunden</w:t>
            </w:r>
          </w:p>
        </w:tc>
      </w:tr>
      <w:tr>
        <w:tc>
          <w:tcPr>
            <w:tcW w:type="dxa" w:w="1304"/>
          </w:tcPr>
          <w:p>
            <w:r/>
            <w:r>
              <w:rPr>
                <w:b/>
              </w:rPr>
              <w:t>S2 Eingeschränkt</w:t>
            </w:r>
          </w:p>
        </w:tc>
        <w:tc>
          <w:tcPr>
            <w:tcW w:type="dxa" w:w="1644"/>
          </w:tcPr>
          <w:p>
            <w:r/>
            <w:r>
              <w:t>Ein Kernablauf ist eingeschränkt, es gibt eine Umgehung.</w:t>
            </w:r>
          </w:p>
        </w:tc>
        <w:tc>
          <w:tcPr>
            <w:tcW w:type="dxa" w:w="2211"/>
          </w:tcPr>
          <w:p>
            <w:r/>
            <w:r>
              <w:t>Ein Modul lädt langsam oder fehlerhaft. Fotobeleg lässt sich nicht hochladen, Erfassung geht über einen anderen Weg.</w:t>
            </w:r>
          </w:p>
        </w:tc>
        <w:tc>
          <w:tcPr>
            <w:tcW w:type="dxa" w:w="1020"/>
          </w:tcPr>
          <w:p>
            <w:r/>
            <w:r>
              <w:t>2 Stunden</w:t>
            </w:r>
          </w:p>
        </w:tc>
        <w:tc>
          <w:tcPr>
            <w:tcW w:type="dxa" w:w="1247"/>
          </w:tcPr>
          <w:p>
            <w:r/>
            <w:r>
              <w:t>am selben Tag</w:t>
            </w:r>
          </w:p>
        </w:tc>
        <w:tc>
          <w:tcPr>
            <w:tcW w:type="dxa" w:w="1644"/>
          </w:tcPr>
          <w:p>
            <w:r/>
            <w:r>
              <w:t>1 Arbeitstag</w:t>
            </w:r>
          </w:p>
        </w:tc>
      </w:tr>
      <w:tr>
        <w:tc>
          <w:tcPr>
            <w:tcW w:type="dxa" w:w="1304"/>
          </w:tcPr>
          <w:p>
            <w:r/>
            <w:r>
              <w:rPr>
                <w:b/>
              </w:rPr>
              <w:t>S3 Fehler</w:t>
            </w:r>
          </w:p>
        </w:tc>
        <w:tc>
          <w:tcPr>
            <w:tcW w:type="dxa" w:w="1644"/>
          </w:tcPr>
          <w:p>
            <w:r/>
            <w:r>
              <w:t>Ein Fehler ohne Auswirkung auf das Tagesgeschäft.</w:t>
            </w:r>
          </w:p>
        </w:tc>
        <w:tc>
          <w:tcPr>
            <w:tcW w:type="dxa" w:w="2211"/>
          </w:tcPr>
          <w:p>
            <w:r/>
            <w:r>
              <w:t>Falsche Anzeige, fehlende Übersetzung, ein Export mit falscher Spalte.</w:t>
            </w:r>
          </w:p>
        </w:tc>
        <w:tc>
          <w:tcPr>
            <w:tcW w:type="dxa" w:w="1020"/>
          </w:tcPr>
          <w:p>
            <w:r/>
            <w:r>
              <w:t>1 Arbeitstag</w:t>
            </w:r>
          </w:p>
        </w:tc>
        <w:tc>
          <w:tcPr>
            <w:tcW w:type="dxa" w:w="1247"/>
          </w:tcPr>
          <w:p>
            <w:r/>
            <w:r>
              <w:t>nicht nötig</w:t>
            </w:r>
          </w:p>
        </w:tc>
        <w:tc>
          <w:tcPr>
            <w:tcW w:type="dxa" w:w="1644"/>
          </w:tcPr>
          <w:p>
            <w:r/>
            <w:r>
              <w:t>innerhalb von 5 Arbeitstagen</w:t>
            </w:r>
          </w:p>
        </w:tc>
      </w:tr>
      <w:tr>
        <w:tc>
          <w:tcPr>
            <w:tcW w:type="dxa" w:w="1304"/>
          </w:tcPr>
          <w:p>
            <w:r/>
            <w:r>
              <w:rPr>
                <w:b/>
              </w:rPr>
              <w:t>S4 Hinweis</w:t>
            </w:r>
          </w:p>
        </w:tc>
        <w:tc>
          <w:tcPr>
            <w:tcW w:type="dxa" w:w="1644"/>
          </w:tcPr>
          <w:p>
            <w:r/>
            <w:r>
              <w:t>Wunsch, Frage oder Verbesserungsvorschlag.</w:t>
            </w:r>
          </w:p>
        </w:tc>
        <w:tc>
          <w:tcPr>
            <w:tcW w:type="dxa" w:w="2211"/>
          </w:tcPr>
          <w:p>
            <w:r/>
            <w:r>
              <w:t>Eine Spalte soll anders heißen, eine Auswertung fehlt.</w:t>
            </w:r>
          </w:p>
        </w:tc>
        <w:tc>
          <w:tcPr>
            <w:tcW w:type="dxa" w:w="1020"/>
          </w:tcPr>
          <w:p>
            <w:r/>
            <w:r>
              <w:t>3 Arbeitstage</w:t>
            </w:r>
          </w:p>
        </w:tc>
        <w:tc>
          <w:tcPr>
            <w:tcW w:type="dxa" w:w="1247"/>
          </w:tcPr>
          <w:p>
            <w:r/>
            <w:r>
              <w:t>nicht nötig</w:t>
            </w:r>
          </w:p>
        </w:tc>
        <w:tc>
          <w:tcPr>
            <w:tcW w:type="dxa" w:w="1644"/>
          </w:tcPr>
          <w:p>
            <w:r/>
            <w:r>
              <w:t>wird eingeplant</w:t>
            </w:r>
          </w:p>
        </w:tc>
      </w:tr>
    </w:tbl>
    <w:p/>
    <w:p>
      <w:r>
        <w:t>Der Grund für die kurzen Zeiten bei S1: Die Kühlkette lässt nur 60 Minuten zwischen Pflücken und Vorkühlung. Ein Ausfall in dieser Zeit lässt sich nachträglich nicht mehr heilen. Ausgewählte Erfassungen im Feld laufen deshalb über eine Warteschlange, die auch ohne Netz annimmt und später überträgt. Ob das für den echten Betrieb genügt, zeigt die erste Woche.</w:t>
      </w:r>
    </w:p>
    <w:p>
      <w:pPr>
        <w:pStyle w:val="berschrift2"/>
      </w:pPr>
      <w:r>
        <w:rPr>
          <w:color w:val="F40E0E"/>
        </w:rPr>
        <w:t>5. Rollen und Ansprechpartner</w:t>
      </w:r>
    </w:p>
    <w:p>
      <w:r>
        <w:t>Die Rollen sind festgelegt. Die Namen und die Erreichbarkeit trägt der Betreiber gemeinsam mit WAMOCON ein, bevor die Hypercare beginnt. Ohne Namen beginnt die Hypercare nicht.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54"/>
        <w:gridCol w:w="3402"/>
        <w:gridCol w:w="1701"/>
        <w:gridCol w:w="1814"/>
      </w:tblGrid>
      <w:tr>
        <w:tc>
          <w:tcPr>
            <w:tcW w:type="dxa" w:w="2154"/>
            <w:shd w:val="clear" w:color="auto" w:fill="F40E0E"/>
          </w:tcPr>
          <w:p>
            <w:r>
              <w:rPr>
                <w:b/>
                <w:color w:val="FFFFFF"/>
              </w:rPr>
            </w:r>
            <w:r>
              <w:rPr>
                <w:b/>
                <w:color w:val="FFFFFF"/>
              </w:rPr>
              <w:t>Rolle</w:t>
            </w:r>
          </w:p>
        </w:tc>
        <w:tc>
          <w:tcPr>
            <w:tcW w:type="dxa" w:w="3402"/>
            <w:shd w:val="clear" w:color="auto" w:fill="F40E0E"/>
          </w:tcPr>
          <w:p>
            <w:r>
              <w:rPr>
                <w:b/>
                <w:color w:val="FFFFFF"/>
              </w:rPr>
            </w:r>
            <w:r>
              <w:rPr>
                <w:b/>
                <w:color w:val="FFFFFF"/>
              </w:rPr>
              <w:t>Aufgabe</w:t>
            </w:r>
          </w:p>
        </w:tc>
        <w:tc>
          <w:tcPr>
            <w:tcW w:type="dxa" w:w="1701"/>
            <w:shd w:val="clear" w:color="auto" w:fill="F40E0E"/>
          </w:tcPr>
          <w:p>
            <w:r>
              <w:rPr>
                <w:b/>
                <w:color w:val="FFFFFF"/>
              </w:rPr>
            </w:r>
            <w:r>
              <w:rPr>
                <w:b/>
                <w:color w:val="FFFFFF"/>
              </w:rPr>
              <w:t>Name</w:t>
            </w:r>
          </w:p>
        </w:tc>
        <w:tc>
          <w:tcPr>
            <w:tcW w:type="dxa" w:w="1814"/>
            <w:shd w:val="clear" w:color="auto" w:fill="F40E0E"/>
          </w:tcPr>
          <w:p>
            <w:r>
              <w:rPr>
                <w:b/>
                <w:color w:val="FFFFFF"/>
              </w:rPr>
            </w:r>
            <w:r>
              <w:rPr>
                <w:b/>
                <w:color w:val="FFFFFF"/>
              </w:rPr>
              <w:t>Erreichbar</w:t>
            </w:r>
          </w:p>
        </w:tc>
      </w:tr>
      <w:tr>
        <w:tc>
          <w:tcPr>
            <w:tcW w:type="dxa" w:w="2154"/>
          </w:tcPr>
          <w:p>
            <w:r/>
            <w:r>
              <w:t>Hypercare-Leitung (WAMOCON)</w:t>
            </w:r>
          </w:p>
        </w:tc>
        <w:tc>
          <w:tcPr>
            <w:tcW w:type="dxa" w:w="3402"/>
          </w:tcPr>
          <w:p>
            <w:r/>
            <w:r>
              <w:t>Gesamtverantwortung, Priorisierung, tägliche Lagemeldung, Eskalation</w:t>
            </w:r>
          </w:p>
        </w:tc>
        <w:tc>
          <w:tcPr>
            <w:tcW w:type="dxa" w:w="1701"/>
          </w:tcPr>
          <w:p>
            <w:r/>
            <w:r>
              <w:t>festzulegen</w:t>
            </w:r>
          </w:p>
        </w:tc>
        <w:tc>
          <w:tcPr>
            <w:tcW w:type="dxa" w:w="1814"/>
          </w:tcPr>
          <w:p>
            <w:r/>
            <w:r>
              <w:t>festzulegen</w:t>
            </w:r>
          </w:p>
        </w:tc>
      </w:tr>
      <w:tr>
        <w:tc>
          <w:tcPr>
            <w:tcW w:type="dxa" w:w="2154"/>
          </w:tcPr>
          <w:p>
            <w:r/>
            <w:r>
              <w:t>Technische Bereitschaft (WAMOCON)</w:t>
            </w:r>
          </w:p>
        </w:tc>
        <w:tc>
          <w:tcPr>
            <w:tcW w:type="dxa" w:w="3402"/>
          </w:tcPr>
          <w:p>
            <w:r/>
            <w:r>
              <w:t>Analyse und Behebung von S1 und S2, Prüfung der Systemzeichen</w:t>
            </w:r>
          </w:p>
        </w:tc>
        <w:tc>
          <w:tcPr>
            <w:tcW w:type="dxa" w:w="1701"/>
          </w:tcPr>
          <w:p>
            <w:r/>
            <w:r>
              <w:t>festzulegen</w:t>
            </w:r>
          </w:p>
        </w:tc>
        <w:tc>
          <w:tcPr>
            <w:tcW w:type="dxa" w:w="1814"/>
          </w:tcPr>
          <w:p>
            <w:r/>
            <w:r>
              <w:t>festzulegen</w:t>
            </w:r>
          </w:p>
        </w:tc>
      </w:tr>
      <w:tr>
        <w:tc>
          <w:tcPr>
            <w:tcW w:type="dxa" w:w="2154"/>
          </w:tcPr>
          <w:p>
            <w:r/>
            <w:r>
              <w:t>Fachansprechpartner Betrieb</w:t>
            </w:r>
          </w:p>
        </w:tc>
        <w:tc>
          <w:tcPr>
            <w:tcW w:type="dxa" w:w="3402"/>
          </w:tcPr>
          <w:p>
            <w:r/>
            <w:r>
              <w:t>Beurteilung aus Sicht der Ernte und des Hofs, Erstmeldung aus dem Feld, Weitergabe an die Brigaden</w:t>
            </w:r>
          </w:p>
        </w:tc>
        <w:tc>
          <w:tcPr>
            <w:tcW w:type="dxa" w:w="1701"/>
          </w:tcPr>
          <w:p>
            <w:r/>
            <w:r>
              <w:t>festzulegen</w:t>
            </w:r>
          </w:p>
        </w:tc>
        <w:tc>
          <w:tcPr>
            <w:tcW w:type="dxa" w:w="1814"/>
          </w:tcPr>
          <w:p>
            <w:r/>
            <w:r>
              <w:t>festzulegen</w:t>
            </w:r>
          </w:p>
        </w:tc>
      </w:tr>
      <w:tr>
        <w:tc>
          <w:tcPr>
            <w:tcW w:type="dxa" w:w="2154"/>
          </w:tcPr>
          <w:p>
            <w:r/>
            <w:r>
              <w:t>Fachansprechpartner Büro</w:t>
            </w:r>
          </w:p>
        </w:tc>
        <w:tc>
          <w:tcPr>
            <w:tcW w:type="dxa" w:w="3402"/>
          </w:tcPr>
          <w:p>
            <w:r/>
            <w:r>
              <w:t>Beurteilung aus Sicht von Buchhaltung, Lohn, Pflichtmeldungen</w:t>
            </w:r>
          </w:p>
        </w:tc>
        <w:tc>
          <w:tcPr>
            <w:tcW w:type="dxa" w:w="1701"/>
          </w:tcPr>
          <w:p>
            <w:r/>
            <w:r>
              <w:t>festzulegen</w:t>
            </w:r>
          </w:p>
        </w:tc>
        <w:tc>
          <w:tcPr>
            <w:tcW w:type="dxa" w:w="1814"/>
          </w:tcPr>
          <w:p>
            <w:r/>
            <w:r>
              <w:t>festzulegen</w:t>
            </w:r>
          </w:p>
        </w:tc>
      </w:tr>
      <w:tr>
        <w:tc>
          <w:tcPr>
            <w:tcW w:type="dxa" w:w="2154"/>
          </w:tcPr>
          <w:p>
            <w:r/>
            <w:r>
              <w:t>Sprachliche Betreuung</w:t>
            </w:r>
          </w:p>
        </w:tc>
        <w:tc>
          <w:tcPr>
            <w:tcW w:type="dxa" w:w="3402"/>
          </w:tcPr>
          <w:p>
            <w:r/>
            <w:r>
              <w:t>Meldungen in Russisch und Kasachisch aufnehmen, Rückmeldung in der Sprache der Anwender</w:t>
            </w:r>
          </w:p>
        </w:tc>
        <w:tc>
          <w:tcPr>
            <w:tcW w:type="dxa" w:w="1701"/>
          </w:tcPr>
          <w:p>
            <w:r/>
            <w:r>
              <w:t>festzulegen</w:t>
            </w:r>
          </w:p>
        </w:tc>
        <w:tc>
          <w:tcPr>
            <w:tcW w:type="dxa" w:w="1814"/>
          </w:tcPr>
          <w:p>
            <w:r/>
            <w:r>
              <w:t>festzulegen</w:t>
            </w:r>
          </w:p>
        </w:tc>
      </w:tr>
      <w:tr>
        <w:tc>
          <w:tcPr>
            <w:tcW w:type="dxa" w:w="2154"/>
          </w:tcPr>
          <w:p>
            <w:r/>
            <w:r>
              <w:t>Geschäftsführung</w:t>
            </w:r>
          </w:p>
        </w:tc>
        <w:tc>
          <w:tcPr>
            <w:tcW w:type="dxa" w:w="3402"/>
          </w:tcPr>
          <w:p>
            <w:r/>
            <w:r>
              <w:t>Entscheidung bei S1, die länger als 8 Stunden dauert, und über Verlängerung oder Ende der Hypercare</w:t>
            </w:r>
          </w:p>
        </w:tc>
        <w:tc>
          <w:tcPr>
            <w:tcW w:type="dxa" w:w="1701"/>
          </w:tcPr>
          <w:p>
            <w:r/>
            <w:r>
              <w:t>festzulegen</w:t>
            </w:r>
          </w:p>
        </w:tc>
        <w:tc>
          <w:tcPr>
            <w:tcW w:type="dxa" w:w="1814"/>
          </w:tcPr>
          <w:p>
            <w:r/>
            <w:r>
              <w:t>festzulegen</w:t>
            </w:r>
          </w:p>
        </w:tc>
      </w:tr>
    </w:tbl>
    <w:p/>
    <w:p>
      <w:pPr>
        <w:pStyle w:val="berschrift2"/>
      </w:pPr>
      <w:r>
        <w:rPr>
          <w:color w:val="F40E0E"/>
        </w:rPr>
        <w:t>6. Meldewege</w:t>
      </w:r>
    </w:p>
    <w:p>
      <w:r>
        <w:t xml:space="preserve">Es braucht </w:t>
      </w:r>
      <w:r>
        <w:rPr>
          <w:b/>
        </w:rPr>
        <w:t>einen</w:t>
      </w:r>
      <w:r>
        <w:t xml:space="preserve"> Weg, auf dem Anwender melden, und eine Stelle, die jede Meldung aufnimmt und einer Stufe zuordnet. Viele parallele Wege sind der häufigste Grund für verlorene Meldungen.</w:t>
      </w:r>
    </w:p>
    <w:p>
      <w:r>
        <w:t>Festgelegt für den ersten Tag:</w:t>
      </w:r>
    </w:p>
    <w:p>
      <w:pPr>
        <w:pStyle w:val="Listenabsatz"/>
        <w:spacing w:after="57"/>
        <w:ind w:left="425" w:hanging="283"/>
      </w:pPr>
      <w:r>
        <w:t>•</w:t>
        <w:tab/>
      </w:r>
      <w:r>
        <w:t>Feld: eine Sammelstelle für Meldungen, die der Fachansprechpartner Betrieb bedient. Der Anwender muss nicht entscheiden, ob es ein Fehler ist. Er sagt, was er nicht geschafft hat.</w:t>
      </w:r>
    </w:p>
    <w:p>
      <w:pPr>
        <w:pStyle w:val="Listenabsatz"/>
        <w:spacing w:after="57"/>
        <w:ind w:left="425" w:hanging="283"/>
      </w:pPr>
      <w:r>
        <w:t>•</w:t>
        <w:tab/>
      </w:r>
      <w:r>
        <w:t>Büro: dieselbe Sammelstelle, damit jede Meldung an einem Ort steht.</w:t>
      </w:r>
    </w:p>
    <w:p>
      <w:pPr>
        <w:pStyle w:val="Listenabsatz"/>
        <w:spacing w:after="57"/>
        <w:ind w:left="425" w:hanging="283"/>
      </w:pPr>
      <w:r>
        <w:t>•</w:t>
        <w:tab/>
      </w:r>
      <w:r>
        <w:t>Jede Meldung bekommt eine Nummer, eine Stufe und einen Bearbeiter. Die Rückmeldung an den Melder nennt Stand und nächsten Schritt.</w:t>
      </w:r>
    </w:p>
    <w:p>
      <w:r>
        <w:t>Kanal: eine Messenger-Gruppe (in Kasachstan üblich: WhatsApp) für Feld und Büro als gemeinsame Sammelstelle, dazu eine Sammel-E-Mail-Adresse für das Büro. Beides führt in dieselbe Liste. Der Betreiber richtet beides ein. Eine Meldevorlage steht im Anhang.</w:t>
      </w:r>
    </w:p>
    <w:p>
      <w:pPr>
        <w:pStyle w:val="berschrift2"/>
      </w:pPr>
      <w:r>
        <w:rPr>
          <w:color w:val="F40E0E"/>
        </w:rPr>
        <w:t>7. Tägliche Sichtung</w:t>
      </w:r>
    </w:p>
    <w:p>
      <w:r>
        <w:t>Die Sichtung nutzt, was das System ohnehin aufzeichnet. Die Schwellen sind Startwerte und werden nach der ersten Woche an die Wirklichkeit angepasst.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381"/>
        <w:gridCol w:w="2154"/>
        <w:gridCol w:w="1247"/>
        <w:gridCol w:w="3288"/>
      </w:tblGrid>
      <w:tr>
        <w:tc>
          <w:tcPr>
            <w:tcW w:type="dxa" w:w="2381"/>
            <w:shd w:val="clear" w:color="auto" w:fill="F40E0E"/>
          </w:tcPr>
          <w:p>
            <w:r>
              <w:rPr>
                <w:b/>
                <w:color w:val="FFFFFF"/>
              </w:rPr>
            </w:r>
            <w:r>
              <w:rPr>
                <w:b/>
                <w:color w:val="FFFFFF"/>
              </w:rPr>
              <w:t>Was</w:t>
            </w:r>
          </w:p>
        </w:tc>
        <w:tc>
          <w:tcPr>
            <w:tcW w:type="dxa" w:w="2154"/>
            <w:shd w:val="clear" w:color="auto" w:fill="F40E0E"/>
          </w:tcPr>
          <w:p>
            <w:r>
              <w:rPr>
                <w:b/>
                <w:color w:val="FFFFFF"/>
              </w:rPr>
            </w:r>
            <w:r>
              <w:rPr>
                <w:b/>
                <w:color w:val="FFFFFF"/>
              </w:rPr>
              <w:t>Wo zu finden</w:t>
            </w:r>
          </w:p>
        </w:tc>
        <w:tc>
          <w:tcPr>
            <w:tcW w:type="dxa" w:w="1247"/>
            <w:shd w:val="clear" w:color="auto" w:fill="F40E0E"/>
          </w:tcPr>
          <w:p>
            <w:r>
              <w:rPr>
                <w:b/>
                <w:color w:val="FFFFFF"/>
              </w:rPr>
            </w:r>
            <w:r>
              <w:rPr>
                <w:b/>
                <w:color w:val="FFFFFF"/>
              </w:rPr>
              <w:t>Wann</w:t>
            </w:r>
          </w:p>
        </w:tc>
        <w:tc>
          <w:tcPr>
            <w:tcW w:type="dxa" w:w="3288"/>
            <w:shd w:val="clear" w:color="auto" w:fill="F40E0E"/>
          </w:tcPr>
          <w:p>
            <w:r>
              <w:rPr>
                <w:b/>
                <w:color w:val="FFFFFF"/>
              </w:rPr>
            </w:r>
            <w:r>
              <w:rPr>
                <w:b/>
                <w:color w:val="FFFFFF"/>
              </w:rPr>
              <w:t>Auffällig, wenn</w:t>
            </w:r>
          </w:p>
        </w:tc>
      </w:tr>
      <w:tr>
        <w:tc>
          <w:tcPr>
            <w:tcW w:type="dxa" w:w="2381"/>
          </w:tcPr>
          <w:p>
            <w:r/>
            <w:r>
              <w:t>Kühlmessungen und Verstöße gegen die 60-Minuten-Grenze</w:t>
            </w:r>
          </w:p>
        </w:tc>
        <w:tc>
          <w:tcPr>
            <w:tcW w:type="dxa" w:w="2154"/>
          </w:tcPr>
          <w:p>
            <w:r/>
            <w:r>
              <w:t>Hof → Kühlkette</w:t>
            </w:r>
          </w:p>
        </w:tc>
        <w:tc>
          <w:tcPr>
            <w:tcW w:type="dxa" w:w="1247"/>
          </w:tcPr>
          <w:p>
            <w:r/>
            <w:r>
              <w:t>morgens und abends</w:t>
            </w:r>
          </w:p>
        </w:tc>
        <w:tc>
          <w:tcPr>
            <w:tcW w:type="dxa" w:w="3288"/>
          </w:tcPr>
          <w:p>
            <w:r/>
            <w:r>
              <w:t>Verstöße häufen sich oder Chargen haben keine Messung</w:t>
            </w:r>
          </w:p>
        </w:tc>
      </w:tr>
      <w:tr>
        <w:tc>
          <w:tcPr>
            <w:tcW w:type="dxa" w:w="2381"/>
          </w:tcPr>
          <w:p>
            <w:r/>
            <w:r>
              <w:t>Überfällige Pflückaufgaben</w:t>
            </w:r>
          </w:p>
        </w:tc>
        <w:tc>
          <w:tcPr>
            <w:tcW w:type="dxa" w:w="2154"/>
          </w:tcPr>
          <w:p>
            <w:r/>
            <w:r>
              <w:t>Feld → Pflückaufgaben</w:t>
            </w:r>
          </w:p>
        </w:tc>
        <w:tc>
          <w:tcPr>
            <w:tcW w:type="dxa" w:w="1247"/>
          </w:tcPr>
          <w:p>
            <w:r/>
            <w:r>
              <w:t>morgens</w:t>
            </w:r>
          </w:p>
        </w:tc>
        <w:tc>
          <w:tcPr>
            <w:tcW w:type="dxa" w:w="3288"/>
          </w:tcPr>
          <w:p>
            <w:r/>
            <w:r>
              <w:t>Aufgaben bleiben im Status „Pflücken“, obwohl die Schicht beendet ist</w:t>
            </w:r>
          </w:p>
        </w:tc>
      </w:tr>
      <w:tr>
        <w:tc>
          <w:tcPr>
            <w:tcW w:type="dxa" w:w="2381"/>
          </w:tcPr>
          <w:p>
            <w:r/>
            <w:r>
              <w:t>Lieferungen ohne Übergabequittung</w:t>
            </w:r>
          </w:p>
        </w:tc>
        <w:tc>
          <w:tcPr>
            <w:tcW w:type="dxa" w:w="2154"/>
          </w:tcPr>
          <w:p>
            <w:r/>
            <w:r>
              <w:t>Hof → Abholrunden</w:t>
            </w:r>
          </w:p>
        </w:tc>
        <w:tc>
          <w:tcPr>
            <w:tcW w:type="dxa" w:w="1247"/>
          </w:tcPr>
          <w:p>
            <w:r/>
            <w:r>
              <w:t>abends</w:t>
            </w:r>
          </w:p>
        </w:tc>
        <w:tc>
          <w:tcPr>
            <w:tcW w:type="dxa" w:w="3288"/>
          </w:tcPr>
          <w:p>
            <w:r/>
            <w:r>
              <w:t>zugestellte Lieferungen ohne Quittung</w:t>
            </w:r>
          </w:p>
        </w:tc>
      </w:tr>
      <w:tr>
        <w:tc>
          <w:tcPr>
            <w:tcW w:type="dxa" w:w="2381"/>
          </w:tcPr>
          <w:p>
            <w:r/>
            <w:r>
              <w:t>Lieferungen ohne ЭСФ</w:t>
            </w:r>
          </w:p>
        </w:tc>
        <w:tc>
          <w:tcPr>
            <w:tcW w:type="dxa" w:w="2154"/>
          </w:tcPr>
          <w:p>
            <w:r/>
            <w:r>
              <w:t>Hof → Lieferschein (ЭСФ)</w:t>
            </w:r>
          </w:p>
        </w:tc>
        <w:tc>
          <w:tcPr>
            <w:tcW w:type="dxa" w:w="1247"/>
          </w:tcPr>
          <w:p>
            <w:r/>
            <w:r>
              <w:t>täglich</w:t>
            </w:r>
          </w:p>
        </w:tc>
        <w:tc>
          <w:tcPr>
            <w:tcW w:type="dxa" w:w="3288"/>
          </w:tcPr>
          <w:p>
            <w:r/>
            <w:r>
              <w:t>Alter der offenen Lieferungen wächst</w:t>
            </w:r>
          </w:p>
        </w:tc>
      </w:tr>
      <w:tr>
        <w:tc>
          <w:tcPr>
            <w:tcW w:type="dxa" w:w="2381"/>
          </w:tcPr>
          <w:p>
            <w:r/>
            <w:r>
              <w:t>Offene ЕСУТД-Meldungen und Fristen</w:t>
            </w:r>
          </w:p>
        </w:tc>
        <w:tc>
          <w:tcPr>
            <w:tcW w:type="dxa" w:w="2154"/>
          </w:tcPr>
          <w:p>
            <w:r/>
            <w:r>
              <w:t>Büro → Integrationen</w:t>
            </w:r>
          </w:p>
        </w:tc>
        <w:tc>
          <w:tcPr>
            <w:tcW w:type="dxa" w:w="1247"/>
          </w:tcPr>
          <w:p>
            <w:r/>
            <w:r>
              <w:t>täglich</w:t>
            </w:r>
          </w:p>
        </w:tc>
        <w:tc>
          <w:tcPr>
            <w:tcW w:type="dxa" w:w="3288"/>
          </w:tcPr>
          <w:p>
            <w:r/>
            <w:r>
              <w:t>Meldungen mit überschrittener Frist</w:t>
            </w:r>
          </w:p>
        </w:tc>
      </w:tr>
      <w:tr>
        <w:tc>
          <w:tcPr>
            <w:tcW w:type="dxa" w:w="2381"/>
          </w:tcPr>
          <w:p>
            <w:r/>
            <w:r>
              <w:t>Warteschlange der Integrationen</w:t>
            </w:r>
          </w:p>
        </w:tc>
        <w:tc>
          <w:tcPr>
            <w:tcW w:type="dxa" w:w="2154"/>
          </w:tcPr>
          <w:p>
            <w:r/>
            <w:r>
              <w:t>Büro → Integrationen</w:t>
            </w:r>
          </w:p>
        </w:tc>
        <w:tc>
          <w:tcPr>
            <w:tcW w:type="dxa" w:w="1247"/>
          </w:tcPr>
          <w:p>
            <w:r/>
            <w:r>
              <w:t>täglich</w:t>
            </w:r>
          </w:p>
        </w:tc>
        <w:tc>
          <w:tcPr>
            <w:tcW w:type="dxa" w:w="3288"/>
          </w:tcPr>
          <w:p>
            <w:r/>
            <w:r>
              <w:t>Einträge mit Status „gescheitert“</w:t>
            </w:r>
          </w:p>
        </w:tc>
      </w:tr>
      <w:tr>
        <w:tc>
          <w:tcPr>
            <w:tcW w:type="dxa" w:w="2381"/>
          </w:tcPr>
          <w:p>
            <w:r/>
            <w:r>
              <w:t>Audit-Protokoll des Systems</w:t>
            </w:r>
          </w:p>
        </w:tc>
        <w:tc>
          <w:tcPr>
            <w:tcW w:type="dxa" w:w="2154"/>
          </w:tcPr>
          <w:p>
            <w:r/>
            <w:r>
              <w:t>Büro → Compliance</w:t>
            </w:r>
          </w:p>
        </w:tc>
        <w:tc>
          <w:tcPr>
            <w:tcW w:type="dxa" w:w="1247"/>
          </w:tcPr>
          <w:p>
            <w:r/>
            <w:r>
              <w:t>täglich</w:t>
            </w:r>
          </w:p>
        </w:tc>
        <w:tc>
          <w:tcPr>
            <w:tcW w:type="dxa" w:w="3288"/>
          </w:tcPr>
          <w:p>
            <w:r/>
            <w:r>
              <w:t>ungewöhnlich viele fehlgeschlagene Anmeldungen oder Rechtefehler</w:t>
            </w:r>
          </w:p>
        </w:tc>
      </w:tr>
      <w:tr>
        <w:tc>
          <w:tcPr>
            <w:tcW w:type="dxa" w:w="2381"/>
          </w:tcPr>
          <w:p>
            <w:r/>
            <w:r>
              <w:t>Prüfung der Datenbank</w:t>
            </w:r>
          </w:p>
        </w:tc>
        <w:tc>
          <w:tcPr>
            <w:tcW w:type="dxa" w:w="2154"/>
          </w:tcPr>
          <w:p>
            <w:r/>
            <w:r>
              <w:t>automatische Tagesprüfung des Repositorys</w:t>
            </w:r>
          </w:p>
        </w:tc>
        <w:tc>
          <w:tcPr>
            <w:tcW w:type="dxa" w:w="1247"/>
          </w:tcPr>
          <w:p>
            <w:r/>
            <w:r>
              <w:t>täglich</w:t>
            </w:r>
          </w:p>
        </w:tc>
        <w:tc>
          <w:tcPr>
            <w:tcW w:type="dxa" w:w="3288"/>
          </w:tcPr>
          <w:p>
            <w:r/>
            <w:r>
              <w:t>Abweichung zwischen Migrationsdateien und der Datenbank</w:t>
            </w:r>
          </w:p>
        </w:tc>
      </w:tr>
      <w:tr>
        <w:tc>
          <w:tcPr>
            <w:tcW w:type="dxa" w:w="2381"/>
          </w:tcPr>
          <w:p>
            <w:r/>
            <w:r>
              <w:t>Fehler im Server-Log</w:t>
            </w:r>
          </w:p>
        </w:tc>
        <w:tc>
          <w:tcPr>
            <w:tcW w:type="dxa" w:w="2154"/>
          </w:tcPr>
          <w:p>
            <w:r/>
            <w:r>
              <w:t>Hosting-Oberfläche</w:t>
            </w:r>
          </w:p>
        </w:tc>
        <w:tc>
          <w:tcPr>
            <w:tcW w:type="dxa" w:w="1247"/>
          </w:tcPr>
          <w:p>
            <w:r/>
            <w:r>
              <w:t>morgens und abends</w:t>
            </w:r>
          </w:p>
        </w:tc>
        <w:tc>
          <w:tcPr>
            <w:tcW w:type="dxa" w:w="3288"/>
          </w:tcPr>
          <w:p>
            <w:r/>
            <w:r>
              <w:t>wiederkehrende Fehler derselben Art</w:t>
            </w:r>
          </w:p>
        </w:tc>
      </w:tr>
      <w:tr>
        <w:tc>
          <w:tcPr>
            <w:tcW w:type="dxa" w:w="2381"/>
          </w:tcPr>
          <w:p>
            <w:r/>
            <w:r>
              <w:t>Externe Dienste (Routen, Wetter, Adresssuche)</w:t>
            </w:r>
          </w:p>
        </w:tc>
        <w:tc>
          <w:tcPr>
            <w:tcW w:type="dxa" w:w="2154"/>
          </w:tcPr>
          <w:p>
            <w:r/>
            <w:r>
              <w:t>Seiten Abholrunden, Wetter</w:t>
            </w:r>
          </w:p>
        </w:tc>
        <w:tc>
          <w:tcPr>
            <w:tcW w:type="dxa" w:w="1247"/>
          </w:tcPr>
          <w:p>
            <w:r/>
            <w:r>
              <w:t>morgens</w:t>
            </w:r>
          </w:p>
        </w:tc>
        <w:tc>
          <w:tcPr>
            <w:tcW w:type="dxa" w:w="3288"/>
          </w:tcPr>
          <w:p>
            <w:r/>
            <w:r>
              <w:t>Dienst nicht erreichbar, die Seite sagt es</w:t>
            </w:r>
          </w:p>
        </w:tc>
      </w:tr>
      <w:tr>
        <w:tc>
          <w:tcPr>
            <w:tcW w:type="dxa" w:w="2381"/>
          </w:tcPr>
          <w:p>
            <w:r/>
            <w:r>
              <w:t>Meldungen der Anwender</w:t>
            </w:r>
          </w:p>
        </w:tc>
        <w:tc>
          <w:tcPr>
            <w:tcW w:type="dxa" w:w="2154"/>
          </w:tcPr>
          <w:p>
            <w:r/>
            <w:r>
              <w:t>Sammelstelle</w:t>
            </w:r>
          </w:p>
        </w:tc>
        <w:tc>
          <w:tcPr>
            <w:tcW w:type="dxa" w:w="1247"/>
          </w:tcPr>
          <w:p>
            <w:r/>
            <w:r>
              <w:t>laufend</w:t>
            </w:r>
          </w:p>
        </w:tc>
        <w:tc>
          <w:tcPr>
            <w:tcW w:type="dxa" w:w="3288"/>
          </w:tcPr>
          <w:p>
            <w:r/>
            <w:r>
              <w:t>offene Meldungen älter als das Ziel der Stufe</w:t>
            </w:r>
          </w:p>
        </w:tc>
      </w:tr>
    </w:tbl>
    <w:p/>
    <w:p>
      <w:pPr>
        <w:pStyle w:val="berschrift2"/>
      </w:pPr>
      <w:r>
        <w:rPr>
          <w:color w:val="F40E0E"/>
        </w:rPr>
        <w:t>8. Eskalation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5670"/>
      </w:tblGrid>
      <w:tr>
        <w:tc>
          <w:tcPr>
            <w:tcW w:type="dxa" w:w="3402"/>
            <w:shd w:val="clear" w:color="auto" w:fill="F40E0E"/>
          </w:tcPr>
          <w:p>
            <w:r>
              <w:rPr>
                <w:b/>
                <w:color w:val="FFFFFF"/>
              </w:rPr>
            </w:r>
            <w:r>
              <w:rPr>
                <w:b/>
                <w:color w:val="FFFFFF"/>
              </w:rPr>
              <w:t>Wenn</w:t>
            </w:r>
          </w:p>
        </w:tc>
        <w:tc>
          <w:tcPr>
            <w:tcW w:type="dxa" w:w="5669"/>
            <w:shd w:val="clear" w:color="auto" w:fill="F40E0E"/>
          </w:tcPr>
          <w:p>
            <w:r>
              <w:rPr>
                <w:b/>
                <w:color w:val="FFFFFF"/>
              </w:rPr>
            </w:r>
            <w:r>
              <w:rPr>
                <w:b/>
                <w:color w:val="FFFFFF"/>
              </w:rPr>
              <w:t>dann</w:t>
            </w:r>
          </w:p>
        </w:tc>
      </w:tr>
      <w:tr>
        <w:tc>
          <w:tcPr>
            <w:tcW w:type="dxa" w:w="3402"/>
          </w:tcPr>
          <w:p>
            <w:r/>
            <w:r>
              <w:t>S1 ohne Reaktion nach 30 Minuten</w:t>
            </w:r>
          </w:p>
        </w:tc>
        <w:tc>
          <w:tcPr>
            <w:tcW w:type="dxa" w:w="5669"/>
          </w:tcPr>
          <w:p>
            <w:r/>
            <w:r>
              <w:t>Hypercare-Leitung wird angerufen, nicht angeschrieben</w:t>
            </w:r>
          </w:p>
        </w:tc>
      </w:tr>
      <w:tr>
        <w:tc>
          <w:tcPr>
            <w:tcW w:type="dxa" w:w="3402"/>
          </w:tcPr>
          <w:p>
            <w:r/>
            <w:r>
              <w:t>S1 ohne Zwischenlösung nach 2 Stunden</w:t>
            </w:r>
          </w:p>
        </w:tc>
        <w:tc>
          <w:tcPr>
            <w:tcW w:type="dxa" w:w="5669"/>
          </w:tcPr>
          <w:p>
            <w:r/>
            <w:r>
              <w:t>Geschäftsführung wird informiert, Betrieb stellt auf die Zwischenlösung um</w:t>
            </w:r>
          </w:p>
        </w:tc>
      </w:tr>
      <w:tr>
        <w:tc>
          <w:tcPr>
            <w:tcW w:type="dxa" w:w="3402"/>
          </w:tcPr>
          <w:p>
            <w:r/>
            <w:r>
              <w:t>S1 nicht behoben nach 8 Stunden</w:t>
            </w:r>
          </w:p>
        </w:tc>
        <w:tc>
          <w:tcPr>
            <w:tcW w:type="dxa" w:w="5669"/>
          </w:tcPr>
          <w:p>
            <w:r/>
            <w:r>
              <w:t>Geschäftsführung entscheidet über Rückfall auf den Stand davor und über die Mitteilung an Kunden</w:t>
            </w:r>
          </w:p>
        </w:tc>
      </w:tr>
      <w:tr>
        <w:tc>
          <w:tcPr>
            <w:tcW w:type="dxa" w:w="3402"/>
          </w:tcPr>
          <w:p>
            <w:r/>
            <w:r>
              <w:t>S2 ohne Reaktion nach dem Ziel</w:t>
            </w:r>
          </w:p>
        </w:tc>
        <w:tc>
          <w:tcPr>
            <w:tcW w:type="dxa" w:w="5669"/>
          </w:tcPr>
          <w:p>
            <w:r/>
            <w:r>
              <w:t>Hypercare-Leitung übernimmt, Meldung wird zu S1 hochgestuft, wenn die Zwischenlösung fehlt</w:t>
            </w:r>
          </w:p>
        </w:tc>
      </w:tr>
      <w:tr>
        <w:tc>
          <w:tcPr>
            <w:tcW w:type="dxa" w:w="3402"/>
          </w:tcPr>
          <w:p>
            <w:r/>
            <w:r>
              <w:t>Dasselbe Problem tritt dreimal auf</w:t>
            </w:r>
          </w:p>
        </w:tc>
        <w:tc>
          <w:tcPr>
            <w:tcW w:type="dxa" w:w="5669"/>
          </w:tcPr>
          <w:p>
            <w:r/>
            <w:r>
              <w:t>Ursachenanalyse statt weiterer Behelfe, Ergebnis in der nächsten Lagemeldung</w:t>
            </w:r>
          </w:p>
        </w:tc>
      </w:tr>
    </w:tbl>
    <w:p/>
    <w:p>
      <w:pPr>
        <w:pStyle w:val="berschrift2"/>
      </w:pPr>
      <w:r>
        <w:rPr>
          <w:color w:val="F40E0E"/>
        </w:rPr>
        <w:t>9. Wann die Hypercare endet (Austrittskriterien)</w:t>
      </w:r>
    </w:p>
    <w:p>
      <w:r>
        <w:t xml:space="preserve">Die Hypercare endet, wenn </w:t>
      </w:r>
      <w:r>
        <w:rPr>
          <w:b/>
        </w:rPr>
        <w:t>alle</w:t>
      </w:r>
      <w:r>
        <w:t xml:space="preserve"> folgenden Punkte erfüllt sind. Sonst wird sie begründet verlängert.</w:t>
      </w:r>
    </w:p>
    <w:p>
      <w:pPr>
        <w:pStyle w:val="Listenabsatz"/>
        <w:spacing w:after="57"/>
        <w:ind w:left="425" w:hanging="283"/>
      </w:pPr>
      <w:r>
        <w:t>1.</w:t>
        <w:tab/>
      </w:r>
      <w:r>
        <w:t>Mindestens 14 aufeinanderfolgende Tage ohne S1 und ohne ungelöste S2.</w:t>
      </w:r>
    </w:p>
    <w:p>
      <w:pPr>
        <w:pStyle w:val="Listenabsatz"/>
        <w:spacing w:after="57"/>
        <w:ind w:left="425" w:hanging="283"/>
      </w:pPr>
      <w:r>
        <w:t>2.</w:t>
        <w:tab/>
      </w:r>
      <w:r>
        <w:t>Jede gemeldete S2 ist behoben, jede offene S3 hat einen Termin.</w:t>
      </w:r>
    </w:p>
    <w:p>
      <w:pPr>
        <w:pStyle w:val="Listenabsatz"/>
        <w:spacing w:after="57"/>
        <w:ind w:left="425" w:hanging="283"/>
      </w:pPr>
      <w:r>
        <w:t>3.</w:t>
        <w:tab/>
      </w:r>
      <w:r>
        <w:t>Die Kühlkettenbewertung, die Lohnberechnung und die Mengen der Lieferungen wurden stichprobenartig gegen die Handaufzeichnung des Betriebs geprüft und stimmen überein.</w:t>
      </w:r>
    </w:p>
    <w:p>
      <w:pPr>
        <w:pStyle w:val="Listenabsatz"/>
        <w:spacing w:after="57"/>
        <w:ind w:left="425" w:hanging="283"/>
      </w:pPr>
      <w:r>
        <w:t>4.</w:t>
        <w:tab/>
      </w:r>
      <w:r>
        <w:t>Die Pflichtmeldungen (ЭСФ, ЕСУТД) sind in der Frist geführt worden, oder jede Abweichung ist erklärt.</w:t>
      </w:r>
    </w:p>
    <w:p>
      <w:pPr>
        <w:pStyle w:val="Listenabsatz"/>
        <w:spacing w:after="57"/>
        <w:ind w:left="425" w:hanging="283"/>
      </w:pPr>
      <w:r>
        <w:t>5.</w:t>
        <w:tab/>
      </w:r>
      <w:r>
        <w:t>Die Anwender sind eingewiesen: Jede Rolle hat mindestens eine geschulte Person, die Kurzeinarbeitung der Pflücker ist abgeschlossen.</w:t>
      </w:r>
    </w:p>
    <w:p>
      <w:pPr>
        <w:pStyle w:val="Listenabsatz"/>
        <w:spacing w:after="57"/>
        <w:ind w:left="425" w:hanging="283"/>
      </w:pPr>
      <w:r>
        <w:t>6.</w:t>
        <w:tab/>
      </w:r>
      <w:r>
        <w:t>Der Betreiber hat die Abschlussbewertung gesehen und bestätigt das Ende schriftlich.</w:t>
      </w:r>
    </w:p>
    <w:p>
      <w:pPr>
        <w:pStyle w:val="Listenabsatz"/>
        <w:spacing w:after="57"/>
        <w:ind w:left="425" w:hanging="283"/>
      </w:pPr>
      <w:r>
        <w:t>7.</w:t>
        <w:tab/>
      </w:r>
      <w:r>
        <w:t>Der Regelbetrieb ist beschrieben: Support-Zeiten, Ansprechpartner und der Weg für Änderungswünsche.</w:t>
      </w:r>
    </w:p>
    <w:p>
      <w:pPr>
        <w:pStyle w:val="berschrift2"/>
      </w:pPr>
      <w:r>
        <w:rPr>
          <w:color w:val="F40E0E"/>
        </w:rPr>
        <w:t>10. Kommunikation</w:t>
      </w:r>
    </w:p>
    <w:p>
      <w:pPr>
        <w:pStyle w:val="Listenabsatz"/>
        <w:spacing w:after="57"/>
        <w:ind w:left="425" w:hanging="283"/>
      </w:pPr>
      <w:r>
        <w:t>•</w:t>
        <w:tab/>
      </w:r>
      <w:r>
        <w:rPr>
          <w:b/>
        </w:rPr>
        <w:t>Lagemeldung:</w:t>
      </w:r>
      <w:r>
        <w:t xml:space="preserve"> kurz, in Russisch, Kasachisch und Deutsch. Inhalt: Stand der Systemzeichen, offene Meldungen je Stufe, Besonderheiten des Tages, geplante Änderungen. In Woche 1 täglich, danach zweimal pro Woche.</w:t>
      </w:r>
    </w:p>
    <w:p>
      <w:pPr>
        <w:pStyle w:val="Listenabsatz"/>
        <w:spacing w:after="57"/>
        <w:ind w:left="425" w:hanging="283"/>
      </w:pPr>
      <w:r>
        <w:t>•</w:t>
        <w:tab/>
      </w:r>
      <w:r>
        <w:rPr>
          <w:b/>
        </w:rPr>
        <w:t>Wochenbericht:</w:t>
      </w:r>
      <w:r>
        <w:t xml:space="preserve"> zählt die Meldungen je Stufe, die Bearbeitungszeiten gegen die Ziele und die wiederkehrenden Ursachen.</w:t>
      </w:r>
    </w:p>
    <w:p>
      <w:pPr>
        <w:pStyle w:val="Listenabsatz"/>
        <w:spacing w:after="57"/>
        <w:ind w:left="425" w:hanging="283"/>
      </w:pPr>
      <w:r>
        <w:t>•</w:t>
        <w:tab/>
      </w:r>
      <w:r>
        <w:rPr>
          <w:b/>
        </w:rPr>
        <w:t>Abschlussbericht:</w:t>
      </w:r>
      <w:r>
        <w:t xml:space="preserve"> am Ende von Woche 4, mit der Bewertung nach Abschnitt 9 und einer Empfehlung für den Regelbetrieb.</w:t>
      </w:r>
    </w:p>
    <w:p>
      <w:pPr>
        <w:pStyle w:val="berschrift2"/>
      </w:pPr>
      <w:r>
        <w:rPr>
          <w:color w:val="F40E0E"/>
        </w:rPr>
        <w:t>11. Risiken und Gegenmaßnahmen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685"/>
        <w:gridCol w:w="5386"/>
      </w:tblGrid>
      <w:tr>
        <w:tc>
          <w:tcPr>
            <w:tcW w:type="dxa" w:w="3685"/>
            <w:shd w:val="clear" w:color="auto" w:fill="F40E0E"/>
          </w:tcPr>
          <w:p>
            <w:r>
              <w:rPr>
                <w:b/>
                <w:color w:val="FFFFFF"/>
              </w:rPr>
            </w:r>
            <w:r>
              <w:rPr>
                <w:b/>
                <w:color w:val="FFFFFF"/>
              </w:rPr>
              <w:t>Risiko</w:t>
            </w:r>
          </w:p>
        </w:tc>
        <w:tc>
          <w:tcPr>
            <w:tcW w:type="dxa" w:w="5386"/>
            <w:shd w:val="clear" w:color="auto" w:fill="F40E0E"/>
          </w:tcPr>
          <w:p>
            <w:r>
              <w:rPr>
                <w:b/>
                <w:color w:val="FFFFFF"/>
              </w:rPr>
            </w:r>
            <w:r>
              <w:rPr>
                <w:b/>
                <w:color w:val="FFFFFF"/>
              </w:rPr>
              <w:t>Gegenmaßnahme</w:t>
            </w:r>
          </w:p>
        </w:tc>
      </w:tr>
      <w:tr>
        <w:tc>
          <w:tcPr>
            <w:tcW w:type="dxa" w:w="3685"/>
          </w:tcPr>
          <w:p>
            <w:r/>
            <w:r>
              <w:t>Go-Live fällt in die Erntespitze, und ein Fehler trifft viele Anwender gleichzeitig</w:t>
            </w:r>
          </w:p>
        </w:tc>
        <w:tc>
          <w:tcPr>
            <w:tcW w:type="dxa" w:w="5386"/>
          </w:tcPr>
          <w:p>
            <w:r/>
            <w:r>
              <w:t>Start außerhalb der Spitze, wenn möglich. Sonst Hypercare um die Dauer der Spitze verlängern und die Bereitschaft in den Pflückzeiten verstärken.</w:t>
            </w:r>
          </w:p>
        </w:tc>
      </w:tr>
      <w:tr>
        <w:tc>
          <w:tcPr>
            <w:tcW w:type="dxa" w:w="3685"/>
          </w:tcPr>
          <w:p>
            <w:r/>
            <w:r>
              <w:t>Sprachbarriere: Meldungen kommen nicht an oder werden falsch verstanden</w:t>
            </w:r>
          </w:p>
        </w:tc>
        <w:tc>
          <w:tcPr>
            <w:tcW w:type="dxa" w:w="5386"/>
          </w:tcPr>
          <w:p>
            <w:r/>
            <w:r>
              <w:t>Eine sprachliche Betreuung für Russisch und Kasachisch. Kurze Videos für die Kurzeinarbeitung.</w:t>
            </w:r>
          </w:p>
        </w:tc>
      </w:tr>
      <w:tr>
        <w:tc>
          <w:tcPr>
            <w:tcW w:type="dxa" w:w="3685"/>
          </w:tcPr>
          <w:p>
            <w:r/>
            <w:r>
              <w:t>Schlechtes Netz im Feld</w:t>
            </w:r>
          </w:p>
        </w:tc>
        <w:tc>
          <w:tcPr>
            <w:tcW w:type="dxa" w:w="5386"/>
          </w:tcPr>
          <w:p>
            <w:r/>
            <w:r>
              <w:t>Erfassungen über die Warteschlange, die später überträgt. Regelmäßige Prüfung, ob sie ankommen.</w:t>
            </w:r>
          </w:p>
        </w:tc>
      </w:tr>
      <w:tr>
        <w:tc>
          <w:tcPr>
            <w:tcW w:type="dxa" w:w="3685"/>
          </w:tcPr>
          <w:p>
            <w:r/>
            <w:r>
              <w:t>Viele verschiedene Handys und Browser</w:t>
            </w:r>
          </w:p>
        </w:tc>
        <w:tc>
          <w:tcPr>
            <w:tcW w:type="dxa" w:w="5386"/>
          </w:tcPr>
          <w:p>
            <w:r/>
            <w:r>
              <w:t>Vorab-Test auf den verbreiteten Geräten des Betriebs. Gerätetyp in der Meldevorlage abfragen.</w:t>
            </w:r>
          </w:p>
        </w:tc>
      </w:tr>
      <w:tr>
        <w:tc>
          <w:tcPr>
            <w:tcW w:type="dxa" w:w="3685"/>
          </w:tcPr>
          <w:p>
            <w:r/>
            <w:r>
              <w:t>Pflichtmeldungen bleiben Handarbeit und Fristen werden versäumt</w:t>
            </w:r>
          </w:p>
        </w:tc>
        <w:tc>
          <w:tcPr>
            <w:tcW w:type="dxa" w:w="5386"/>
          </w:tcPr>
          <w:p>
            <w:r/>
            <w:r>
              <w:t>Tägliche Sichtung der Fristen. Die Zahl der offenen Meldungen steht in der Lagemeldung.</w:t>
            </w:r>
          </w:p>
        </w:tc>
      </w:tr>
      <w:tr>
        <w:tc>
          <w:tcPr>
            <w:tcW w:type="dxa" w:w="3685"/>
          </w:tcPr>
          <w:p>
            <w:r/>
            <w:r>
              <w:t>Der Serverumzug nach Kasachstan verändert Laufzeiten oder Zugänge</w:t>
            </w:r>
          </w:p>
        </w:tc>
        <w:tc>
          <w:tcPr>
            <w:tcW w:type="dxa" w:w="5386"/>
          </w:tcPr>
          <w:p>
            <w:r/>
            <w:r>
              <w:t>Umzug vor dem Produktivbetrieb mit Probebetrieb. Die Hypercare beginnt erst nach bestandenem Probebetrieb.</w:t>
            </w:r>
          </w:p>
        </w:tc>
      </w:tr>
      <w:tr>
        <w:tc>
          <w:tcPr>
            <w:tcW w:type="dxa" w:w="3685"/>
          </w:tcPr>
          <w:p>
            <w:r/>
            <w:r>
              <w:t>Externe Dienste fallen aus (Routen, Wetter, Adresssuche)</w:t>
            </w:r>
          </w:p>
        </w:tc>
        <w:tc>
          <w:tcPr>
            <w:tcW w:type="dxa" w:w="5386"/>
          </w:tcPr>
          <w:p>
            <w:r/>
            <w:r>
              <w:t>Die Seiten melden den Ausfall und bleiben nutzbar. Die tägliche Sichtung nennt den Ausfall in der Lagemeldung.</w:t>
            </w:r>
          </w:p>
        </w:tc>
      </w:tr>
      <w:tr>
        <w:tc>
          <w:tcPr>
            <w:tcW w:type="dxa" w:w="3685"/>
          </w:tcPr>
          <w:p>
            <w:r/>
            <w:r>
              <w:t>Eine Datenbankänderung in der Hypercare wirkt sich auf alle aus</w:t>
            </w:r>
          </w:p>
        </w:tc>
        <w:tc>
          <w:tcPr>
            <w:tcW w:type="dxa" w:w="5386"/>
          </w:tcPr>
          <w:p>
            <w:r/>
            <w:r>
              <w:t>Änderungen vorher in der Vorschauumgebung prüfen, Rückfallweg vor der Übernahme festlegen.</w:t>
            </w:r>
          </w:p>
        </w:tc>
      </w:tr>
    </w:tbl>
    <w:p/>
    <w:p>
      <w:pPr>
        <w:pStyle w:val="berschrift2"/>
      </w:pPr>
      <w:r>
        <w:rPr>
          <w:color w:val="F40E0E"/>
        </w:rPr>
        <w:t>12. Festlegungen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835"/>
        <w:gridCol w:w="3685"/>
        <w:gridCol w:w="2551"/>
      </w:tblGrid>
      <w:tr>
        <w:tc>
          <w:tcPr>
            <w:tcW w:type="dxa" w:w="2835"/>
            <w:shd w:val="clear" w:color="auto" w:fill="F40E0E"/>
          </w:tcPr>
          <w:p>
            <w:r>
              <w:rPr>
                <w:b/>
                <w:color w:val="FFFFFF"/>
              </w:rPr>
              <w:t>Entscheidung</w:t>
            </w:r>
            <w:r>
              <w:rPr>
                <w:b/>
                <w:color w:val="FFFFFF"/>
              </w:rPr>
            </w:r>
          </w:p>
        </w:tc>
        <w:tc>
          <w:tcPr>
            <w:tcW w:type="dxa" w:w="3685"/>
            <w:shd w:val="clear" w:color="auto" w:fill="F40E0E"/>
          </w:tcPr>
          <w:p>
            <w:r>
              <w:rPr>
                <w:b/>
                <w:color w:val="FFFFFF"/>
              </w:rPr>
              <w:t>Festlegung</w:t>
            </w:r>
            <w:r>
              <w:rPr>
                <w:b/>
                <w:color w:val="FFFFFF"/>
              </w:rPr>
            </w:r>
          </w:p>
        </w:tc>
        <w:tc>
          <w:tcPr>
            <w:tcW w:type="dxa" w:w="2551"/>
            <w:shd w:val="clear" w:color="auto" w:fill="F40E0E"/>
          </w:tcPr>
          <w:p>
            <w:r>
              <w:rPr>
                <w:b/>
                <w:color w:val="FFFFFF"/>
              </w:rPr>
              <w:t>Begründung</w:t>
            </w:r>
            <w:r>
              <w:rPr>
                <w:b/>
                <w:color w:val="FFFFFF"/>
              </w:rPr>
            </w:r>
          </w:p>
        </w:tc>
      </w:tr>
      <w:tr>
        <w:tc>
          <w:tcPr>
            <w:tcW w:type="dxa" w:w="2835"/>
          </w:tcPr>
          <w:p>
            <w:r>
              <w:t>Go-Live-Datum und Lage zur Erntesaison</w:t>
            </w:r>
            <w:r/>
          </w:p>
        </w:tc>
        <w:tc>
          <w:tcPr>
            <w:tcW w:type="dxa" w:w="3685"/>
          </w:tcPr>
          <w:p>
            <w:r>
              <w:t>Das Datum setzt die Geschäftsführung mit der Beauftragung. Regel: frühestens nach bestandenem Probebetrieb auf dem Server in Kasachstan (mindestens 14 Tage) und so, dass die vier Wochen der Hypercare vor der Erntespitze enden.</w:t>
            </w:r>
            <w:r/>
          </w:p>
        </w:tc>
        <w:tc>
          <w:tcPr>
            <w:tcW w:type="dxa" w:w="2551"/>
          </w:tcPr>
          <w:p>
            <w:r>
              <w:t>Der Probebetrieb ist die Voraussetzung (Abschnitt 11). Das Datum selbst kennt nur der Betreiber.</w:t>
            </w:r>
            <w:r/>
          </w:p>
        </w:tc>
      </w:tr>
      <w:tr>
        <w:tc>
          <w:tcPr>
            <w:tcW w:type="dxa" w:w="2835"/>
          </w:tcPr>
          <w:p>
            <w:r>
              <w:t>Dauer der Hypercare</w:t>
            </w:r>
            <w:r/>
          </w:p>
        </w:tc>
        <w:tc>
          <w:tcPr>
            <w:tcW w:type="dxa" w:w="3685"/>
          </w:tcPr>
          <w:p>
            <w:r>
              <w:t>Vier Wochen ab dem ersten Produktivtag, verlängert um die Dauer der Erntespitze, wenn der Start hineinfällt.</w:t>
            </w:r>
            <w:r/>
          </w:p>
        </w:tc>
        <w:tc>
          <w:tcPr>
            <w:tcW w:type="dxa" w:w="2551"/>
          </w:tcPr>
          <w:p>
            <w:r>
              <w:t>Vier Wochen reichen für zwei volle Pflückzyklen; die Spitze zeigt die volle Last.</w:t>
            </w:r>
            <w:r/>
          </w:p>
        </w:tc>
      </w:tr>
      <w:tr>
        <w:tc>
          <w:tcPr>
            <w:tcW w:type="dxa" w:w="2835"/>
          </w:tcPr>
          <w:p>
            <w:r>
              <w:t>Betriebszeiten der Bereitschaft</w:t>
            </w:r>
            <w:r/>
          </w:p>
        </w:tc>
        <w:tc>
          <w:tcPr>
            <w:tcW w:type="dxa" w:w="3685"/>
          </w:tcPr>
          <w:p>
            <w:r>
              <w:t>Ernte: 06:00 bis 20:00 Uhr Almaty-Zeit an allen Tagen. Sonst Arbeitstage 09:00 bis 18:00 Uhr. In Woche 1 für S1 zusätzlich telefonisch bis 22:00 Uhr.</w:t>
            </w:r>
            <w:r/>
          </w:p>
        </w:tc>
        <w:tc>
          <w:tcPr>
            <w:tcW w:type="dxa" w:w="2551"/>
          </w:tcPr>
          <w:p>
            <w:r>
              <w:t>Folgt der Pflückzeit und der 60-Minuten-Regel der Kühlkette.</w:t>
            </w:r>
            <w:r/>
          </w:p>
        </w:tc>
      </w:tr>
      <w:tr>
        <w:tc>
          <w:tcPr>
            <w:tcW w:type="dxa" w:w="2835"/>
          </w:tcPr>
          <w:p>
            <w:r>
              <w:t>Verbindliche Reaktionsziele je Stufe</w:t>
            </w:r>
            <w:r/>
          </w:p>
        </w:tc>
        <w:tc>
          <w:tcPr>
            <w:tcW w:type="dxa" w:w="3685"/>
          </w:tcPr>
          <w:p>
            <w:r>
              <w:t>Wie in Abschnitt 4: S1 30 Minuten, S2 2 Stunden, S3 1 Arbeitstag, S4 3 Arbeitstage. Sie gelten ab dem ersten Tag der Hypercare als Zusage.</w:t>
            </w:r>
            <w:r/>
          </w:p>
        </w:tc>
        <w:tc>
          <w:tcPr>
            <w:tcW w:type="dxa" w:w="2551"/>
          </w:tcPr>
          <w:p>
            <w:r>
              <w:t>Die kurzen Zeiten bei S1 folgen daraus, dass ein Ausfall in der Kühlkette nicht nachträglich heilbar ist.</w:t>
            </w:r>
            <w:r/>
          </w:p>
        </w:tc>
      </w:tr>
      <w:tr>
        <w:tc>
          <w:tcPr>
            <w:tcW w:type="dxa" w:w="2835"/>
          </w:tcPr>
          <w:p>
            <w:r>
              <w:t>Meldekanal</w:t>
            </w:r>
            <w:r/>
          </w:p>
        </w:tc>
        <w:tc>
          <w:tcPr>
            <w:tcW w:type="dxa" w:w="3685"/>
          </w:tcPr>
          <w:p>
            <w:r>
              <w:t>Eine Messenger-Gruppe für Feld und Büro, dazu eine Sammel-E-Mail-Adresse für das Büro, beides in dieselbe Liste mit Meldenummer.</w:t>
            </w:r>
            <w:r/>
          </w:p>
        </w:tc>
        <w:tc>
          <w:tcPr>
            <w:tcW w:type="dxa" w:w="2551"/>
          </w:tcPr>
          <w:p>
            <w:r>
              <w:t>Ein einziger Ort je Meldung. WhatsApp ist der übliche Weg der Anwender vor Ort.</w:t>
            </w:r>
            <w:r/>
          </w:p>
        </w:tc>
      </w:tr>
      <w:tr>
        <w:tc>
          <w:tcPr>
            <w:tcW w:type="dxa" w:w="2835"/>
          </w:tcPr>
          <w:p>
            <w:r>
              <w:t>Namen und Erreichbarkeit der Rollen</w:t>
            </w:r>
            <w:r/>
          </w:p>
        </w:tc>
        <w:tc>
          <w:tcPr>
            <w:tcW w:type="dxa" w:w="3685"/>
          </w:tcPr>
          <w:p>
            <w:r>
              <w:t>Der Betreiber trägt sie in die Tabelle in Abschnitt 5 ein, vor dem ersten Produktivtag.</w:t>
            </w:r>
            <w:r/>
          </w:p>
        </w:tc>
        <w:tc>
          <w:tcPr>
            <w:tcW w:type="dxa" w:w="2551"/>
          </w:tcPr>
          <w:p>
            <w:r>
              <w:t>Nur der Betreiber kennt die Personen. Ohne Namen ist der Plan nicht ausführbar.</w:t>
            </w:r>
            <w:r/>
          </w:p>
        </w:tc>
      </w:tr>
      <w:tr>
        <w:tc>
          <w:tcPr>
            <w:tcW w:type="dxa" w:w="2835"/>
          </w:tcPr>
          <w:p>
            <w:r>
              <w:t>Wer bewertet die Austrittskriterien</w:t>
            </w:r>
            <w:r/>
          </w:p>
        </w:tc>
        <w:tc>
          <w:tcPr>
            <w:tcW w:type="dxa" w:w="3685"/>
          </w:tcPr>
          <w:p>
            <w:r>
              <w:t>Die Hypercare-Leitung legt die Bewertung vor, die Geschäftsführung des Betreibers bestätigt das Ende schriftlich.</w:t>
            </w:r>
            <w:r/>
          </w:p>
        </w:tc>
        <w:tc>
          <w:tcPr>
            <w:tcW w:type="dxa" w:w="2551"/>
          </w:tcPr>
          <w:p>
            <w:r>
              <w:t>Trennung von Vorlage und Bestätigung; die schriftliche Bestätigung ist Austrittskriterium 6.</w:t>
            </w:r>
            <w:r/>
          </w:p>
        </w:tc>
      </w:tr>
      <w:tr>
        <w:tc>
          <w:tcPr>
            <w:tcW w:type="dxa" w:w="2835"/>
          </w:tcPr>
          <w:p>
            <w:r>
              <w:t>Support im Regelbetrieb</w:t>
            </w:r>
            <w:r/>
          </w:p>
        </w:tc>
        <w:tc>
          <w:tcPr>
            <w:tcW w:type="dxa" w:w="3685"/>
          </w:tcPr>
          <w:p>
            <w:r>
              <w:t>Arbeitstage 09:00 bis 18:00 Uhr Almaty-Zeit. Reaktion bei S1 in 2 Stunden, bei S2 in einem Arbeitstag. Preis und Vertrag stehen im Angebot, nicht in diesem Plan.</w:t>
            </w:r>
            <w:r/>
          </w:p>
        </w:tc>
        <w:tc>
          <w:tcPr>
            <w:tcW w:type="dxa" w:w="2551"/>
          </w:tcPr>
          <w:p>
            <w:r>
              <w:t>Der Regelbetrieb braucht keine Bereitschaft in der Ernte-Nacht; die Kosten laufen als Betriebskosten.</w:t>
            </w:r>
            <w:r/>
          </w:p>
        </w:tc>
      </w:tr>
    </w:tbl>
    <w:p/>
    <w:p>
      <w:pPr>
        <w:pStyle w:val="berschrift2"/>
      </w:pPr>
      <w:r>
        <w:rPr>
          <w:color w:val="F40E0E"/>
        </w:rPr>
        <w:t>Anhang: Meldevorlage</w:t>
      </w:r>
    </w:p>
    <w:p>
      <w:r>
        <w:t>Jede Meldung enthält:</w:t>
      </w:r>
    </w:p>
    <w:p>
      <w:pPr>
        <w:pStyle w:val="Listenabsatz"/>
        <w:spacing w:after="57"/>
        <w:ind w:left="425" w:hanging="283"/>
      </w:pPr>
      <w:r>
        <w:t>•</w:t>
        <w:tab/>
      </w:r>
      <w:r>
        <w:t>Wer meldet (Name, Rolle, Telefon)</w:t>
      </w:r>
    </w:p>
    <w:p>
      <w:pPr>
        <w:pStyle w:val="Listenabsatz"/>
        <w:spacing w:after="57"/>
        <w:ind w:left="425" w:hanging="283"/>
      </w:pPr>
      <w:r>
        <w:t>•</w:t>
        <w:tab/>
      </w:r>
      <w:r>
        <w:t>Wann ist es aufgetreten (Datum, Uhrzeit)</w:t>
      </w:r>
    </w:p>
    <w:p>
      <w:pPr>
        <w:pStyle w:val="Listenabsatz"/>
        <w:spacing w:after="57"/>
        <w:ind w:left="425" w:hanging="283"/>
      </w:pPr>
      <w:r>
        <w:t>•</w:t>
        <w:tab/>
      </w:r>
      <w:r>
        <w:t>Was wollten Sie tun, und was ist stattdessen passiert</w:t>
      </w:r>
    </w:p>
    <w:p>
      <w:pPr>
        <w:pStyle w:val="Listenabsatz"/>
        <w:spacing w:after="57"/>
        <w:ind w:left="425" w:hanging="283"/>
      </w:pPr>
      <w:r>
        <w:t>•</w:t>
        <w:tab/>
      </w:r>
      <w:r>
        <w:t>Auf welcher Seite oder in welchem Modul</w:t>
      </w:r>
    </w:p>
    <w:p>
      <w:pPr>
        <w:pStyle w:val="Listenabsatz"/>
        <w:spacing w:after="57"/>
        <w:ind w:left="425" w:hanging="283"/>
      </w:pPr>
      <w:r>
        <w:t>•</w:t>
        <w:tab/>
      </w:r>
      <w:r>
        <w:t>Was ist die Folge für die Arbeit (kann nicht pflücken, kann nicht melden, Zahl stimmt nicht)</w:t>
      </w:r>
    </w:p>
    <w:p>
      <w:pPr>
        <w:pStyle w:val="Listenabsatz"/>
        <w:spacing w:after="57"/>
        <w:ind w:left="425" w:hanging="283"/>
      </w:pPr>
      <w:r>
        <w:t>•</w:t>
        <w:tab/>
      </w:r>
      <w:r>
        <w:t>Gerät und Browser, wenn bekannt</w:t>
      </w:r>
    </w:p>
    <w:p>
      <w:pPr>
        <w:pStyle w:val="Listenabsatz"/>
        <w:spacing w:after="57"/>
        <w:ind w:left="425" w:hanging="283"/>
      </w:pPr>
      <w:r>
        <w:t>•</w:t>
        <w:tab/>
      </w:r>
      <w:r>
        <w:t>Ein Foto oder Bildschirmfoto, wenn möglich</w:t>
      </w:r>
    </w:p>
    <w:p>
      <w:pPr>
        <w:pStyle w:val="Listenabsatz"/>
        <w:spacing w:after="57"/>
        <w:ind w:left="425" w:hanging="283"/>
      </w:pPr>
      <w:r>
        <w:t>•</w:t>
        <w:tab/>
      </w:r>
      <w:r>
        <w:t>Stufe (trägt die Sammelstelle ein)</w:t>
      </w:r>
    </w:p>
    <w:sectPr w:rsidR="00661890" w:rsidRPr="00F6665C">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ED51" w14:textId="77777777" w:rsidR="008E6DB0" w:rsidRDefault="008E6DB0" w:rsidP="00912A8D">
      <w:pPr>
        <w:spacing w:after="0" w:line="240" w:lineRule="auto"/>
      </w:pPr>
      <w:r>
        <w:separator/>
      </w:r>
    </w:p>
  </w:endnote>
  <w:endnote w:type="continuationSeparator" w:id="0">
    <w:p w14:paraId="64215FC8" w14:textId="77777777" w:rsidR="008E6DB0" w:rsidRDefault="008E6DB0" w:rsidP="00912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20"/>
        <w:szCs w:val="20"/>
      </w:rPr>
      <w:id w:val="2035843920"/>
      <w:docPartObj>
        <w:docPartGallery w:val="Page Numbers (Bottom of Page)"/>
        <w:docPartUnique/>
      </w:docPartObj>
    </w:sdtPr>
    <w:sdtContent>
      <w:p w14:paraId="31206C8D" w14:textId="77777777" w:rsidR="0085334A" w:rsidRPr="0085334A" w:rsidRDefault="0085334A">
        <w:pPr>
          <w:pStyle w:val="Fuzeile"/>
          <w:jc w:val="right"/>
          <w:rPr>
            <w:rFonts w:ascii="Arial Narrow" w:hAnsi="Arial Narrow"/>
            <w:sz w:val="20"/>
            <w:szCs w:val="20"/>
          </w:rPr>
        </w:pPr>
        <w:r w:rsidRPr="0085334A">
          <w:rPr>
            <w:rFonts w:ascii="Arial Narrow" w:hAnsi="Arial Narrow"/>
            <w:sz w:val="20"/>
            <w:szCs w:val="20"/>
          </w:rPr>
          <w:fldChar w:fldCharType="begin"/>
        </w:r>
        <w:r w:rsidRPr="0085334A">
          <w:rPr>
            <w:rFonts w:ascii="Arial Narrow" w:hAnsi="Arial Narrow"/>
            <w:sz w:val="20"/>
            <w:szCs w:val="20"/>
          </w:rPr>
          <w:instrText>PAGE   \* MERGEFORMAT</w:instrText>
        </w:r>
        <w:r w:rsidRPr="0085334A">
          <w:rPr>
            <w:rFonts w:ascii="Arial Narrow" w:hAnsi="Arial Narrow"/>
            <w:sz w:val="20"/>
            <w:szCs w:val="20"/>
          </w:rPr>
          <w:fldChar w:fldCharType="separate"/>
        </w:r>
        <w:r w:rsidRPr="0085334A">
          <w:rPr>
            <w:rFonts w:ascii="Arial Narrow" w:hAnsi="Arial Narrow"/>
            <w:sz w:val="20"/>
            <w:szCs w:val="20"/>
          </w:rPr>
          <w:t>2</w:t>
        </w:r>
        <w:r w:rsidRPr="0085334A">
          <w:rPr>
            <w:rFonts w:ascii="Arial Narrow" w:hAnsi="Arial Narrow"/>
            <w:sz w:val="20"/>
            <w:szCs w:val="20"/>
          </w:rPr>
          <w:fldChar w:fldCharType="end"/>
        </w:r>
      </w:p>
    </w:sdtContent>
  </w:sdt>
  <w:p w14:paraId="43F11B57" w14:textId="77777777" w:rsidR="0085334A" w:rsidRDefault="0085334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AF0A" w14:textId="77777777" w:rsidR="008E6DB0" w:rsidRDefault="008E6DB0" w:rsidP="00912A8D">
      <w:pPr>
        <w:spacing w:after="0" w:line="240" w:lineRule="auto"/>
      </w:pPr>
      <w:r>
        <w:separator/>
      </w:r>
    </w:p>
  </w:footnote>
  <w:footnote w:type="continuationSeparator" w:id="0">
    <w:p w14:paraId="41B2A863" w14:textId="77777777" w:rsidR="008E6DB0" w:rsidRDefault="008E6DB0" w:rsidP="00912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DDA2" w14:textId="77777777" w:rsidR="00912A8D" w:rsidRPr="0085334A" w:rsidRDefault="00912A8D" w:rsidP="00912A8D">
    <w:pPr>
      <w:pStyle w:val="Kopfzeile"/>
    </w:pPr>
    <w:r>
      <w:rPr>
        <w:rFonts w:ascii="Times New Roman" w:hAnsi="Times New Roman"/>
        <w:noProof/>
        <w:sz w:val="20"/>
      </w:rPr>
      <w:drawing>
        <wp:anchor distT="0" distB="0" distL="114300" distR="114300" simplePos="0" relativeHeight="251659264" behindDoc="1" locked="0" layoutInCell="1" allowOverlap="1" wp14:anchorId="4409CAD6" wp14:editId="46B75200">
          <wp:simplePos x="0" y="0"/>
          <wp:positionH relativeFrom="page">
            <wp:align>right</wp:align>
          </wp:positionH>
          <wp:positionV relativeFrom="paragraph">
            <wp:posOffset>-411480</wp:posOffset>
          </wp:positionV>
          <wp:extent cx="1704975" cy="857250"/>
          <wp:effectExtent l="0" t="0" r="0" b="0"/>
          <wp:wrapNone/>
          <wp:docPr id="589279318" name="image1.jpeg" descr="Ein Bild, das Screenshot, Schwarz, Dunkelheit, Grafiken enthält."/>
          <wp:cNvGraphicFramePr/>
          <a:graphic xmlns:a="http://schemas.openxmlformats.org/drawingml/2006/main">
            <a:graphicData uri="http://schemas.openxmlformats.org/drawingml/2006/picture">
              <pic:pic xmlns:pic="http://schemas.openxmlformats.org/drawingml/2006/picture">
                <pic:nvPicPr>
                  <pic:cNvPr id="589279318" name="image1.jpeg" descr="Ein Bild, das Screenshot, Schwarz, Dunkelheit, Grafiken enthält."/>
                  <pic:cNvPicPr/>
                </pic:nvPicPr>
                <pic:blipFill>
                  <a:blip r:embed="rId1"/>
                  <a:stretch>
                    <a:fillRect/>
                  </a:stretch>
                </pic:blipFill>
                <pic:spPr>
                  <a:xfrm>
                    <a:off x="0" y="0"/>
                    <a:ext cx="1704975" cy="8572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Arial Narrow" w:hAnsi="Arial Narrow"/>
      </w:rPr>
      <w:t xml:space="preserve">WAMOCON </w:t>
    </w:r>
    <w:r w:rsidRPr="0085334A">
      <w:rPr>
        <w:rFonts w:ascii="Arial Narrow" w:hAnsi="Arial Narrow"/>
      </w:rPr>
      <w:t xml:space="preserve">GmbH, Mergenthalerallee 79-81, 65760 Eschborn                                              </w:t>
    </w:r>
  </w:p>
  <w:p w14:paraId="50066678" w14:textId="77777777" w:rsidR="00912A8D" w:rsidRPr="00912A8D" w:rsidRDefault="00912A8D" w:rsidP="00912A8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95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A06FDF"/>
    <w:multiLevelType w:val="hybridMultilevel"/>
    <w:tmpl w:val="0EE822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C2698A"/>
    <w:multiLevelType w:val="hybridMultilevel"/>
    <w:tmpl w:val="52A60B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B7D6E58"/>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E16323"/>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DF656B"/>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6" w15:restartNumberingAfterBreak="0">
    <w:nsid w:val="1ED20484"/>
    <w:multiLevelType w:val="multilevel"/>
    <w:tmpl w:val="EE502D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F423A0"/>
    <w:multiLevelType w:val="multilevel"/>
    <w:tmpl w:val="CE3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A3AFD"/>
    <w:multiLevelType w:val="hybridMultilevel"/>
    <w:tmpl w:val="7EB8BD1A"/>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33499D"/>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F72767"/>
    <w:multiLevelType w:val="multilevel"/>
    <w:tmpl w:val="ACA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D0814"/>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2" w15:restartNumberingAfterBreak="0">
    <w:nsid w:val="282D0E28"/>
    <w:multiLevelType w:val="hybridMultilevel"/>
    <w:tmpl w:val="73D660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84342A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D33E6"/>
    <w:multiLevelType w:val="multilevel"/>
    <w:tmpl w:val="A704E44E"/>
    <w:lvl w:ilvl="0">
      <w:start w:val="1"/>
      <w:numFmt w:val="decimal"/>
      <w:lvlText w:val="%1."/>
      <w:lvlJc w:val="left"/>
      <w:pPr>
        <w:ind w:left="360" w:hanging="360"/>
      </w:pPr>
    </w:lvl>
    <w:lvl w:ilvl="1">
      <w:start w:val="1"/>
      <w:numFmt w:val="decimal"/>
      <w:lvlText w:val="%1.%2."/>
      <w:lvlJc w:val="left"/>
      <w:pPr>
        <w:ind w:left="574" w:hanging="432"/>
      </w:pPr>
      <w:rPr>
        <w:sz w:val="24"/>
        <w:szCs w:val="24"/>
      </w:rPr>
    </w:lvl>
    <w:lvl w:ilvl="2">
      <w:start w:val="1"/>
      <w:numFmt w:val="decimal"/>
      <w:lvlText w:val="%1.%2.%3."/>
      <w:lvlJc w:val="left"/>
      <w:pPr>
        <w:ind w:left="929"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F31E21"/>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204B80"/>
    <w:multiLevelType w:val="multilevel"/>
    <w:tmpl w:val="7E5638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D606BE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F8760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383015"/>
    <w:multiLevelType w:val="hybridMultilevel"/>
    <w:tmpl w:val="BC465580"/>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0D43E5D"/>
    <w:multiLevelType w:val="multilevel"/>
    <w:tmpl w:val="0407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4CDB3B2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F37BE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3C683E"/>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4" w15:restartNumberingAfterBreak="0">
    <w:nsid w:val="5430098E"/>
    <w:multiLevelType w:val="hybridMultilevel"/>
    <w:tmpl w:val="7F4880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C514C07"/>
    <w:multiLevelType w:val="multilevel"/>
    <w:tmpl w:val="D868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0357EC"/>
    <w:multiLevelType w:val="multilevel"/>
    <w:tmpl w:val="9C7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36459"/>
    <w:multiLevelType w:val="hybridMultilevel"/>
    <w:tmpl w:val="ADB8F504"/>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356309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8DB5675"/>
    <w:multiLevelType w:val="multilevel"/>
    <w:tmpl w:val="A704E44E"/>
    <w:lvl w:ilvl="0">
      <w:start w:val="1"/>
      <w:numFmt w:val="decimal"/>
      <w:lvlText w:val="%1."/>
      <w:lvlJc w:val="left"/>
      <w:pPr>
        <w:ind w:left="360" w:hanging="360"/>
      </w:pPr>
    </w:lvl>
    <w:lvl w:ilvl="1">
      <w:start w:val="1"/>
      <w:numFmt w:val="decimal"/>
      <w:lvlText w:val="%1.%2."/>
      <w:lvlJc w:val="left"/>
      <w:pPr>
        <w:ind w:left="574" w:hanging="432"/>
      </w:pPr>
      <w:rPr>
        <w:sz w:val="24"/>
        <w:szCs w:val="24"/>
      </w:rPr>
    </w:lvl>
    <w:lvl w:ilvl="2">
      <w:start w:val="1"/>
      <w:numFmt w:val="decimal"/>
      <w:lvlText w:val="%1.%2.%3."/>
      <w:lvlJc w:val="left"/>
      <w:pPr>
        <w:ind w:left="929"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D9518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33058B1"/>
    <w:multiLevelType w:val="multilevel"/>
    <w:tmpl w:val="B4D27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A55A1"/>
    <w:multiLevelType w:val="multilevel"/>
    <w:tmpl w:val="59382AC8"/>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85A6D3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98F28B1"/>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num w:numId="1" w16cid:durableId="1863277427">
    <w:abstractNumId w:val="25"/>
  </w:num>
  <w:num w:numId="2" w16cid:durableId="166023463">
    <w:abstractNumId w:val="6"/>
  </w:num>
  <w:num w:numId="3" w16cid:durableId="47924726">
    <w:abstractNumId w:val="5"/>
  </w:num>
  <w:num w:numId="4" w16cid:durableId="826286520">
    <w:abstractNumId w:val="11"/>
  </w:num>
  <w:num w:numId="5" w16cid:durableId="1070150325">
    <w:abstractNumId w:val="23"/>
  </w:num>
  <w:num w:numId="6" w16cid:durableId="1481341477">
    <w:abstractNumId w:val="34"/>
  </w:num>
  <w:num w:numId="7" w16cid:durableId="2008904211">
    <w:abstractNumId w:val="26"/>
  </w:num>
  <w:num w:numId="8" w16cid:durableId="5913713">
    <w:abstractNumId w:val="10"/>
  </w:num>
  <w:num w:numId="9" w16cid:durableId="1761559626">
    <w:abstractNumId w:val="31"/>
  </w:num>
  <w:num w:numId="10" w16cid:durableId="1296183314">
    <w:abstractNumId w:val="7"/>
  </w:num>
  <w:num w:numId="11" w16cid:durableId="1901359284">
    <w:abstractNumId w:val="30"/>
  </w:num>
  <w:num w:numId="12" w16cid:durableId="1154300505">
    <w:abstractNumId w:val="16"/>
  </w:num>
  <w:num w:numId="13" w16cid:durableId="134564603">
    <w:abstractNumId w:val="21"/>
  </w:num>
  <w:num w:numId="14" w16cid:durableId="1498768125">
    <w:abstractNumId w:val="20"/>
  </w:num>
  <w:num w:numId="15" w16cid:durableId="1606617808">
    <w:abstractNumId w:val="1"/>
  </w:num>
  <w:num w:numId="16" w16cid:durableId="842012391">
    <w:abstractNumId w:val="22"/>
  </w:num>
  <w:num w:numId="17" w16cid:durableId="1054087805">
    <w:abstractNumId w:val="28"/>
  </w:num>
  <w:num w:numId="18" w16cid:durableId="1502937635">
    <w:abstractNumId w:val="13"/>
  </w:num>
  <w:num w:numId="19" w16cid:durableId="1368992636">
    <w:abstractNumId w:val="29"/>
  </w:num>
  <w:num w:numId="20" w16cid:durableId="719935082">
    <w:abstractNumId w:val="32"/>
  </w:num>
  <w:num w:numId="21" w16cid:durableId="1747917035">
    <w:abstractNumId w:val="14"/>
  </w:num>
  <w:num w:numId="22" w16cid:durableId="1167595516">
    <w:abstractNumId w:val="27"/>
  </w:num>
  <w:num w:numId="23" w16cid:durableId="874855033">
    <w:abstractNumId w:val="33"/>
  </w:num>
  <w:num w:numId="24" w16cid:durableId="1890802087">
    <w:abstractNumId w:val="9"/>
  </w:num>
  <w:num w:numId="25" w16cid:durableId="668488333">
    <w:abstractNumId w:val="19"/>
  </w:num>
  <w:num w:numId="26" w16cid:durableId="14549576">
    <w:abstractNumId w:val="15"/>
  </w:num>
  <w:num w:numId="27" w16cid:durableId="909117653">
    <w:abstractNumId w:val="3"/>
  </w:num>
  <w:num w:numId="28" w16cid:durableId="1220365911">
    <w:abstractNumId w:val="8"/>
  </w:num>
  <w:num w:numId="29" w16cid:durableId="689645717">
    <w:abstractNumId w:val="4"/>
  </w:num>
  <w:num w:numId="30" w16cid:durableId="1404915133">
    <w:abstractNumId w:val="2"/>
  </w:num>
  <w:num w:numId="31" w16cid:durableId="1936354446">
    <w:abstractNumId w:val="24"/>
  </w:num>
  <w:num w:numId="32" w16cid:durableId="931744262">
    <w:abstractNumId w:val="0"/>
  </w:num>
  <w:num w:numId="33" w16cid:durableId="1626885502">
    <w:abstractNumId w:val="12"/>
  </w:num>
  <w:num w:numId="34" w16cid:durableId="20866916">
    <w:abstractNumId w:val="17"/>
  </w:num>
  <w:num w:numId="35" w16cid:durableId="12166190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B0"/>
    <w:rsid w:val="00010899"/>
    <w:rsid w:val="000460B4"/>
    <w:rsid w:val="00047D32"/>
    <w:rsid w:val="000946C5"/>
    <w:rsid w:val="00097626"/>
    <w:rsid w:val="00111120"/>
    <w:rsid w:val="00142C15"/>
    <w:rsid w:val="0016710B"/>
    <w:rsid w:val="0018437B"/>
    <w:rsid w:val="001A069B"/>
    <w:rsid w:val="001B57DB"/>
    <w:rsid w:val="001D7531"/>
    <w:rsid w:val="00204570"/>
    <w:rsid w:val="00263F33"/>
    <w:rsid w:val="00274F7B"/>
    <w:rsid w:val="00286B2B"/>
    <w:rsid w:val="002B18F6"/>
    <w:rsid w:val="00331523"/>
    <w:rsid w:val="00334677"/>
    <w:rsid w:val="00390D7B"/>
    <w:rsid w:val="003D0763"/>
    <w:rsid w:val="003E7841"/>
    <w:rsid w:val="003F1FD0"/>
    <w:rsid w:val="004026B0"/>
    <w:rsid w:val="00463C9C"/>
    <w:rsid w:val="004A3AFD"/>
    <w:rsid w:val="004B14CA"/>
    <w:rsid w:val="004F0E32"/>
    <w:rsid w:val="00555585"/>
    <w:rsid w:val="005555DF"/>
    <w:rsid w:val="00591FCC"/>
    <w:rsid w:val="0059437A"/>
    <w:rsid w:val="005D5330"/>
    <w:rsid w:val="005D714A"/>
    <w:rsid w:val="005E3AB4"/>
    <w:rsid w:val="005F562E"/>
    <w:rsid w:val="00661890"/>
    <w:rsid w:val="006830A0"/>
    <w:rsid w:val="006A6E53"/>
    <w:rsid w:val="006B19E4"/>
    <w:rsid w:val="006B4A37"/>
    <w:rsid w:val="006F2459"/>
    <w:rsid w:val="006F2E6D"/>
    <w:rsid w:val="00715E1E"/>
    <w:rsid w:val="0077030D"/>
    <w:rsid w:val="007B03D0"/>
    <w:rsid w:val="007D59CC"/>
    <w:rsid w:val="007E429C"/>
    <w:rsid w:val="00806DB2"/>
    <w:rsid w:val="0081362C"/>
    <w:rsid w:val="0082698B"/>
    <w:rsid w:val="0085334A"/>
    <w:rsid w:val="008A17EB"/>
    <w:rsid w:val="008C313A"/>
    <w:rsid w:val="008E6DB0"/>
    <w:rsid w:val="008F64AC"/>
    <w:rsid w:val="00912A8D"/>
    <w:rsid w:val="00933142"/>
    <w:rsid w:val="00977A8D"/>
    <w:rsid w:val="00982469"/>
    <w:rsid w:val="00995B24"/>
    <w:rsid w:val="009B311C"/>
    <w:rsid w:val="00A06980"/>
    <w:rsid w:val="00AB0CFA"/>
    <w:rsid w:val="00AE2743"/>
    <w:rsid w:val="00B17CBD"/>
    <w:rsid w:val="00B24E2E"/>
    <w:rsid w:val="00B27131"/>
    <w:rsid w:val="00B316AE"/>
    <w:rsid w:val="00B33D55"/>
    <w:rsid w:val="00B57CF7"/>
    <w:rsid w:val="00BD14AB"/>
    <w:rsid w:val="00C27506"/>
    <w:rsid w:val="00C34253"/>
    <w:rsid w:val="00C94176"/>
    <w:rsid w:val="00CC7DA5"/>
    <w:rsid w:val="00CD2286"/>
    <w:rsid w:val="00D0005D"/>
    <w:rsid w:val="00D11CFD"/>
    <w:rsid w:val="00D40AA5"/>
    <w:rsid w:val="00D9005D"/>
    <w:rsid w:val="00DB40AB"/>
    <w:rsid w:val="00DF11DF"/>
    <w:rsid w:val="00E206EC"/>
    <w:rsid w:val="00E21FCC"/>
    <w:rsid w:val="00E450CE"/>
    <w:rsid w:val="00E679D8"/>
    <w:rsid w:val="00EB1118"/>
    <w:rsid w:val="00EB79C4"/>
    <w:rsid w:val="00EE553C"/>
    <w:rsid w:val="00F56BD0"/>
    <w:rsid w:val="00F6665C"/>
    <w:rsid w:val="00F80D56"/>
    <w:rsid w:val="00FB40E0"/>
    <w:rsid w:val="00FB54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26C3B"/>
  <w15:chartTrackingRefBased/>
  <w15:docId w15:val="{DD675127-4115-4CCD-A5FA-83932916C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12A8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2A8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2A8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2A8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2A8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2A8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2A8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2A8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2A8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12A8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2A8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2A8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2A8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2A8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2A8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2A8D"/>
    <w:rPr>
      <w:rFonts w:eastAsiaTheme="majorEastAsia" w:cstheme="majorBidi"/>
      <w:color w:val="272727" w:themeColor="text1" w:themeTint="D8"/>
    </w:rPr>
  </w:style>
  <w:style w:type="paragraph" w:styleId="Titel">
    <w:name w:val="Title"/>
    <w:basedOn w:val="Standard"/>
    <w:next w:val="Standard"/>
    <w:link w:val="TitelZchn"/>
    <w:uiPriority w:val="10"/>
    <w:qFormat/>
    <w:rsid w:val="0091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A8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2A8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2A8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2A8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2A8D"/>
    <w:rPr>
      <w:i/>
      <w:iCs/>
      <w:color w:val="404040" w:themeColor="text1" w:themeTint="BF"/>
    </w:rPr>
  </w:style>
  <w:style w:type="paragraph" w:styleId="Listenabsatz">
    <w:name w:val="List Paragraph"/>
    <w:basedOn w:val="Standard"/>
    <w:uiPriority w:val="34"/>
    <w:qFormat/>
    <w:rsid w:val="00912A8D"/>
    <w:pPr>
      <w:ind w:left="720"/>
      <w:contextualSpacing/>
    </w:pPr>
  </w:style>
  <w:style w:type="character" w:styleId="IntensiveHervorhebung">
    <w:name w:val="Intense Emphasis"/>
    <w:basedOn w:val="Absatz-Standardschriftart"/>
    <w:uiPriority w:val="21"/>
    <w:qFormat/>
    <w:rsid w:val="00912A8D"/>
    <w:rPr>
      <w:i/>
      <w:iCs/>
      <w:color w:val="0F4761" w:themeColor="accent1" w:themeShade="BF"/>
    </w:rPr>
  </w:style>
  <w:style w:type="paragraph" w:styleId="IntensivesZitat">
    <w:name w:val="Intense Quote"/>
    <w:basedOn w:val="Standard"/>
    <w:next w:val="Standard"/>
    <w:link w:val="IntensivesZitatZchn"/>
    <w:uiPriority w:val="30"/>
    <w:qFormat/>
    <w:rsid w:val="0091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2A8D"/>
    <w:rPr>
      <w:i/>
      <w:iCs/>
      <w:color w:val="0F4761" w:themeColor="accent1" w:themeShade="BF"/>
    </w:rPr>
  </w:style>
  <w:style w:type="character" w:styleId="IntensiverVerweis">
    <w:name w:val="Intense Reference"/>
    <w:basedOn w:val="Absatz-Standardschriftart"/>
    <w:uiPriority w:val="32"/>
    <w:qFormat/>
    <w:rsid w:val="00912A8D"/>
    <w:rPr>
      <w:b/>
      <w:bCs/>
      <w:smallCaps/>
      <w:color w:val="0F4761" w:themeColor="accent1" w:themeShade="BF"/>
      <w:spacing w:val="5"/>
    </w:rPr>
  </w:style>
  <w:style w:type="paragraph" w:styleId="Kopfzeile">
    <w:name w:val="header"/>
    <w:basedOn w:val="Standard"/>
    <w:link w:val="KopfzeileZchn"/>
    <w:uiPriority w:val="99"/>
    <w:unhideWhenUsed/>
    <w:rsid w:val="00912A8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12A8D"/>
  </w:style>
  <w:style w:type="paragraph" w:styleId="Fuzeile">
    <w:name w:val="footer"/>
    <w:basedOn w:val="Standard"/>
    <w:link w:val="FuzeileZchn"/>
    <w:uiPriority w:val="99"/>
    <w:unhideWhenUsed/>
    <w:rsid w:val="00912A8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12A8D"/>
  </w:style>
  <w:style w:type="paragraph" w:styleId="StandardWeb">
    <w:name w:val="Normal (Web)"/>
    <w:basedOn w:val="Standard"/>
    <w:uiPriority w:val="99"/>
    <w:unhideWhenUsed/>
    <w:rsid w:val="006F245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6F2459"/>
    <w:rPr>
      <w:rFonts w:ascii="Courier New" w:eastAsia="Times New Roman" w:hAnsi="Courier New" w:cs="Courier New"/>
      <w:sz w:val="20"/>
      <w:szCs w:val="20"/>
    </w:rPr>
  </w:style>
  <w:style w:type="character" w:styleId="Fett">
    <w:name w:val="Strong"/>
    <w:basedOn w:val="Absatz-Standardschriftart"/>
    <w:uiPriority w:val="22"/>
    <w:qFormat/>
    <w:rsid w:val="006F2459"/>
    <w:rPr>
      <w:b/>
      <w:bCs/>
    </w:rPr>
  </w:style>
  <w:style w:type="character" w:customStyle="1" w:styleId="ng-tns-c393695550-331">
    <w:name w:val="ng-tns-c393695550-331"/>
    <w:basedOn w:val="Absatz-Standardschriftart"/>
    <w:rsid w:val="006F2459"/>
  </w:style>
  <w:style w:type="paragraph" w:styleId="HTMLVorformatiert">
    <w:name w:val="HTML Preformatted"/>
    <w:basedOn w:val="Standard"/>
    <w:link w:val="HTMLVorformatiertZchn"/>
    <w:uiPriority w:val="99"/>
    <w:semiHidden/>
    <w:unhideWhenUsed/>
    <w:rsid w:val="006F2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6F2459"/>
    <w:rPr>
      <w:rFonts w:ascii="Courier New" w:eastAsia="Times New Roman" w:hAnsi="Courier New" w:cs="Courier New"/>
      <w:kern w:val="0"/>
      <w:sz w:val="20"/>
      <w:szCs w:val="20"/>
      <w:lang w:eastAsia="de-DE"/>
      <w14:ligatures w14:val="none"/>
    </w:rPr>
  </w:style>
  <w:style w:type="character" w:customStyle="1" w:styleId="hljs-comment">
    <w:name w:val="hljs-comment"/>
    <w:basedOn w:val="Absatz-Standardschriftart"/>
    <w:rsid w:val="006F2459"/>
  </w:style>
  <w:style w:type="character" w:customStyle="1" w:styleId="hljs-keyword">
    <w:name w:val="hljs-keyword"/>
    <w:basedOn w:val="Absatz-Standardschriftart"/>
    <w:rsid w:val="006F2459"/>
  </w:style>
  <w:style w:type="character" w:customStyle="1" w:styleId="hljs-function">
    <w:name w:val="hljs-function"/>
    <w:basedOn w:val="Absatz-Standardschriftart"/>
    <w:rsid w:val="006F2459"/>
  </w:style>
  <w:style w:type="character" w:customStyle="1" w:styleId="hljs-title">
    <w:name w:val="hljs-title"/>
    <w:basedOn w:val="Absatz-Standardschriftart"/>
    <w:rsid w:val="006F2459"/>
  </w:style>
  <w:style w:type="character" w:customStyle="1" w:styleId="hljs-params">
    <w:name w:val="hljs-params"/>
    <w:basedOn w:val="Absatz-Standardschriftart"/>
    <w:rsid w:val="006F2459"/>
  </w:style>
  <w:style w:type="character" w:customStyle="1" w:styleId="hljs-variable">
    <w:name w:val="hljs-variable"/>
    <w:basedOn w:val="Absatz-Standardschriftart"/>
    <w:rsid w:val="006F2459"/>
  </w:style>
  <w:style w:type="character" w:customStyle="1" w:styleId="hljs-literal">
    <w:name w:val="hljs-literal"/>
    <w:basedOn w:val="Absatz-Standardschriftart"/>
    <w:rsid w:val="006F2459"/>
  </w:style>
  <w:style w:type="character" w:customStyle="1" w:styleId="hljs-builtin">
    <w:name w:val="hljs-built_in"/>
    <w:basedOn w:val="Absatz-Standardschriftart"/>
    <w:rsid w:val="006F2459"/>
  </w:style>
  <w:style w:type="character" w:customStyle="1" w:styleId="hljs-string">
    <w:name w:val="hljs-string"/>
    <w:basedOn w:val="Absatz-Standardschriftart"/>
    <w:rsid w:val="006F2459"/>
  </w:style>
  <w:style w:type="table" w:styleId="Listentabelle1hell">
    <w:name w:val="List Table 1 Light"/>
    <w:basedOn w:val="NormaleTabelle"/>
    <w:uiPriority w:val="46"/>
    <w:rsid w:val="001A069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de">
    <w:name w:val="Code"/>
    <w:basedOn w:val="Standard"/>
    <w:link w:val="CodeZchn"/>
    <w:qFormat/>
    <w:rsid w:val="00331523"/>
    <w:pPr>
      <w:spacing w:after="100" w:afterAutospacing="1" w:line="240" w:lineRule="auto"/>
    </w:pPr>
    <w:rPr>
      <w:rFonts w:ascii="Consolas" w:eastAsia="Times New Roman" w:hAnsi="Consolas" w:cs="Arial"/>
      <w:kern w:val="0"/>
      <w:lang w:eastAsia="de-DE"/>
      <w14:ligatures w14:val="none"/>
    </w:rPr>
  </w:style>
  <w:style w:type="character" w:customStyle="1" w:styleId="CodeZchn">
    <w:name w:val="Code Zchn"/>
    <w:basedOn w:val="Absatz-Standardschriftart"/>
    <w:link w:val="Code"/>
    <w:rsid w:val="00331523"/>
    <w:rPr>
      <w:rFonts w:ascii="Consolas" w:eastAsia="Times New Roman" w:hAnsi="Consolas" w:cs="Arial"/>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7729">
      <w:bodyDiv w:val="1"/>
      <w:marLeft w:val="0"/>
      <w:marRight w:val="0"/>
      <w:marTop w:val="0"/>
      <w:marBottom w:val="0"/>
      <w:divBdr>
        <w:top w:val="none" w:sz="0" w:space="0" w:color="auto"/>
        <w:left w:val="none" w:sz="0" w:space="0" w:color="auto"/>
        <w:bottom w:val="none" w:sz="0" w:space="0" w:color="auto"/>
        <w:right w:val="none" w:sz="0" w:space="0" w:color="auto"/>
      </w:divBdr>
      <w:divsChild>
        <w:div w:id="1437292824">
          <w:marLeft w:val="0"/>
          <w:marRight w:val="0"/>
          <w:marTop w:val="0"/>
          <w:marBottom w:val="0"/>
          <w:divBdr>
            <w:top w:val="none" w:sz="0" w:space="0" w:color="auto"/>
            <w:left w:val="none" w:sz="0" w:space="0" w:color="auto"/>
            <w:bottom w:val="none" w:sz="0" w:space="0" w:color="auto"/>
            <w:right w:val="none" w:sz="0" w:space="0" w:color="auto"/>
          </w:divBdr>
        </w:div>
      </w:divsChild>
    </w:div>
    <w:div w:id="253637910">
      <w:bodyDiv w:val="1"/>
      <w:marLeft w:val="0"/>
      <w:marRight w:val="0"/>
      <w:marTop w:val="0"/>
      <w:marBottom w:val="0"/>
      <w:divBdr>
        <w:top w:val="none" w:sz="0" w:space="0" w:color="auto"/>
        <w:left w:val="none" w:sz="0" w:space="0" w:color="auto"/>
        <w:bottom w:val="none" w:sz="0" w:space="0" w:color="auto"/>
        <w:right w:val="none" w:sz="0" w:space="0" w:color="auto"/>
      </w:divBdr>
      <w:divsChild>
        <w:div w:id="778373598">
          <w:marLeft w:val="0"/>
          <w:marRight w:val="0"/>
          <w:marTop w:val="0"/>
          <w:marBottom w:val="0"/>
          <w:divBdr>
            <w:top w:val="none" w:sz="0" w:space="0" w:color="auto"/>
            <w:left w:val="none" w:sz="0" w:space="0" w:color="auto"/>
            <w:bottom w:val="none" w:sz="0" w:space="0" w:color="auto"/>
            <w:right w:val="none" w:sz="0" w:space="0" w:color="auto"/>
          </w:divBdr>
        </w:div>
      </w:divsChild>
    </w:div>
    <w:div w:id="354037391">
      <w:bodyDiv w:val="1"/>
      <w:marLeft w:val="0"/>
      <w:marRight w:val="0"/>
      <w:marTop w:val="0"/>
      <w:marBottom w:val="0"/>
      <w:divBdr>
        <w:top w:val="none" w:sz="0" w:space="0" w:color="auto"/>
        <w:left w:val="none" w:sz="0" w:space="0" w:color="auto"/>
        <w:bottom w:val="none" w:sz="0" w:space="0" w:color="auto"/>
        <w:right w:val="none" w:sz="0" w:space="0" w:color="auto"/>
      </w:divBdr>
      <w:divsChild>
        <w:div w:id="807744082">
          <w:marLeft w:val="0"/>
          <w:marRight w:val="0"/>
          <w:marTop w:val="0"/>
          <w:marBottom w:val="0"/>
          <w:divBdr>
            <w:top w:val="none" w:sz="0" w:space="0" w:color="auto"/>
            <w:left w:val="none" w:sz="0" w:space="0" w:color="auto"/>
            <w:bottom w:val="none" w:sz="0" w:space="0" w:color="auto"/>
            <w:right w:val="none" w:sz="0" w:space="0" w:color="auto"/>
          </w:divBdr>
        </w:div>
      </w:divsChild>
    </w:div>
    <w:div w:id="532156847">
      <w:bodyDiv w:val="1"/>
      <w:marLeft w:val="0"/>
      <w:marRight w:val="0"/>
      <w:marTop w:val="0"/>
      <w:marBottom w:val="0"/>
      <w:divBdr>
        <w:top w:val="none" w:sz="0" w:space="0" w:color="auto"/>
        <w:left w:val="none" w:sz="0" w:space="0" w:color="auto"/>
        <w:bottom w:val="none" w:sz="0" w:space="0" w:color="auto"/>
        <w:right w:val="none" w:sz="0" w:space="0" w:color="auto"/>
      </w:divBdr>
      <w:divsChild>
        <w:div w:id="1362439782">
          <w:marLeft w:val="0"/>
          <w:marRight w:val="0"/>
          <w:marTop w:val="0"/>
          <w:marBottom w:val="0"/>
          <w:divBdr>
            <w:top w:val="none" w:sz="0" w:space="0" w:color="auto"/>
            <w:left w:val="none" w:sz="0" w:space="0" w:color="auto"/>
            <w:bottom w:val="none" w:sz="0" w:space="0" w:color="auto"/>
            <w:right w:val="none" w:sz="0" w:space="0" w:color="auto"/>
          </w:divBdr>
        </w:div>
      </w:divsChild>
    </w:div>
    <w:div w:id="627854418">
      <w:bodyDiv w:val="1"/>
      <w:marLeft w:val="0"/>
      <w:marRight w:val="0"/>
      <w:marTop w:val="0"/>
      <w:marBottom w:val="0"/>
      <w:divBdr>
        <w:top w:val="none" w:sz="0" w:space="0" w:color="auto"/>
        <w:left w:val="none" w:sz="0" w:space="0" w:color="auto"/>
        <w:bottom w:val="none" w:sz="0" w:space="0" w:color="auto"/>
        <w:right w:val="none" w:sz="0" w:space="0" w:color="auto"/>
      </w:divBdr>
      <w:divsChild>
        <w:div w:id="1678920120">
          <w:marLeft w:val="0"/>
          <w:marRight w:val="0"/>
          <w:marTop w:val="0"/>
          <w:marBottom w:val="0"/>
          <w:divBdr>
            <w:top w:val="none" w:sz="0" w:space="0" w:color="auto"/>
            <w:left w:val="none" w:sz="0" w:space="0" w:color="auto"/>
            <w:bottom w:val="none" w:sz="0" w:space="0" w:color="auto"/>
            <w:right w:val="none" w:sz="0" w:space="0" w:color="auto"/>
          </w:divBdr>
        </w:div>
      </w:divsChild>
    </w:div>
    <w:div w:id="1150635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5501">
          <w:marLeft w:val="0"/>
          <w:marRight w:val="0"/>
          <w:marTop w:val="0"/>
          <w:marBottom w:val="0"/>
          <w:divBdr>
            <w:top w:val="none" w:sz="0" w:space="0" w:color="auto"/>
            <w:left w:val="none" w:sz="0" w:space="0" w:color="auto"/>
            <w:bottom w:val="none" w:sz="0" w:space="0" w:color="auto"/>
            <w:right w:val="none" w:sz="0" w:space="0" w:color="auto"/>
          </w:divBdr>
        </w:div>
      </w:divsChild>
    </w:div>
    <w:div w:id="1360276457">
      <w:bodyDiv w:val="1"/>
      <w:marLeft w:val="0"/>
      <w:marRight w:val="0"/>
      <w:marTop w:val="0"/>
      <w:marBottom w:val="0"/>
      <w:divBdr>
        <w:top w:val="none" w:sz="0" w:space="0" w:color="auto"/>
        <w:left w:val="none" w:sz="0" w:space="0" w:color="auto"/>
        <w:bottom w:val="none" w:sz="0" w:space="0" w:color="auto"/>
        <w:right w:val="none" w:sz="0" w:space="0" w:color="auto"/>
      </w:divBdr>
      <w:divsChild>
        <w:div w:id="1824547382">
          <w:marLeft w:val="0"/>
          <w:marRight w:val="0"/>
          <w:marTop w:val="0"/>
          <w:marBottom w:val="0"/>
          <w:divBdr>
            <w:top w:val="none" w:sz="0" w:space="0" w:color="auto"/>
            <w:left w:val="none" w:sz="0" w:space="0" w:color="auto"/>
            <w:bottom w:val="none" w:sz="0" w:space="0" w:color="auto"/>
            <w:right w:val="none" w:sz="0" w:space="0" w:color="auto"/>
          </w:divBdr>
        </w:div>
      </w:divsChild>
    </w:div>
    <w:div w:id="1560096740">
      <w:bodyDiv w:val="1"/>
      <w:marLeft w:val="0"/>
      <w:marRight w:val="0"/>
      <w:marTop w:val="0"/>
      <w:marBottom w:val="0"/>
      <w:divBdr>
        <w:top w:val="none" w:sz="0" w:space="0" w:color="auto"/>
        <w:left w:val="none" w:sz="0" w:space="0" w:color="auto"/>
        <w:bottom w:val="none" w:sz="0" w:space="0" w:color="auto"/>
        <w:right w:val="none" w:sz="0" w:space="0" w:color="auto"/>
      </w:divBdr>
      <w:divsChild>
        <w:div w:id="248926449">
          <w:marLeft w:val="0"/>
          <w:marRight w:val="0"/>
          <w:marTop w:val="0"/>
          <w:marBottom w:val="0"/>
          <w:divBdr>
            <w:top w:val="none" w:sz="0" w:space="0" w:color="auto"/>
            <w:left w:val="none" w:sz="0" w:space="0" w:color="auto"/>
            <w:bottom w:val="none" w:sz="0" w:space="0" w:color="auto"/>
            <w:right w:val="none" w:sz="0" w:space="0" w:color="auto"/>
          </w:divBdr>
        </w:div>
      </w:divsChild>
    </w:div>
    <w:div w:id="1914074949">
      <w:bodyDiv w:val="1"/>
      <w:marLeft w:val="0"/>
      <w:marRight w:val="0"/>
      <w:marTop w:val="0"/>
      <w:marBottom w:val="0"/>
      <w:divBdr>
        <w:top w:val="none" w:sz="0" w:space="0" w:color="auto"/>
        <w:left w:val="none" w:sz="0" w:space="0" w:color="auto"/>
        <w:bottom w:val="none" w:sz="0" w:space="0" w:color="auto"/>
        <w:right w:val="none" w:sz="0" w:space="0" w:color="auto"/>
      </w:divBdr>
      <w:divsChild>
        <w:div w:id="294943789">
          <w:marLeft w:val="0"/>
          <w:marRight w:val="0"/>
          <w:marTop w:val="0"/>
          <w:marBottom w:val="0"/>
          <w:divBdr>
            <w:top w:val="none" w:sz="0" w:space="0" w:color="auto"/>
            <w:left w:val="none" w:sz="0" w:space="0" w:color="auto"/>
            <w:bottom w:val="none" w:sz="0" w:space="0" w:color="auto"/>
            <w:right w:val="none" w:sz="0" w:space="0" w:color="auto"/>
          </w:divBdr>
        </w:div>
      </w:divsChild>
    </w:div>
    <w:div w:id="1960990151">
      <w:bodyDiv w:val="1"/>
      <w:marLeft w:val="0"/>
      <w:marRight w:val="0"/>
      <w:marTop w:val="0"/>
      <w:marBottom w:val="0"/>
      <w:divBdr>
        <w:top w:val="none" w:sz="0" w:space="0" w:color="auto"/>
        <w:left w:val="none" w:sz="0" w:space="0" w:color="auto"/>
        <w:bottom w:val="none" w:sz="0" w:space="0" w:color="auto"/>
        <w:right w:val="none" w:sz="0" w:space="0" w:color="auto"/>
      </w:divBdr>
      <w:divsChild>
        <w:div w:id="495803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urzhan%20Kukeyev\Documents\Benutzerdefinierte%20Office-Vorlagen\WMC-Vorlage-Wor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Narrow" panose="020B0606020202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Narrow" panose="020B0606020202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CA8B71-AB00-E544-8756-0D62E9405558}">
  <we:reference id="wa104382008" version="1.1.0.2" store="de-DE"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C429-D823-4CFB-94A6-6C883001F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WMC-Vorlage-Word</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Schefner</dc:creator>
  <cp:keywords/>
  <dc:description/>
  <cp:lastModifiedBy>Nikolaj Schefner</cp:lastModifiedBy>
  <cp:revision>1</cp:revision>
  <dcterms:created xsi:type="dcterms:W3CDTF">2026-05-19T06:51:00Z</dcterms:created>
  <dcterms:modified xsi:type="dcterms:W3CDTF">2026-05-19T07:00:00Z</dcterms:modified>
</cp:coreProperties>
</file>