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erschrift1"/>
      </w:pPr>
      <w:r>
        <w:rPr>
          <w:color w:val="F40E0E"/>
        </w:rPr>
        <w:t>Plattform in Kasachstan: Analyse der Dienste und Empfehlung</w:t>
      </w:r>
    </w:p>
    <w:p>
      <w:r>
        <w:t>Stand 15.10.2026 · Jira WMCNL-1518 und Entscheidung vom 13.10.2026 (Umzug nach der Beauftragung und vor dem Produktivbetrieb) · Grundlage: Recherche vom 15.10.2026, Einzelheiten und Quellen in docs/ENTSCHEIDUNGSGRUNDLAGEN.md</w:t>
      </w:r>
    </w:p>
    <w:p>
      <w:pPr>
        <w:pStyle w:val="berschrift2"/>
      </w:pPr>
      <w:r>
        <w:rPr>
          <w:color w:val="F40E0E"/>
        </w:rPr>
        <w:t>1. Ergebnis in Kürze</w:t>
      </w:r>
    </w:p>
    <w:p>
      <w:r>
        <w:rPr>
          <w:b/>
        </w:rPr>
        <w:t>Empfehlung:</w:t>
      </w:r>
      <w:r>
        <w:t xml:space="preserve"> Datenbank, Anwendung und die Sprachdienste für Pflücker ziehen vor dem Produktivbetrieb auf Server in Kasachstan. Das System liest und speichert Namen und Ausweisnummern (ИИН) von Erntehelfern. Solche Angaben sind nach dem Gesetz über personenbezogene Daten im Land zu speichern. Die gewählte Lösung muss auch für die Auslegung „Daten beschränkten Zugangs“ tragen, die noch nicht endgültig geklärt ist.</w:t>
      </w:r>
    </w:p>
    <w:p>
      <w:r>
        <w:t>Die drei wichtigsten Punkte:</w:t>
      </w:r>
    </w:p>
    <w:p>
      <w:pPr>
        <w:pStyle w:val="Listenabsatz"/>
        <w:spacing w:after="57"/>
        <w:ind w:left="425" w:hanging="283"/>
      </w:pPr>
      <w:r>
        <w:t>1.</w:t>
        <w:tab/>
      </w:r>
      <w:r>
        <w:rPr>
          <w:b/>
        </w:rPr>
        <w:t>Datenbank und Anwendung:</w:t>
      </w:r>
      <w:r>
        <w:t xml:space="preserve"> Supabase Cloud hat keine Region in Kasachstan. Supabase lässt sich selbst betreiben (Docker) und läuft auf jeder virtuellen Maschine im Land. Das ist der saubere Weg. Hosting der Anwendung bleibt außerhalb nur dann vertretbar, wenn sie keine personenbezogenen Daten dauerhaft hält (das ist bei Next.js mit Server-Funktionen nicht gesichert).</w:t>
      </w:r>
    </w:p>
    <w:p>
      <w:pPr>
        <w:pStyle w:val="Listenabsatz"/>
        <w:spacing w:after="57"/>
        <w:ind w:left="425" w:hanging="283"/>
      </w:pPr>
      <w:r>
        <w:t>2.</w:t>
        <w:tab/>
      </w:r>
      <w:r>
        <w:rPr>
          <w:b/>
        </w:rPr>
        <w:t>Spracherkennung und Sprachausgabe:</w:t>
      </w:r>
      <w:r>
        <w:t xml:space="preserve"> Der eigene Whisper-Dienst („Caesar“) lässt sich im Land betreiben und ist der Standard. Der externe Dienst Soniox hat keine Region in Kasachstan (US, EU, Japan, Indien) und bleibt eine Zusatzoption, solange die Rechtslage für die Übermittlung der Audiodaten nicht geklärt ist.</w:t>
      </w:r>
    </w:p>
    <w:p>
      <w:pPr>
        <w:pStyle w:val="Listenabsatz"/>
        <w:spacing w:after="57"/>
        <w:ind w:left="425" w:hanging="283"/>
      </w:pPr>
      <w:r>
        <w:t>3.</w:t>
        <w:tab/>
      </w:r>
      <w:r>
        <w:rPr>
          <w:b/>
        </w:rPr>
        <w:t>KI-Assistent:</w:t>
      </w:r>
      <w:r>
        <w:t xml:space="preserve"> Externe Sprachmodelle bleiben außerhalb des Landes. Bevor Personendaten dorthin gehen, braucht es die Einwilligung der Person (Gesetz, Art. 16) oder ein Maskieren der Personendaten vor dem Aufruf. Das KI-Gesetz verlangt außerdem die Kennzeichnung, dass man mit KI spricht.</w:t>
      </w:r>
    </w:p>
    <w:p>
      <w:r>
        <w:t>Offen bleiben Dinge, die nur der Betreiber oder die Rechtsberatung klärt (Abschnitt 6).</w:t>
      </w:r>
    </w:p>
    <w:p>
      <w:pPr>
        <w:pStyle w:val="berschrift2"/>
      </w:pPr>
      <w:r>
        <w:rPr>
          <w:color w:val="F40E0E"/>
        </w:rPr>
        <w:t>2. Rechtlicher Rahmen</w:t>
      </w:r>
    </w:p>
    <w:p>
      <w:r>
        <w:t>Die Einstufung bedeutet: B belegt (Primärquelle gelesen), W wahrscheinlich (Fachquelle oder Spiegel des Gesetzestextes), U unsicher.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6"/>
        <w:gridCol w:w="4536"/>
      </w:tblGrid>
      <w:tr>
        <w:tc>
          <w:tcPr>
            <w:tcW w:type="dxa" w:w="4536"/>
            <w:shd w:val="clear" w:color="auto" w:fill="F40E0E"/>
          </w:tcPr>
          <w:p>
            <w:r>
              <w:rPr>
                <w:b/>
                <w:color w:val="FFFFFF"/>
              </w:rPr>
            </w:r>
            <w:r>
              <w:rPr>
                <w:b/>
                <w:color w:val="FFFFFF"/>
              </w:rPr>
              <w:t>Aussage</w:t>
            </w:r>
          </w:p>
        </w:tc>
        <w:tc>
          <w:tcPr>
            <w:tcW w:type="dxa" w:w="4536"/>
            <w:shd w:val="clear" w:color="auto" w:fill="F40E0E"/>
          </w:tcPr>
          <w:p>
            <w:r>
              <w:rPr>
                <w:b/>
                <w:color w:val="FFFFFF"/>
              </w:rPr>
            </w:r>
            <w:r>
              <w:rPr>
                <w:b/>
                <w:color w:val="FFFFFF"/>
              </w:rPr>
              <w:t>Stufe</w:t>
            </w:r>
          </w:p>
        </w:tc>
      </w:tr>
      <w:tr>
        <w:tc>
          <w:tcPr>
            <w:tcW w:type="dxa" w:w="4536"/>
          </w:tcPr>
          <w:p>
            <w:r/>
            <w:r>
              <w:t>Gesetz 94-V über personenbezogene Daten gilt weiter und wurde 2026 mehrfach geändert (231-VIII, 256-VIII, 326-VIII)</w:t>
            </w:r>
          </w:p>
        </w:tc>
        <w:tc>
          <w:tcPr>
            <w:tcW w:type="dxa" w:w="4536"/>
          </w:tcPr>
          <w:p>
            <w:r/>
            <w:r>
              <w:t>W</w:t>
            </w:r>
          </w:p>
        </w:tc>
      </w:tr>
      <w:tr>
        <w:tc>
          <w:tcPr>
            <w:tcW w:type="dxa" w:w="4536"/>
          </w:tcPr>
          <w:p>
            <w:r/>
            <w:r>
              <w:t>Art. 12 Abs. 2: Speicherung in einer Datenbank auf dem Gebiet Kasachstans, ohne Unterscheidung nach Staatsangehörigkeit</w:t>
            </w:r>
          </w:p>
        </w:tc>
        <w:tc>
          <w:tcPr>
            <w:tcW w:type="dxa" w:w="4536"/>
          </w:tcPr>
          <w:p>
            <w:r/>
            <w:r>
              <w:t>W</w:t>
            </w:r>
          </w:p>
        </w:tc>
      </w:tr>
      <w:tr>
        <w:tc>
          <w:tcPr>
            <w:tcW w:type="dxa" w:w="4536"/>
          </w:tcPr>
          <w:p>
            <w:r/>
            <w:r>
              <w:t>Regeln (Erlass 338/НҚ, ab 12.07.2026): Daten beschränkten Zugangs werden in Serverräumen im Land gespeichert</w:t>
            </w:r>
          </w:p>
        </w:tc>
        <w:tc>
          <w:tcPr>
            <w:tcW w:type="dxa" w:w="4536"/>
          </w:tcPr>
          <w:p>
            <w:r/>
            <w:r>
              <w:t>W</w:t>
            </w:r>
          </w:p>
        </w:tc>
      </w:tr>
      <w:tr>
        <w:tc>
          <w:tcPr>
            <w:tcW w:type="dxa" w:w="4536"/>
          </w:tcPr>
          <w:p>
            <w:r/>
            <w:r>
              <w:t>Das träfe auch Funktionen, die in Europa laufen (zum Beispiel Vercel in Dublin)</w:t>
            </w:r>
          </w:p>
        </w:tc>
        <w:tc>
          <w:tcPr>
            <w:tcW w:type="dxa" w:w="4536"/>
          </w:tcPr>
          <w:p>
            <w:r/>
            <w:r>
              <w:t>U (Auslegung)</w:t>
            </w:r>
          </w:p>
        </w:tc>
      </w:tr>
      <w:tr>
        <w:tc>
          <w:tcPr>
            <w:tcW w:type="dxa" w:w="4536"/>
          </w:tcPr>
          <w:p>
            <w:r/>
            <w:r>
              <w:t>Art. 16: Übermittlung ins Ausland nur bei angemessenem Schutz im Zielstaat, sonst Einwilligung oder Staatsvertrag; laut Erlass ab 01.10.2026 nur mit Einwilligung</w:t>
            </w:r>
          </w:p>
        </w:tc>
        <w:tc>
          <w:tcPr>
            <w:tcW w:type="dxa" w:w="4536"/>
          </w:tcPr>
          <w:p>
            <w:r/>
            <w:r>
              <w:t>W</w:t>
            </w:r>
          </w:p>
        </w:tc>
      </w:tr>
      <w:tr>
        <w:tc>
          <w:tcPr>
            <w:tcW w:type="dxa" w:w="4536"/>
          </w:tcPr>
          <w:p>
            <w:r/>
            <w:r>
              <w:t>Neu: Register der Verarbeiter und der Verstöße; Klassen klein (unter 10.000 Betroffene), mittel (bis 500.000), groß; bei Daten beschränkten Zugangs eine Stufe höher</w:t>
            </w:r>
          </w:p>
        </w:tc>
        <w:tc>
          <w:tcPr>
            <w:tcW w:type="dxa" w:w="4536"/>
          </w:tcPr>
          <w:p>
            <w:r/>
            <w:r>
              <w:t>W</w:t>
            </w:r>
          </w:p>
        </w:tc>
      </w:tr>
      <w:tr>
        <w:tc>
          <w:tcPr>
            <w:tcW w:type="dxa" w:w="4536"/>
          </w:tcPr>
          <w:p>
            <w:r/>
            <w:r>
              <w:t>Meldefrist bei Vorfällen: ein Arbeitstag (zakon.kz) gegen 72 Stunden (Kanzleiblog) gegen nicht genannt (Rödl, Baker McKenzie)</w:t>
            </w:r>
          </w:p>
        </w:tc>
        <w:tc>
          <w:tcPr>
            <w:tcW w:type="dxa" w:w="4536"/>
          </w:tcPr>
          <w:p>
            <w:r/>
            <w:r>
              <w:t>U</w:t>
            </w:r>
          </w:p>
        </w:tc>
      </w:tr>
      <w:tr>
        <w:tc>
          <w:tcPr>
            <w:tcW w:type="dxa" w:w="4536"/>
          </w:tcPr>
          <w:p>
            <w:r/>
            <w:r>
              <w:t>KoAP Art. 79 (seit 13.03.2025): für Kleinbetriebe 60 MRP (unrechtmäßige Erhebung) bis 750 MRP (fehlende Schutzmaßnahmen mit Datenverlust), bei MRP 4.325 KZT also 259.500 bis 3,24 Mio. KZT</w:t>
            </w:r>
          </w:p>
        </w:tc>
        <w:tc>
          <w:tcPr>
            <w:tcW w:type="dxa" w:w="4536"/>
          </w:tcPr>
          <w:p>
            <w:r/>
            <w:r>
              <w:t>W</w:t>
            </w:r>
          </w:p>
        </w:tc>
      </w:tr>
      <w:tr>
        <w:tc>
          <w:tcPr>
            <w:tcW w:type="dxa" w:w="4536"/>
          </w:tcPr>
          <w:p>
            <w:r/>
            <w:r>
              <w:t>Erntehelfer: Name samt Vatersname und ИИН sind Identifikatoren</w:t>
            </w:r>
          </w:p>
        </w:tc>
        <w:tc>
          <w:tcPr>
            <w:tcW w:type="dxa" w:w="4536"/>
          </w:tcPr>
          <w:p>
            <w:r/>
            <w:r>
              <w:t>W</w:t>
            </w:r>
          </w:p>
        </w:tc>
      </w:tr>
      <w:tr>
        <w:tc>
          <w:tcPr>
            <w:tcW w:type="dxa" w:w="4536"/>
          </w:tcPr>
          <w:p>
            <w:r/>
            <w:r>
              <w:t>Ein Erlassentwurf gegen die Speicherpflicht (AmCham, 15.05.2026) ist nicht verabschiedet</w:t>
            </w:r>
          </w:p>
        </w:tc>
        <w:tc>
          <w:tcPr>
            <w:tcW w:type="dxa" w:w="4536"/>
          </w:tcPr>
          <w:p>
            <w:r/>
            <w:r>
              <w:t>U</w:t>
            </w:r>
          </w:p>
        </w:tc>
      </w:tr>
      <w:tr>
        <w:tc>
          <w:tcPr>
            <w:tcW w:type="dxa" w:w="4536"/>
          </w:tcPr>
          <w:p>
            <w:r/>
            <w:r>
              <w:t>KI-Gesetz 230-VIII (in Kraft seit 18.01.2026): Nutzer erfahren, dass sie mit KI sprechen; synthetische Inhalte kennzeichnen; Emotionserkennung ohne Einwilligung verboten</w:t>
            </w:r>
          </w:p>
        </w:tc>
        <w:tc>
          <w:tcPr>
            <w:tcW w:type="dxa" w:w="4536"/>
          </w:tcPr>
          <w:p>
            <w:r/>
            <w:r>
              <w:t>W</w:t>
            </w:r>
          </w:p>
        </w:tc>
      </w:tr>
    </w:tbl>
    <w:p/>
    <w:p>
      <w:pPr>
        <w:pStyle w:val="berschrift2"/>
      </w:pPr>
      <w:r>
        <w:rPr>
          <w:color w:val="F40E0E"/>
        </w:rPr>
        <w:t>3. Die Dienste von Damicon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14"/>
        <w:gridCol w:w="1814"/>
        <w:gridCol w:w="1814"/>
        <w:gridCol w:w="1814"/>
        <w:gridCol w:w="1814"/>
      </w:tblGrid>
      <w:tr>
        <w:tc>
          <w:tcPr>
            <w:tcW w:type="dxa" w:w="1814"/>
            <w:shd w:val="clear" w:color="auto" w:fill="F40E0E"/>
          </w:tcPr>
          <w:p>
            <w:r>
              <w:rPr>
                <w:b/>
                <w:color w:val="FFFFFF"/>
              </w:rPr>
            </w:r>
            <w:r>
              <w:rPr>
                <w:b/>
                <w:color w:val="FFFFFF"/>
              </w:rPr>
              <w:t>Dienst</w:t>
            </w:r>
          </w:p>
        </w:tc>
        <w:tc>
          <w:tcPr>
            <w:tcW w:type="dxa" w:w="1814"/>
            <w:shd w:val="clear" w:color="auto" w:fill="F40E0E"/>
          </w:tcPr>
          <w:p>
            <w:r>
              <w:rPr>
                <w:b/>
                <w:color w:val="FFFFFF"/>
              </w:rPr>
            </w:r>
            <w:r>
              <w:rPr>
                <w:b/>
                <w:color w:val="FFFFFF"/>
              </w:rPr>
              <w:t>Zweck</w:t>
            </w:r>
          </w:p>
        </w:tc>
        <w:tc>
          <w:tcPr>
            <w:tcW w:type="dxa" w:w="1814"/>
            <w:shd w:val="clear" w:color="auto" w:fill="F40E0E"/>
          </w:tcPr>
          <w:p>
            <w:r>
              <w:rPr>
                <w:b/>
                <w:color w:val="FFFFFF"/>
              </w:rPr>
            </w:r>
            <w:r>
              <w:rPr>
                <w:b/>
                <w:color w:val="FFFFFF"/>
              </w:rPr>
              <w:t>Daten, die hingehen</w:t>
            </w:r>
          </w:p>
        </w:tc>
        <w:tc>
          <w:tcPr>
            <w:tcW w:type="dxa" w:w="1814"/>
            <w:shd w:val="clear" w:color="auto" w:fill="F40E0E"/>
          </w:tcPr>
          <w:p>
            <w:r>
              <w:rPr>
                <w:b/>
                <w:color w:val="FFFFFF"/>
              </w:rPr>
            </w:r>
            <w:r>
              <w:rPr>
                <w:b/>
                <w:color w:val="FFFFFF"/>
              </w:rPr>
              <w:t>Standort heute</w:t>
            </w:r>
          </w:p>
        </w:tc>
        <w:tc>
          <w:tcPr>
            <w:tcW w:type="dxa" w:w="1814"/>
            <w:shd w:val="clear" w:color="auto" w:fill="F40E0E"/>
          </w:tcPr>
          <w:p>
            <w:r>
              <w:rPr>
                <w:b/>
                <w:color w:val="FFFFFF"/>
              </w:rPr>
            </w:r>
            <w:r>
              <w:rPr>
                <w:b/>
                <w:color w:val="FFFFFF"/>
              </w:rPr>
              <w:t>Empfehlung</w:t>
            </w:r>
          </w:p>
        </w:tc>
      </w:tr>
      <w:tr>
        <w:tc>
          <w:tcPr>
            <w:tcW w:type="dxa" w:w="1814"/>
          </w:tcPr>
          <w:p>
            <w:r/>
            <w:r>
              <w:t>Datenbank (Supabase)</w:t>
            </w:r>
          </w:p>
        </w:tc>
        <w:tc>
          <w:tcPr>
            <w:tcW w:type="dxa" w:w="1814"/>
          </w:tcPr>
          <w:p>
            <w:r/>
            <w:r>
              <w:t>Alle Betriebsdaten, Konten, Dokumente</w:t>
            </w:r>
          </w:p>
        </w:tc>
        <w:tc>
          <w:tcPr>
            <w:tcW w:type="dxa" w:w="1814"/>
          </w:tcPr>
          <w:p>
            <w:r/>
            <w:r>
              <w:t>Personen, Löhne, Ausweisnummern</w:t>
            </w:r>
          </w:p>
        </w:tc>
        <w:tc>
          <w:tcPr>
            <w:tcW w:type="dxa" w:w="1814"/>
          </w:tcPr>
          <w:p>
            <w:r/>
            <w:r>
              <w:t>Supabase Cloud (Ausland)</w:t>
            </w:r>
          </w:p>
        </w:tc>
        <w:tc>
          <w:tcPr>
            <w:tcW w:type="dxa" w:w="1814"/>
          </w:tcPr>
          <w:p>
            <w:r/>
            <w:r>
              <w:t>Umzug nach Kasachstan, Selbstbetrieb</w:t>
            </w:r>
          </w:p>
        </w:tc>
      </w:tr>
      <w:tr>
        <w:tc>
          <w:tcPr>
            <w:tcW w:type="dxa" w:w="1814"/>
          </w:tcPr>
          <w:p>
            <w:r/>
            <w:r>
              <w:t>Anwendung (Vercel)</w:t>
            </w:r>
          </w:p>
        </w:tc>
        <w:tc>
          <w:tcPr>
            <w:tcW w:type="dxa" w:w="1814"/>
          </w:tcPr>
          <w:p>
            <w:r/>
            <w:r>
              <w:t>Oberfläche und Server-Funktionen</w:t>
            </w:r>
          </w:p>
        </w:tc>
        <w:tc>
          <w:tcPr>
            <w:tcW w:type="dxa" w:w="1814"/>
          </w:tcPr>
          <w:p>
            <w:r/>
            <w:r>
              <w:t>durchlaufend alle Daten</w:t>
            </w:r>
          </w:p>
        </w:tc>
        <w:tc>
          <w:tcPr>
            <w:tcW w:type="dxa" w:w="1814"/>
          </w:tcPr>
          <w:p>
            <w:r/>
            <w:r>
              <w:t>Dublin</w:t>
            </w:r>
          </w:p>
        </w:tc>
        <w:tc>
          <w:tcPr>
            <w:tcW w:type="dxa" w:w="1814"/>
          </w:tcPr>
          <w:p>
            <w:r/>
            <w:r>
              <w:t>Mit der Datenbank ins Land</w:t>
            </w:r>
          </w:p>
        </w:tc>
      </w:tr>
      <w:tr>
        <w:tc>
          <w:tcPr>
            <w:tcW w:type="dxa" w:w="1814"/>
          </w:tcPr>
          <w:p>
            <w:r/>
            <w:r>
              <w:t>Dokumentenablage (Storage)</w:t>
            </w:r>
          </w:p>
        </w:tc>
        <w:tc>
          <w:tcPr>
            <w:tcW w:type="dxa" w:w="1814"/>
          </w:tcPr>
          <w:p>
            <w:r/>
            <w:r>
              <w:t>Belege, Fotos, Originale der Wissensbasis</w:t>
            </w:r>
          </w:p>
        </w:tc>
        <w:tc>
          <w:tcPr>
            <w:tcW w:type="dxa" w:w="1814"/>
          </w:tcPr>
          <w:p>
            <w:r/>
            <w:r>
              <w:t>Dokumente, teils mit Personen</w:t>
            </w:r>
          </w:p>
        </w:tc>
        <w:tc>
          <w:tcPr>
            <w:tcW w:type="dxa" w:w="1814"/>
          </w:tcPr>
          <w:p>
            <w:r/>
            <w:r>
              <w:t>Supabase Cloud</w:t>
            </w:r>
          </w:p>
        </w:tc>
        <w:tc>
          <w:tcPr>
            <w:tcW w:type="dxa" w:w="1814"/>
          </w:tcPr>
          <w:p>
            <w:r/>
            <w:r>
              <w:t>Mit der Datenbank ins Land</w:t>
            </w:r>
          </w:p>
        </w:tc>
      </w:tr>
      <w:tr>
        <w:tc>
          <w:tcPr>
            <w:tcW w:type="dxa" w:w="1814"/>
          </w:tcPr>
          <w:p>
            <w:r/>
            <w:r>
              <w:t>Spracherkennung, eigene (Whisper, „Caesar“)</w:t>
            </w:r>
          </w:p>
        </w:tc>
        <w:tc>
          <w:tcPr>
            <w:tcW w:type="dxa" w:w="1814"/>
          </w:tcPr>
          <w:p>
            <w:r/>
            <w:r>
              <w:t>Diktat im Feld</w:t>
            </w:r>
          </w:p>
        </w:tc>
        <w:tc>
          <w:tcPr>
            <w:tcW w:type="dxa" w:w="1814"/>
          </w:tcPr>
          <w:p>
            <w:r/>
            <w:r>
              <w:t>Audio</w:t>
            </w:r>
          </w:p>
        </w:tc>
        <w:tc>
          <w:tcPr>
            <w:tcW w:type="dxa" w:w="1814"/>
          </w:tcPr>
          <w:p>
            <w:r/>
            <w:r>
              <w:t>eigener Dienst</w:t>
            </w:r>
          </w:p>
        </w:tc>
        <w:tc>
          <w:tcPr>
            <w:tcW w:type="dxa" w:w="1814"/>
          </w:tcPr>
          <w:p>
            <w:r/>
            <w:r>
              <w:t>Standard, im Land betreiben</w:t>
            </w:r>
          </w:p>
        </w:tc>
      </w:tr>
      <w:tr>
        <w:tc>
          <w:tcPr>
            <w:tcW w:type="dxa" w:w="1814"/>
          </w:tcPr>
          <w:p>
            <w:r/>
            <w:r>
              <w:t>Spracherkennung und Sprachausgabe, extern (Soniox)</w:t>
            </w:r>
          </w:p>
        </w:tc>
        <w:tc>
          <w:tcPr>
            <w:tcW w:type="dxa" w:w="1814"/>
          </w:tcPr>
          <w:p>
            <w:r/>
            <w:r>
              <w:t>Diktat mit Kasachisch in Echtzeit, Vorlesen</w:t>
            </w:r>
          </w:p>
        </w:tc>
        <w:tc>
          <w:tcPr>
            <w:tcW w:type="dxa" w:w="1814"/>
          </w:tcPr>
          <w:p>
            <w:r/>
            <w:r>
              <w:t>Audio, Text</w:t>
            </w:r>
          </w:p>
        </w:tc>
        <w:tc>
          <w:tcPr>
            <w:tcW w:type="dxa" w:w="1814"/>
          </w:tcPr>
          <w:p>
            <w:r/>
            <w:r>
              <w:t>US, EU, Japan, Indien</w:t>
            </w:r>
          </w:p>
        </w:tc>
        <w:tc>
          <w:tcPr>
            <w:tcW w:type="dxa" w:w="1814"/>
          </w:tcPr>
          <w:p>
            <w:r/>
            <w:r>
              <w:t>Zusatzoption, nur nach Klärung oder mit Einwilligung</w:t>
            </w:r>
          </w:p>
        </w:tc>
      </w:tr>
      <w:tr>
        <w:tc>
          <w:tcPr>
            <w:tcW w:type="dxa" w:w="1814"/>
          </w:tcPr>
          <w:p>
            <w:r/>
            <w:r>
              <w:t>Sprachmodelle des Assistenten (je nach Anbieter)</w:t>
            </w:r>
          </w:p>
        </w:tc>
        <w:tc>
          <w:tcPr>
            <w:tcW w:type="dxa" w:w="1814"/>
          </w:tcPr>
          <w:p>
            <w:r/>
            <w:r>
              <w:t>Fragen und Zusammenfassungen</w:t>
            </w:r>
          </w:p>
        </w:tc>
        <w:tc>
          <w:tcPr>
            <w:tcW w:type="dxa" w:w="1814"/>
          </w:tcPr>
          <w:p>
            <w:r/>
            <w:r>
              <w:t>Texte der Anfrage, Auszüge der Wissensbasis</w:t>
            </w:r>
          </w:p>
        </w:tc>
        <w:tc>
          <w:tcPr>
            <w:tcW w:type="dxa" w:w="1814"/>
          </w:tcPr>
          <w:p>
            <w:r/>
            <w:r>
              <w:t>Ausland</w:t>
            </w:r>
          </w:p>
        </w:tc>
        <w:tc>
          <w:tcPr>
            <w:tcW w:type="dxa" w:w="1814"/>
          </w:tcPr>
          <w:p>
            <w:r/>
            <w:r>
              <w:t>Einwilligung oder Maskieren der Personendaten; Kennzeichnung als KI</w:t>
            </w:r>
          </w:p>
        </w:tc>
      </w:tr>
      <w:tr>
        <w:tc>
          <w:tcPr>
            <w:tcW w:type="dxa" w:w="1814"/>
          </w:tcPr>
          <w:p>
            <w:r/>
            <w:r>
              <w:t>Einbettungen der Wissensbasis (eigener Dienst)</w:t>
            </w:r>
          </w:p>
        </w:tc>
        <w:tc>
          <w:tcPr>
            <w:tcW w:type="dxa" w:w="1814"/>
          </w:tcPr>
          <w:p>
            <w:r/>
            <w:r>
              <w:t>Suche in Dokumenten</w:t>
            </w:r>
          </w:p>
        </w:tc>
        <w:tc>
          <w:tcPr>
            <w:tcW w:type="dxa" w:w="1814"/>
          </w:tcPr>
          <w:p>
            <w:r/>
            <w:r>
              <w:t>Texte der Wissensbasis</w:t>
            </w:r>
          </w:p>
        </w:tc>
        <w:tc>
          <w:tcPr>
            <w:tcW w:type="dxa" w:w="1814"/>
          </w:tcPr>
          <w:p>
            <w:r/>
            <w:r>
              <w:t>eigener Dienst</w:t>
            </w:r>
          </w:p>
        </w:tc>
        <w:tc>
          <w:tcPr>
            <w:tcW w:type="dxa" w:w="1814"/>
          </w:tcPr>
          <w:p>
            <w:r/>
            <w:r>
              <w:t>Im Land betreiben</w:t>
            </w:r>
          </w:p>
        </w:tc>
      </w:tr>
      <w:tr>
        <w:tc>
          <w:tcPr>
            <w:tcW w:type="dxa" w:w="1814"/>
          </w:tcPr>
          <w:p>
            <w:r/>
            <w:r>
              <w:t>Routen und Adresssuche (OSRM, Nominatim)</w:t>
            </w:r>
          </w:p>
        </w:tc>
        <w:tc>
          <w:tcPr>
            <w:tcW w:type="dxa" w:w="1814"/>
          </w:tcPr>
          <w:p>
            <w:r/>
            <w:r>
              <w:t>Abholrunden</w:t>
            </w:r>
          </w:p>
        </w:tc>
        <w:tc>
          <w:tcPr>
            <w:tcW w:type="dxa" w:w="1814"/>
          </w:tcPr>
          <w:p>
            <w:r/>
            <w:r>
              <w:t>Anschriften der Nachbarbetriebe</w:t>
            </w:r>
          </w:p>
        </w:tc>
        <w:tc>
          <w:tcPr>
            <w:tcW w:type="dxa" w:w="1814"/>
          </w:tcPr>
          <w:p>
            <w:r/>
            <w:r>
              <w:t>öffentliche Dienste</w:t>
            </w:r>
          </w:p>
        </w:tc>
        <w:tc>
          <w:tcPr>
            <w:tcW w:type="dxa" w:w="1814"/>
          </w:tcPr>
          <w:p>
            <w:r/>
            <w:r>
              <w:t>Grenze je Person (eingeführt), später eigener Dienst mit Kasachstan-Karte</w:t>
            </w:r>
          </w:p>
        </w:tc>
      </w:tr>
      <w:tr>
        <w:tc>
          <w:tcPr>
            <w:tcW w:type="dxa" w:w="1814"/>
          </w:tcPr>
          <w:p>
            <w:r/>
            <w:r>
              <w:t>Wetter (Open-Meteo)</w:t>
            </w:r>
          </w:p>
        </w:tc>
        <w:tc>
          <w:tcPr>
            <w:tcW w:type="dxa" w:w="1814"/>
          </w:tcPr>
          <w:p>
            <w:r/>
            <w:r>
              <w:t>Temperatursumme, Erntefenster</w:t>
            </w:r>
          </w:p>
        </w:tc>
        <w:tc>
          <w:tcPr>
            <w:tcW w:type="dxa" w:w="1814"/>
          </w:tcPr>
          <w:p>
            <w:r/>
            <w:r>
              <w:t>nur Koordinaten des Betriebs</w:t>
            </w:r>
          </w:p>
        </w:tc>
        <w:tc>
          <w:tcPr>
            <w:tcW w:type="dxa" w:w="1814"/>
          </w:tcPr>
          <w:p>
            <w:r/>
            <w:r>
              <w:t>öffentlich</w:t>
            </w:r>
          </w:p>
        </w:tc>
        <w:tc>
          <w:tcPr>
            <w:tcW w:type="dxa" w:w="1814"/>
          </w:tcPr>
          <w:p>
            <w:r/>
            <w:r>
              <w:t>unkritisch, keine Personendaten</w:t>
            </w:r>
          </w:p>
        </w:tc>
      </w:tr>
    </w:tbl>
    <w:p/>
    <w:p>
      <w:pPr>
        <w:pStyle w:val="berschrift2"/>
      </w:pPr>
      <w:r>
        <w:rPr>
          <w:color w:val="F40E0E"/>
        </w:rPr>
        <w:t>4. Anbieter in Kasachstan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3024"/>
        <w:gridCol w:w="3024"/>
      </w:tblGrid>
      <w:tr>
        <w:tc>
          <w:tcPr>
            <w:tcW w:type="dxa" w:w="3024"/>
            <w:shd w:val="clear" w:color="auto" w:fill="F40E0E"/>
          </w:tcPr>
          <w:p>
            <w:r>
              <w:rPr>
                <w:b/>
                <w:color w:val="FFFFFF"/>
              </w:rPr>
            </w:r>
            <w:r>
              <w:rPr>
                <w:b/>
                <w:color w:val="FFFFFF"/>
              </w:rPr>
              <w:t>Anbieter</w:t>
            </w:r>
          </w:p>
        </w:tc>
        <w:tc>
          <w:tcPr>
            <w:tcW w:type="dxa" w:w="3024"/>
            <w:shd w:val="clear" w:color="auto" w:fill="F40E0E"/>
          </w:tcPr>
          <w:p>
            <w:r>
              <w:rPr>
                <w:b/>
                <w:color w:val="FFFFFF"/>
              </w:rPr>
            </w:r>
            <w:r>
              <w:rPr>
                <w:b/>
                <w:color w:val="FFFFFF"/>
              </w:rPr>
              <w:t>Was belegt ist</w:t>
            </w:r>
          </w:p>
        </w:tc>
        <w:tc>
          <w:tcPr>
            <w:tcW w:type="dxa" w:w="3024"/>
            <w:shd w:val="clear" w:color="auto" w:fill="F40E0E"/>
          </w:tcPr>
          <w:p>
            <w:r>
              <w:rPr>
                <w:b/>
                <w:color w:val="FFFFFF"/>
              </w:rPr>
            </w:r>
            <w:r>
              <w:rPr>
                <w:b/>
                <w:color w:val="FFFFFF"/>
              </w:rPr>
              <w:t>Stufe</w:t>
            </w:r>
          </w:p>
        </w:tc>
      </w:tr>
      <w:tr>
        <w:tc>
          <w:tcPr>
            <w:tcW w:type="dxa" w:w="3024"/>
          </w:tcPr>
          <w:p>
            <w:r/>
            <w:r>
              <w:t>Yandex Cloud, Region kz1 (Karaganda)</w:t>
            </w:r>
          </w:p>
        </w:tc>
        <w:tc>
          <w:tcPr>
            <w:tcW w:type="dxa" w:w="3024"/>
          </w:tcPr>
          <w:p>
            <w:r/>
            <w:r>
              <w:t>Rechenzentrum im Land, Managed PostgreSQL dokumentiert, nur Zone kz1-a</w:t>
            </w:r>
          </w:p>
        </w:tc>
        <w:tc>
          <w:tcPr>
            <w:tcW w:type="dxa" w:w="3024"/>
          </w:tcPr>
          <w:p>
            <w:r/>
            <w:r>
              <w:t>W</w:t>
            </w:r>
          </w:p>
        </w:tc>
      </w:tr>
      <w:tr>
        <w:tc>
          <w:tcPr>
            <w:tcW w:type="dxa" w:w="3024"/>
          </w:tcPr>
          <w:p>
            <w:r/>
            <w:r>
              <w:t>PS.kz, Kazteleport, Kazakhtelecom, Serverspace</w:t>
            </w:r>
          </w:p>
        </w:tc>
        <w:tc>
          <w:tcPr>
            <w:tcW w:type="dxa" w:w="3024"/>
          </w:tcPr>
          <w:p>
            <w:r/>
            <w:r>
              <w:t>Rechenzentren in Almaty oder Astana, Datenbank als Dienst nicht bestätigt</w:t>
            </w:r>
          </w:p>
        </w:tc>
        <w:tc>
          <w:tcPr>
            <w:tcW w:type="dxa" w:w="3024"/>
          </w:tcPr>
          <w:p>
            <w:r/>
            <w:r>
              <w:t>U</w:t>
            </w:r>
          </w:p>
        </w:tc>
      </w:tr>
      <w:tr>
        <w:tc>
          <w:tcPr>
            <w:tcW w:type="dxa" w:w="3024"/>
          </w:tcPr>
          <w:p>
            <w:r/>
            <w:r>
              <w:t>Beeline Hyper Cloud</w:t>
            </w:r>
          </w:p>
        </w:tc>
        <w:tc>
          <w:tcPr>
            <w:tcW w:type="dxa" w:w="3024"/>
          </w:tcPr>
          <w:p>
            <w:r/>
            <w:r>
              <w:t>im Bau, Start Ende 2026</w:t>
            </w:r>
          </w:p>
        </w:tc>
        <w:tc>
          <w:tcPr>
            <w:tcW w:type="dxa" w:w="3024"/>
          </w:tcPr>
          <w:p>
            <w:r/>
            <w:r>
              <w:t>W</w:t>
            </w:r>
          </w:p>
        </w:tc>
      </w:tr>
      <w:tr>
        <w:tc>
          <w:tcPr>
            <w:tcW w:type="dxa" w:w="3024"/>
          </w:tcPr>
          <w:p>
            <w:r/>
            <w:r>
              <w:t>AWS, Azure, Google Cloud</w:t>
            </w:r>
          </w:p>
        </w:tc>
        <w:tc>
          <w:tcPr>
            <w:tcW w:type="dxa" w:w="3024"/>
          </w:tcPr>
          <w:p>
            <w:r/>
            <w:r>
              <w:t>keine Region im Land gefunden</w:t>
            </w:r>
          </w:p>
        </w:tc>
        <w:tc>
          <w:tcPr>
            <w:tcW w:type="dxa" w:w="3024"/>
          </w:tcPr>
          <w:p>
            <w:r/>
            <w:r>
              <w:t>U</w:t>
            </w:r>
          </w:p>
        </w:tc>
      </w:tr>
      <w:tr>
        <w:tc>
          <w:tcPr>
            <w:tcW w:type="dxa" w:w="3024"/>
          </w:tcPr>
          <w:p>
            <w:r/>
            <w:r>
              <w:t>Supabase Cloud</w:t>
            </w:r>
          </w:p>
        </w:tc>
        <w:tc>
          <w:tcPr>
            <w:tcW w:type="dxa" w:w="3024"/>
          </w:tcPr>
          <w:p>
            <w:r/>
            <w:r>
              <w:t>keine Region im Land; nächste Regionen Frankfurt und Mumbai</w:t>
            </w:r>
          </w:p>
        </w:tc>
        <w:tc>
          <w:tcPr>
            <w:tcW w:type="dxa" w:w="3024"/>
          </w:tcPr>
          <w:p>
            <w:r/>
            <w:r>
              <w:t>B</w:t>
            </w:r>
          </w:p>
        </w:tc>
      </w:tr>
      <w:tr>
        <w:tc>
          <w:tcPr>
            <w:tcW w:type="dxa" w:w="3024"/>
          </w:tcPr>
          <w:p>
            <w:r/>
            <w:r>
              <w:t>Supabase selbst betrieben (Docker)</w:t>
            </w:r>
          </w:p>
        </w:tc>
        <w:tc>
          <w:tcPr>
            <w:tcW w:type="dxa" w:w="3024"/>
          </w:tcPr>
          <w:p>
            <w:r/>
            <w:r>
              <w:t>läuft auf jeder virtuellen Maschine, die Anwendung ist darauf vorbereitet (lokaler Stack in der Entwicklung)</w:t>
            </w:r>
          </w:p>
        </w:tc>
        <w:tc>
          <w:tcPr>
            <w:tcW w:type="dxa" w:w="3024"/>
          </w:tcPr>
          <w:p>
            <w:r/>
            <w:r>
              <w:t>W</w:t>
            </w:r>
          </w:p>
        </w:tc>
      </w:tr>
    </w:tbl>
    <w:p/>
    <w:p>
      <w:r>
        <w:rPr>
          <w:b/>
        </w:rPr>
        <w:t>Empfehlung:</w:t>
      </w:r>
      <w:r>
        <w:t xml:space="preserve"> Eine virtuelle Maschine bei einem Anbieter im Land mit dem selbst betriebenen Supabase-Stack und der Anwendung (Next.js als eigener Prozess hinter einem Reverse-Proxy). Beim Anbieter ist zuerst zu prüfen: Rechenzentrum im Land belegt, Sicherungen im Land, Zugriffsprotokoll, Vertrag zur Auftragsverarbeitung.</w:t>
      </w:r>
    </w:p>
    <w:p>
      <w:pPr>
        <w:pStyle w:val="berschrift2"/>
      </w:pPr>
      <w:r>
        <w:rPr>
          <w:color w:val="F40E0E"/>
        </w:rPr>
        <w:t>5. Umzugsplan</w:t>
      </w:r>
    </w:p>
    <w:p>
      <w:pPr>
        <w:pStyle w:val="Listenabsatz"/>
        <w:spacing w:after="57"/>
        <w:ind w:left="425" w:hanging="283"/>
      </w:pPr>
      <w:r>
        <w:t>1.</w:t>
        <w:tab/>
      </w:r>
      <w:r>
        <w:rPr>
          <w:b/>
        </w:rPr>
        <w:t>Vorbereiten:</w:t>
      </w:r>
      <w:r>
        <w:t xml:space="preserve"> Anbieter wählen, Maschine einrichten, Supabase-Stack und Anwendung aufbauen, Schlüssel und Geheimnisse neu erzeugen. Die Verschlüsselung der Anbieterschlüssel (KI_ANBIETER_SCHLUESSEL) bleibt erhalten oder wird mit Umschlüsselung gewechselt.</w:t>
      </w:r>
    </w:p>
    <w:p>
      <w:pPr>
        <w:pStyle w:val="Listenabsatz"/>
        <w:spacing w:after="57"/>
        <w:ind w:left="425" w:hanging="283"/>
      </w:pPr>
      <w:r>
        <w:t>2.</w:t>
        <w:tab/>
      </w:r>
      <w:r>
        <w:rPr>
          <w:b/>
        </w:rPr>
        <w:t>Probebetrieb:</w:t>
      </w:r>
      <w:r>
        <w:t xml:space="preserve"> Mindestens 14 Tage mit Kopie der Daten. Prüfung der Migrationsfolge, der Zugänge, der Laufzeiten der Spracherkennung und der Cron-Aufrufe (Auslieferung der Warteschlange).</w:t>
      </w:r>
    </w:p>
    <w:p>
      <w:pPr>
        <w:pStyle w:val="Listenabsatz"/>
        <w:spacing w:after="57"/>
        <w:ind w:left="425" w:hanging="283"/>
      </w:pPr>
      <w:r>
        <w:t>3.</w:t>
        <w:tab/>
      </w:r>
      <w:r>
        <w:rPr>
          <w:b/>
        </w:rPr>
        <w:t>Stichtag:</w:t>
      </w:r>
      <w:r>
        <w:t xml:space="preserve"> Schreibsperre auf der alten Datenbank, Dump und Wiederherstellung, Prüfsummen je Tabelle, Umschalten der Adresse. Rückfallweg: alte Datenbank bleibt unverändert und lesbar, bis die erste Woche im Betrieb bestanden ist.</w:t>
      </w:r>
    </w:p>
    <w:p>
      <w:pPr>
        <w:pStyle w:val="Listenabsatz"/>
        <w:spacing w:after="57"/>
        <w:ind w:left="425" w:hanging="283"/>
      </w:pPr>
      <w:r>
        <w:t>4.</w:t>
        <w:tab/>
      </w:r>
      <w:r>
        <w:rPr>
          <w:b/>
        </w:rPr>
        <w:t>Danach:</w:t>
      </w:r>
      <w:r>
        <w:t xml:space="preserve"> Löschen der Daten im Ausland nach Frist und Nachweis, Eintrag im Register der Verarbeiter (Betreiber).</w:t>
      </w:r>
    </w:p>
    <w:p>
      <w:pPr>
        <w:pStyle w:val="Listenabsatz"/>
        <w:spacing w:after="57"/>
        <w:ind w:left="425" w:hanging="283"/>
      </w:pPr>
      <w:r>
        <w:t>5.</w:t>
        <w:tab/>
      </w:r>
      <w:r>
        <w:rPr>
          <w:b/>
        </w:rPr>
        <w:t>Hypercare</w:t>
      </w:r>
      <w:r>
        <w:t xml:space="preserve"> beginnt erst nach bestandenem Probebetrieb (siehe Hypercare-Plan).</w:t>
      </w:r>
    </w:p>
    <w:p>
      <w:pPr>
        <w:pStyle w:val="berschrift2"/>
      </w:pPr>
      <w:r>
        <w:rPr>
          <w:color w:val="F40E0E"/>
        </w:rPr>
        <w:t>6. Offene Punkte, die nur der Betreiber oder die Rechtsberatung klärt</w:t>
      </w:r>
    </w:p>
    <w:p>
      <w:pPr>
        <w:pStyle w:val="Listenabsatz"/>
        <w:spacing w:after="57"/>
        <w:ind w:left="425" w:hanging="283"/>
      </w:pPr>
      <w:r>
        <w:t>•</w:t>
        <w:tab/>
      </w:r>
      <w:r>
        <w:t>Gelten die Daten der Erntehelfer als Daten beschränkten Zugangs? Davon hängt die Pflicht zur Speicherung im Land ab.</w:t>
      </w:r>
    </w:p>
    <w:p>
      <w:pPr>
        <w:pStyle w:val="Listenabsatz"/>
        <w:spacing w:after="57"/>
        <w:ind w:left="425" w:hanging="283"/>
      </w:pPr>
      <w:r>
        <w:t>•</w:t>
        <w:tab/>
      </w:r>
      <w:r>
        <w:t>Zu welcher Klasse (klein, mittel, groß) zählt der Betrieb, und was ist in das Register der Verarbeiter einzutragen?</w:t>
      </w:r>
    </w:p>
    <w:p>
      <w:pPr>
        <w:pStyle w:val="Listenabsatz"/>
        <w:spacing w:after="57"/>
        <w:ind w:left="425" w:hanging="283"/>
      </w:pPr>
      <w:r>
        <w:t>•</w:t>
        <w:tab/>
      </w:r>
      <w:r>
        <w:t>Welche Meldefrist gilt bei Vorfällen (ein Arbeitstag oder 72 Stunden)?</w:t>
      </w:r>
    </w:p>
    <w:p>
      <w:pPr>
        <w:pStyle w:val="Listenabsatz"/>
        <w:spacing w:after="57"/>
        <w:ind w:left="425" w:hanging="283"/>
      </w:pPr>
      <w:r>
        <w:t>•</w:t>
        <w:tab/>
      </w:r>
      <w:r>
        <w:t>Gibt es Übergangsfristen für die Bußgelder des KoAP Art. 79?</w:t>
      </w:r>
    </w:p>
    <w:p>
      <w:pPr>
        <w:pStyle w:val="Listenabsatz"/>
        <w:spacing w:after="57"/>
        <w:ind w:left="425" w:hanging="283"/>
      </w:pPr>
      <w:r>
        <w:t>•</w:t>
        <w:tab/>
      </w:r>
      <w:r>
        <w:t>Darf Audio an Soniox (Ausland) gehen, und mit welcher Einwilligung? Bis dahin ist der eigene Dienst der Standard.</w:t>
      </w:r>
    </w:p>
    <w:p>
      <w:pPr>
        <w:pStyle w:val="Listenabsatz"/>
        <w:spacing w:after="57"/>
        <w:ind w:left="425" w:hanging="283"/>
      </w:pPr>
      <w:r>
        <w:t>•</w:t>
        <w:tab/>
      </w:r>
      <w:r>
        <w:t>Welches Sprachmodell ist für den Assistenten zugelassen, und werden Personendaten vorher maskiert?</w:t>
      </w:r>
    </w:p>
    <w:p>
      <w:pPr>
        <w:pStyle w:val="berschrift2"/>
      </w:pPr>
      <w:r>
        <w:rPr>
          <w:color w:val="F40E0E"/>
        </w:rPr>
        <w:t>7. Quellen</w:t>
      </w:r>
    </w:p>
    <w:p>
      <w:r>
        <w:t>Alle abgerufen am 15.10.2026.</w:t>
      </w:r>
    </w:p>
    <w:p>
      <w:pPr>
        <w:pStyle w:val="Listenabsatz"/>
        <w:spacing w:after="57"/>
        <w:ind w:left="425" w:hanging="283"/>
      </w:pPr>
      <w:r>
        <w:t>•</w:t>
        <w:tab/>
      </w:r>
      <w:r>
        <w:t>Datenschutzgesetz: https://kodeksy-kz.com/ka/o_personalnyh_dannyh_i_ih_zawite/12.htm</w:t>
      </w:r>
    </w:p>
    <w:p>
      <w:pPr>
        <w:pStyle w:val="Listenabsatz"/>
        <w:spacing w:after="57"/>
        <w:ind w:left="425" w:hanging="283"/>
      </w:pPr>
      <w:r>
        <w:t>•</w:t>
        <w:tab/>
      </w:r>
      <w:r>
        <w:t>Regeln zum Schutz personenbezogener Daten: https://zakon.kz/pravo/6523127-obnovleny-pravila-zashchity-personalnykh-dannykh.html</w:t>
      </w:r>
    </w:p>
    <w:p>
      <w:pPr>
        <w:pStyle w:val="Listenabsatz"/>
        <w:spacing w:after="57"/>
        <w:ind w:left="425" w:hanging="283"/>
      </w:pPr>
      <w:r>
        <w:t>•</w:t>
        <w:tab/>
      </w:r>
      <w:r>
        <w:t>Änderungen und Register: https://www.roedl.com/en/insights/kazakhstan-personal-data-regulation/</w:t>
      </w:r>
    </w:p>
    <w:p>
      <w:pPr>
        <w:pStyle w:val="Listenabsatz"/>
        <w:spacing w:after="57"/>
        <w:ind w:left="425" w:hanging="283"/>
      </w:pPr>
      <w:r>
        <w:t>•</w:t>
        <w:tab/>
      </w:r>
      <w:r>
        <w:t>Datenlokalisierung (AmCham): https://amcham.kz/wp-content/uploads/2026/05/2026-05-15_AmCham_DataLocalization_Issue-Brief_ENG_v5.pdf</w:t>
      </w:r>
    </w:p>
    <w:p>
      <w:pPr>
        <w:pStyle w:val="Listenabsatz"/>
        <w:spacing w:after="57"/>
        <w:ind w:left="425" w:hanging="283"/>
      </w:pPr>
      <w:r>
        <w:t>•</w:t>
        <w:tab/>
      </w:r>
      <w:r>
        <w:t>Bußgelder KoAP Art. 79: https://kodeksy-kz.com/ka/ob_administrativnyh_pravonarusheniyah/79.htm</w:t>
      </w:r>
    </w:p>
    <w:p>
      <w:pPr>
        <w:pStyle w:val="Listenabsatz"/>
        <w:spacing w:after="57"/>
        <w:ind w:left="425" w:hanging="283"/>
      </w:pPr>
      <w:r>
        <w:t>•</w:t>
        <w:tab/>
      </w:r>
      <w:r>
        <w:t>Yandex Cloud Regionen: https://yandex.cloud/ru-kz/docs/overview/concepts/region</w:t>
      </w:r>
    </w:p>
    <w:p>
      <w:pPr>
        <w:pStyle w:val="Listenabsatz"/>
        <w:spacing w:after="57"/>
        <w:ind w:left="425" w:hanging="283"/>
      </w:pPr>
      <w:r>
        <w:t>•</w:t>
        <w:tab/>
      </w:r>
      <w:r>
        <w:t>Supabase Regionen: https://supabase.com/docs/guides/platform/regions</w:t>
      </w:r>
    </w:p>
    <w:p>
      <w:pPr>
        <w:pStyle w:val="Listenabsatz"/>
        <w:spacing w:after="57"/>
        <w:ind w:left="425" w:hanging="283"/>
      </w:pPr>
      <w:r>
        <w:t>•</w:t>
        <w:tab/>
      </w:r>
      <w:r>
        <w:t>Supabase Selbstbetrieb: https://supabase.com/docs/guides/self-hosting</w:t>
      </w:r>
    </w:p>
    <w:p>
      <w:pPr>
        <w:pStyle w:val="Listenabsatz"/>
        <w:spacing w:after="57"/>
        <w:ind w:left="425" w:hanging="283"/>
      </w:pPr>
      <w:r>
        <w:t>•</w:t>
        <w:tab/>
      </w:r>
      <w:r>
        <w:t>Soniox Kasachisch: https://soniox.com/speech-to-text/kazakh</w:t>
      </w:r>
    </w:p>
    <w:p>
      <w:pPr>
        <w:pStyle w:val="Listenabsatz"/>
        <w:spacing w:after="57"/>
        <w:ind w:left="425" w:hanging="283"/>
      </w:pPr>
      <w:r>
        <w:t>•</w:t>
        <w:tab/>
      </w:r>
      <w:r>
        <w:t>KI-Gesetz: https://www.ey.com/ru_kz/technical/tax-alerts/2025/12/law-on-artificial-intelligence-kazakhstan</w:t>
      </w:r>
    </w:p>
    <w:sectPr w:rsidR="00661890" w:rsidRPr="00F6665C">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ED51" w14:textId="77777777" w:rsidR="008E6DB0" w:rsidRDefault="008E6DB0" w:rsidP="00912A8D">
      <w:pPr>
        <w:spacing w:after="0" w:line="240" w:lineRule="auto"/>
      </w:pPr>
      <w:r>
        <w:separator/>
      </w:r>
    </w:p>
  </w:endnote>
  <w:endnote w:type="continuationSeparator" w:id="0">
    <w:p w14:paraId="64215FC8" w14:textId="77777777" w:rsidR="008E6DB0" w:rsidRDefault="008E6DB0" w:rsidP="00912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20"/>
        <w:szCs w:val="20"/>
      </w:rPr>
      <w:id w:val="2035843920"/>
      <w:docPartObj>
        <w:docPartGallery w:val="Page Numbers (Bottom of Page)"/>
        <w:docPartUnique/>
      </w:docPartObj>
    </w:sdtPr>
    <w:sdtContent>
      <w:p w14:paraId="31206C8D" w14:textId="77777777" w:rsidR="0085334A" w:rsidRPr="0085334A" w:rsidRDefault="0085334A">
        <w:pPr>
          <w:pStyle w:val="Fuzeile"/>
          <w:jc w:val="right"/>
          <w:rPr>
            <w:rFonts w:ascii="Arial Narrow" w:hAnsi="Arial Narrow"/>
            <w:sz w:val="20"/>
            <w:szCs w:val="20"/>
          </w:rPr>
        </w:pPr>
        <w:r w:rsidRPr="0085334A">
          <w:rPr>
            <w:rFonts w:ascii="Arial Narrow" w:hAnsi="Arial Narrow"/>
            <w:sz w:val="20"/>
            <w:szCs w:val="20"/>
          </w:rPr>
          <w:fldChar w:fldCharType="begin"/>
        </w:r>
        <w:r w:rsidRPr="0085334A">
          <w:rPr>
            <w:rFonts w:ascii="Arial Narrow" w:hAnsi="Arial Narrow"/>
            <w:sz w:val="20"/>
            <w:szCs w:val="20"/>
          </w:rPr>
          <w:instrText>PAGE   \* MERGEFORMAT</w:instrText>
        </w:r>
        <w:r w:rsidRPr="0085334A">
          <w:rPr>
            <w:rFonts w:ascii="Arial Narrow" w:hAnsi="Arial Narrow"/>
            <w:sz w:val="20"/>
            <w:szCs w:val="20"/>
          </w:rPr>
          <w:fldChar w:fldCharType="separate"/>
        </w:r>
        <w:r w:rsidRPr="0085334A">
          <w:rPr>
            <w:rFonts w:ascii="Arial Narrow" w:hAnsi="Arial Narrow"/>
            <w:sz w:val="20"/>
            <w:szCs w:val="20"/>
          </w:rPr>
          <w:t>2</w:t>
        </w:r>
        <w:r w:rsidRPr="0085334A">
          <w:rPr>
            <w:rFonts w:ascii="Arial Narrow" w:hAnsi="Arial Narrow"/>
            <w:sz w:val="20"/>
            <w:szCs w:val="20"/>
          </w:rPr>
          <w:fldChar w:fldCharType="end"/>
        </w:r>
      </w:p>
    </w:sdtContent>
  </w:sdt>
  <w:p w14:paraId="43F11B57" w14:textId="77777777" w:rsidR="0085334A" w:rsidRDefault="0085334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AF0A" w14:textId="77777777" w:rsidR="008E6DB0" w:rsidRDefault="008E6DB0" w:rsidP="00912A8D">
      <w:pPr>
        <w:spacing w:after="0" w:line="240" w:lineRule="auto"/>
      </w:pPr>
      <w:r>
        <w:separator/>
      </w:r>
    </w:p>
  </w:footnote>
  <w:footnote w:type="continuationSeparator" w:id="0">
    <w:p w14:paraId="41B2A863" w14:textId="77777777" w:rsidR="008E6DB0" w:rsidRDefault="008E6DB0" w:rsidP="00912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DDA2" w14:textId="77777777" w:rsidR="00912A8D" w:rsidRPr="0085334A" w:rsidRDefault="00912A8D" w:rsidP="00912A8D">
    <w:pPr>
      <w:pStyle w:val="Kopfzeile"/>
    </w:pPr>
    <w:r>
      <w:rPr>
        <w:rFonts w:ascii="Times New Roman" w:hAnsi="Times New Roman"/>
        <w:noProof/>
        <w:sz w:val="20"/>
      </w:rPr>
      <w:drawing>
        <wp:anchor distT="0" distB="0" distL="114300" distR="114300" simplePos="0" relativeHeight="251659264" behindDoc="1" locked="0" layoutInCell="1" allowOverlap="1" wp14:anchorId="4409CAD6" wp14:editId="46B75200">
          <wp:simplePos x="0" y="0"/>
          <wp:positionH relativeFrom="page">
            <wp:align>right</wp:align>
          </wp:positionH>
          <wp:positionV relativeFrom="paragraph">
            <wp:posOffset>-411480</wp:posOffset>
          </wp:positionV>
          <wp:extent cx="1704975" cy="857250"/>
          <wp:effectExtent l="0" t="0" r="0" b="0"/>
          <wp:wrapNone/>
          <wp:docPr id="589279318" name="image1.jpeg" descr="Ein Bild, das Screenshot, Schwarz, Dunkelheit, Grafiken enthält."/>
          <wp:cNvGraphicFramePr/>
          <a:graphic xmlns:a="http://schemas.openxmlformats.org/drawingml/2006/main">
            <a:graphicData uri="http://schemas.openxmlformats.org/drawingml/2006/picture">
              <pic:pic xmlns:pic="http://schemas.openxmlformats.org/drawingml/2006/picture">
                <pic:nvPicPr>
                  <pic:cNvPr id="589279318" name="image1.jpeg" descr="Ein Bild, das Screenshot, Schwarz, Dunkelheit, Grafiken enthält."/>
                  <pic:cNvPicPr/>
                </pic:nvPicPr>
                <pic:blipFill>
                  <a:blip r:embed="rId1"/>
                  <a:stretch>
                    <a:fillRect/>
                  </a:stretch>
                </pic:blipFill>
                <pic:spPr>
                  <a:xfrm>
                    <a:off x="0" y="0"/>
                    <a:ext cx="1704975" cy="8572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Arial Narrow" w:hAnsi="Arial Narrow"/>
      </w:rPr>
      <w:t xml:space="preserve">WAMOCON </w:t>
    </w:r>
    <w:r w:rsidRPr="0085334A">
      <w:rPr>
        <w:rFonts w:ascii="Arial Narrow" w:hAnsi="Arial Narrow"/>
      </w:rPr>
      <w:t xml:space="preserve">GmbH, Mergenthalerallee 79-81, 65760 Eschborn                                              </w:t>
    </w:r>
  </w:p>
  <w:p w14:paraId="50066678" w14:textId="77777777" w:rsidR="00912A8D" w:rsidRPr="00912A8D" w:rsidRDefault="00912A8D" w:rsidP="00912A8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95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A06FDF"/>
    <w:multiLevelType w:val="hybridMultilevel"/>
    <w:tmpl w:val="0EE822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C2698A"/>
    <w:multiLevelType w:val="hybridMultilevel"/>
    <w:tmpl w:val="52A60B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B7D6E58"/>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E16323"/>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DF656B"/>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6" w15:restartNumberingAfterBreak="0">
    <w:nsid w:val="1ED20484"/>
    <w:multiLevelType w:val="multilevel"/>
    <w:tmpl w:val="EE502D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F423A0"/>
    <w:multiLevelType w:val="multilevel"/>
    <w:tmpl w:val="CE3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A3AFD"/>
    <w:multiLevelType w:val="hybridMultilevel"/>
    <w:tmpl w:val="7EB8BD1A"/>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33499D"/>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F72767"/>
    <w:multiLevelType w:val="multilevel"/>
    <w:tmpl w:val="ACA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D0814"/>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2" w15:restartNumberingAfterBreak="0">
    <w:nsid w:val="282D0E28"/>
    <w:multiLevelType w:val="hybridMultilevel"/>
    <w:tmpl w:val="73D660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84342A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D33E6"/>
    <w:multiLevelType w:val="multilevel"/>
    <w:tmpl w:val="A704E44E"/>
    <w:lvl w:ilvl="0">
      <w:start w:val="1"/>
      <w:numFmt w:val="decimal"/>
      <w:lvlText w:val="%1."/>
      <w:lvlJc w:val="left"/>
      <w:pPr>
        <w:ind w:left="360" w:hanging="360"/>
      </w:pPr>
    </w:lvl>
    <w:lvl w:ilvl="1">
      <w:start w:val="1"/>
      <w:numFmt w:val="decimal"/>
      <w:lvlText w:val="%1.%2."/>
      <w:lvlJc w:val="left"/>
      <w:pPr>
        <w:ind w:left="574" w:hanging="432"/>
      </w:pPr>
      <w:rPr>
        <w:sz w:val="24"/>
        <w:szCs w:val="24"/>
      </w:rPr>
    </w:lvl>
    <w:lvl w:ilvl="2">
      <w:start w:val="1"/>
      <w:numFmt w:val="decimal"/>
      <w:lvlText w:val="%1.%2.%3."/>
      <w:lvlJc w:val="left"/>
      <w:pPr>
        <w:ind w:left="929"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F31E21"/>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204B80"/>
    <w:multiLevelType w:val="multilevel"/>
    <w:tmpl w:val="7E5638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D606BE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F8760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383015"/>
    <w:multiLevelType w:val="hybridMultilevel"/>
    <w:tmpl w:val="BC465580"/>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0D43E5D"/>
    <w:multiLevelType w:val="multilevel"/>
    <w:tmpl w:val="0407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4CDB3B2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F37BE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3C683E"/>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4" w15:restartNumberingAfterBreak="0">
    <w:nsid w:val="5430098E"/>
    <w:multiLevelType w:val="hybridMultilevel"/>
    <w:tmpl w:val="7F4880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C514C07"/>
    <w:multiLevelType w:val="multilevel"/>
    <w:tmpl w:val="D868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0357EC"/>
    <w:multiLevelType w:val="multilevel"/>
    <w:tmpl w:val="9C7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36459"/>
    <w:multiLevelType w:val="hybridMultilevel"/>
    <w:tmpl w:val="ADB8F504"/>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356309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8DB5675"/>
    <w:multiLevelType w:val="multilevel"/>
    <w:tmpl w:val="A704E44E"/>
    <w:lvl w:ilvl="0">
      <w:start w:val="1"/>
      <w:numFmt w:val="decimal"/>
      <w:lvlText w:val="%1."/>
      <w:lvlJc w:val="left"/>
      <w:pPr>
        <w:ind w:left="360" w:hanging="360"/>
      </w:pPr>
    </w:lvl>
    <w:lvl w:ilvl="1">
      <w:start w:val="1"/>
      <w:numFmt w:val="decimal"/>
      <w:lvlText w:val="%1.%2."/>
      <w:lvlJc w:val="left"/>
      <w:pPr>
        <w:ind w:left="574" w:hanging="432"/>
      </w:pPr>
      <w:rPr>
        <w:sz w:val="24"/>
        <w:szCs w:val="24"/>
      </w:rPr>
    </w:lvl>
    <w:lvl w:ilvl="2">
      <w:start w:val="1"/>
      <w:numFmt w:val="decimal"/>
      <w:lvlText w:val="%1.%2.%3."/>
      <w:lvlJc w:val="left"/>
      <w:pPr>
        <w:ind w:left="929"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D9518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33058B1"/>
    <w:multiLevelType w:val="multilevel"/>
    <w:tmpl w:val="B4D27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A55A1"/>
    <w:multiLevelType w:val="multilevel"/>
    <w:tmpl w:val="59382AC8"/>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85A6D3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98F28B1"/>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num w:numId="1" w16cid:durableId="1863277427">
    <w:abstractNumId w:val="25"/>
  </w:num>
  <w:num w:numId="2" w16cid:durableId="166023463">
    <w:abstractNumId w:val="6"/>
  </w:num>
  <w:num w:numId="3" w16cid:durableId="47924726">
    <w:abstractNumId w:val="5"/>
  </w:num>
  <w:num w:numId="4" w16cid:durableId="826286520">
    <w:abstractNumId w:val="11"/>
  </w:num>
  <w:num w:numId="5" w16cid:durableId="1070150325">
    <w:abstractNumId w:val="23"/>
  </w:num>
  <w:num w:numId="6" w16cid:durableId="1481341477">
    <w:abstractNumId w:val="34"/>
  </w:num>
  <w:num w:numId="7" w16cid:durableId="2008904211">
    <w:abstractNumId w:val="26"/>
  </w:num>
  <w:num w:numId="8" w16cid:durableId="5913713">
    <w:abstractNumId w:val="10"/>
  </w:num>
  <w:num w:numId="9" w16cid:durableId="1761559626">
    <w:abstractNumId w:val="31"/>
  </w:num>
  <w:num w:numId="10" w16cid:durableId="1296183314">
    <w:abstractNumId w:val="7"/>
  </w:num>
  <w:num w:numId="11" w16cid:durableId="1901359284">
    <w:abstractNumId w:val="30"/>
  </w:num>
  <w:num w:numId="12" w16cid:durableId="1154300505">
    <w:abstractNumId w:val="16"/>
  </w:num>
  <w:num w:numId="13" w16cid:durableId="134564603">
    <w:abstractNumId w:val="21"/>
  </w:num>
  <w:num w:numId="14" w16cid:durableId="1498768125">
    <w:abstractNumId w:val="20"/>
  </w:num>
  <w:num w:numId="15" w16cid:durableId="1606617808">
    <w:abstractNumId w:val="1"/>
  </w:num>
  <w:num w:numId="16" w16cid:durableId="842012391">
    <w:abstractNumId w:val="22"/>
  </w:num>
  <w:num w:numId="17" w16cid:durableId="1054087805">
    <w:abstractNumId w:val="28"/>
  </w:num>
  <w:num w:numId="18" w16cid:durableId="1502937635">
    <w:abstractNumId w:val="13"/>
  </w:num>
  <w:num w:numId="19" w16cid:durableId="1368992636">
    <w:abstractNumId w:val="29"/>
  </w:num>
  <w:num w:numId="20" w16cid:durableId="719935082">
    <w:abstractNumId w:val="32"/>
  </w:num>
  <w:num w:numId="21" w16cid:durableId="1747917035">
    <w:abstractNumId w:val="14"/>
  </w:num>
  <w:num w:numId="22" w16cid:durableId="1167595516">
    <w:abstractNumId w:val="27"/>
  </w:num>
  <w:num w:numId="23" w16cid:durableId="874855033">
    <w:abstractNumId w:val="33"/>
  </w:num>
  <w:num w:numId="24" w16cid:durableId="1890802087">
    <w:abstractNumId w:val="9"/>
  </w:num>
  <w:num w:numId="25" w16cid:durableId="668488333">
    <w:abstractNumId w:val="19"/>
  </w:num>
  <w:num w:numId="26" w16cid:durableId="14549576">
    <w:abstractNumId w:val="15"/>
  </w:num>
  <w:num w:numId="27" w16cid:durableId="909117653">
    <w:abstractNumId w:val="3"/>
  </w:num>
  <w:num w:numId="28" w16cid:durableId="1220365911">
    <w:abstractNumId w:val="8"/>
  </w:num>
  <w:num w:numId="29" w16cid:durableId="689645717">
    <w:abstractNumId w:val="4"/>
  </w:num>
  <w:num w:numId="30" w16cid:durableId="1404915133">
    <w:abstractNumId w:val="2"/>
  </w:num>
  <w:num w:numId="31" w16cid:durableId="1936354446">
    <w:abstractNumId w:val="24"/>
  </w:num>
  <w:num w:numId="32" w16cid:durableId="931744262">
    <w:abstractNumId w:val="0"/>
  </w:num>
  <w:num w:numId="33" w16cid:durableId="1626885502">
    <w:abstractNumId w:val="12"/>
  </w:num>
  <w:num w:numId="34" w16cid:durableId="20866916">
    <w:abstractNumId w:val="17"/>
  </w:num>
  <w:num w:numId="35" w16cid:durableId="12166190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B0"/>
    <w:rsid w:val="00010899"/>
    <w:rsid w:val="000460B4"/>
    <w:rsid w:val="00047D32"/>
    <w:rsid w:val="000946C5"/>
    <w:rsid w:val="00097626"/>
    <w:rsid w:val="00111120"/>
    <w:rsid w:val="00142C15"/>
    <w:rsid w:val="0016710B"/>
    <w:rsid w:val="0018437B"/>
    <w:rsid w:val="001A069B"/>
    <w:rsid w:val="001B57DB"/>
    <w:rsid w:val="001D7531"/>
    <w:rsid w:val="00204570"/>
    <w:rsid w:val="00263F33"/>
    <w:rsid w:val="00274F7B"/>
    <w:rsid w:val="00286B2B"/>
    <w:rsid w:val="002B18F6"/>
    <w:rsid w:val="00331523"/>
    <w:rsid w:val="00334677"/>
    <w:rsid w:val="00390D7B"/>
    <w:rsid w:val="003D0763"/>
    <w:rsid w:val="003E7841"/>
    <w:rsid w:val="003F1FD0"/>
    <w:rsid w:val="004026B0"/>
    <w:rsid w:val="00463C9C"/>
    <w:rsid w:val="004A3AFD"/>
    <w:rsid w:val="004B14CA"/>
    <w:rsid w:val="004F0E32"/>
    <w:rsid w:val="00555585"/>
    <w:rsid w:val="005555DF"/>
    <w:rsid w:val="00591FCC"/>
    <w:rsid w:val="0059437A"/>
    <w:rsid w:val="005D5330"/>
    <w:rsid w:val="005D714A"/>
    <w:rsid w:val="005E3AB4"/>
    <w:rsid w:val="005F562E"/>
    <w:rsid w:val="00661890"/>
    <w:rsid w:val="006830A0"/>
    <w:rsid w:val="006A6E53"/>
    <w:rsid w:val="006B19E4"/>
    <w:rsid w:val="006B4A37"/>
    <w:rsid w:val="006F2459"/>
    <w:rsid w:val="006F2E6D"/>
    <w:rsid w:val="00715E1E"/>
    <w:rsid w:val="0077030D"/>
    <w:rsid w:val="007B03D0"/>
    <w:rsid w:val="007D59CC"/>
    <w:rsid w:val="007E429C"/>
    <w:rsid w:val="00806DB2"/>
    <w:rsid w:val="0081362C"/>
    <w:rsid w:val="0082698B"/>
    <w:rsid w:val="0085334A"/>
    <w:rsid w:val="008A17EB"/>
    <w:rsid w:val="008C313A"/>
    <w:rsid w:val="008E6DB0"/>
    <w:rsid w:val="008F64AC"/>
    <w:rsid w:val="00912A8D"/>
    <w:rsid w:val="00933142"/>
    <w:rsid w:val="00977A8D"/>
    <w:rsid w:val="00982469"/>
    <w:rsid w:val="00995B24"/>
    <w:rsid w:val="009B311C"/>
    <w:rsid w:val="00A06980"/>
    <w:rsid w:val="00AB0CFA"/>
    <w:rsid w:val="00AE2743"/>
    <w:rsid w:val="00B17CBD"/>
    <w:rsid w:val="00B24E2E"/>
    <w:rsid w:val="00B27131"/>
    <w:rsid w:val="00B316AE"/>
    <w:rsid w:val="00B33D55"/>
    <w:rsid w:val="00B57CF7"/>
    <w:rsid w:val="00BD14AB"/>
    <w:rsid w:val="00C27506"/>
    <w:rsid w:val="00C34253"/>
    <w:rsid w:val="00C94176"/>
    <w:rsid w:val="00CC7DA5"/>
    <w:rsid w:val="00CD2286"/>
    <w:rsid w:val="00D0005D"/>
    <w:rsid w:val="00D11CFD"/>
    <w:rsid w:val="00D40AA5"/>
    <w:rsid w:val="00D9005D"/>
    <w:rsid w:val="00DB40AB"/>
    <w:rsid w:val="00DF11DF"/>
    <w:rsid w:val="00E206EC"/>
    <w:rsid w:val="00E21FCC"/>
    <w:rsid w:val="00E450CE"/>
    <w:rsid w:val="00E679D8"/>
    <w:rsid w:val="00EB1118"/>
    <w:rsid w:val="00EB79C4"/>
    <w:rsid w:val="00EE553C"/>
    <w:rsid w:val="00F56BD0"/>
    <w:rsid w:val="00F6665C"/>
    <w:rsid w:val="00F80D56"/>
    <w:rsid w:val="00FB40E0"/>
    <w:rsid w:val="00FB54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26C3B"/>
  <w15:chartTrackingRefBased/>
  <w15:docId w15:val="{DD675127-4115-4CCD-A5FA-83932916C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12A8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2A8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2A8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2A8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2A8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2A8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2A8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2A8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2A8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12A8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2A8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2A8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2A8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2A8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2A8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2A8D"/>
    <w:rPr>
      <w:rFonts w:eastAsiaTheme="majorEastAsia" w:cstheme="majorBidi"/>
      <w:color w:val="272727" w:themeColor="text1" w:themeTint="D8"/>
    </w:rPr>
  </w:style>
  <w:style w:type="paragraph" w:styleId="Titel">
    <w:name w:val="Title"/>
    <w:basedOn w:val="Standard"/>
    <w:next w:val="Standard"/>
    <w:link w:val="TitelZchn"/>
    <w:uiPriority w:val="10"/>
    <w:qFormat/>
    <w:rsid w:val="0091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A8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2A8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2A8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2A8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2A8D"/>
    <w:rPr>
      <w:i/>
      <w:iCs/>
      <w:color w:val="404040" w:themeColor="text1" w:themeTint="BF"/>
    </w:rPr>
  </w:style>
  <w:style w:type="paragraph" w:styleId="Listenabsatz">
    <w:name w:val="List Paragraph"/>
    <w:basedOn w:val="Standard"/>
    <w:uiPriority w:val="34"/>
    <w:qFormat/>
    <w:rsid w:val="00912A8D"/>
    <w:pPr>
      <w:ind w:left="720"/>
      <w:contextualSpacing/>
    </w:pPr>
  </w:style>
  <w:style w:type="character" w:styleId="IntensiveHervorhebung">
    <w:name w:val="Intense Emphasis"/>
    <w:basedOn w:val="Absatz-Standardschriftart"/>
    <w:uiPriority w:val="21"/>
    <w:qFormat/>
    <w:rsid w:val="00912A8D"/>
    <w:rPr>
      <w:i/>
      <w:iCs/>
      <w:color w:val="0F4761" w:themeColor="accent1" w:themeShade="BF"/>
    </w:rPr>
  </w:style>
  <w:style w:type="paragraph" w:styleId="IntensivesZitat">
    <w:name w:val="Intense Quote"/>
    <w:basedOn w:val="Standard"/>
    <w:next w:val="Standard"/>
    <w:link w:val="IntensivesZitatZchn"/>
    <w:uiPriority w:val="30"/>
    <w:qFormat/>
    <w:rsid w:val="0091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2A8D"/>
    <w:rPr>
      <w:i/>
      <w:iCs/>
      <w:color w:val="0F4761" w:themeColor="accent1" w:themeShade="BF"/>
    </w:rPr>
  </w:style>
  <w:style w:type="character" w:styleId="IntensiverVerweis">
    <w:name w:val="Intense Reference"/>
    <w:basedOn w:val="Absatz-Standardschriftart"/>
    <w:uiPriority w:val="32"/>
    <w:qFormat/>
    <w:rsid w:val="00912A8D"/>
    <w:rPr>
      <w:b/>
      <w:bCs/>
      <w:smallCaps/>
      <w:color w:val="0F4761" w:themeColor="accent1" w:themeShade="BF"/>
      <w:spacing w:val="5"/>
    </w:rPr>
  </w:style>
  <w:style w:type="paragraph" w:styleId="Kopfzeile">
    <w:name w:val="header"/>
    <w:basedOn w:val="Standard"/>
    <w:link w:val="KopfzeileZchn"/>
    <w:uiPriority w:val="99"/>
    <w:unhideWhenUsed/>
    <w:rsid w:val="00912A8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12A8D"/>
  </w:style>
  <w:style w:type="paragraph" w:styleId="Fuzeile">
    <w:name w:val="footer"/>
    <w:basedOn w:val="Standard"/>
    <w:link w:val="FuzeileZchn"/>
    <w:uiPriority w:val="99"/>
    <w:unhideWhenUsed/>
    <w:rsid w:val="00912A8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12A8D"/>
  </w:style>
  <w:style w:type="paragraph" w:styleId="StandardWeb">
    <w:name w:val="Normal (Web)"/>
    <w:basedOn w:val="Standard"/>
    <w:uiPriority w:val="99"/>
    <w:unhideWhenUsed/>
    <w:rsid w:val="006F245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6F2459"/>
    <w:rPr>
      <w:rFonts w:ascii="Courier New" w:eastAsia="Times New Roman" w:hAnsi="Courier New" w:cs="Courier New"/>
      <w:sz w:val="20"/>
      <w:szCs w:val="20"/>
    </w:rPr>
  </w:style>
  <w:style w:type="character" w:styleId="Fett">
    <w:name w:val="Strong"/>
    <w:basedOn w:val="Absatz-Standardschriftart"/>
    <w:uiPriority w:val="22"/>
    <w:qFormat/>
    <w:rsid w:val="006F2459"/>
    <w:rPr>
      <w:b/>
      <w:bCs/>
    </w:rPr>
  </w:style>
  <w:style w:type="character" w:customStyle="1" w:styleId="ng-tns-c393695550-331">
    <w:name w:val="ng-tns-c393695550-331"/>
    <w:basedOn w:val="Absatz-Standardschriftart"/>
    <w:rsid w:val="006F2459"/>
  </w:style>
  <w:style w:type="paragraph" w:styleId="HTMLVorformatiert">
    <w:name w:val="HTML Preformatted"/>
    <w:basedOn w:val="Standard"/>
    <w:link w:val="HTMLVorformatiertZchn"/>
    <w:uiPriority w:val="99"/>
    <w:semiHidden/>
    <w:unhideWhenUsed/>
    <w:rsid w:val="006F2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6F2459"/>
    <w:rPr>
      <w:rFonts w:ascii="Courier New" w:eastAsia="Times New Roman" w:hAnsi="Courier New" w:cs="Courier New"/>
      <w:kern w:val="0"/>
      <w:sz w:val="20"/>
      <w:szCs w:val="20"/>
      <w:lang w:eastAsia="de-DE"/>
      <w14:ligatures w14:val="none"/>
    </w:rPr>
  </w:style>
  <w:style w:type="character" w:customStyle="1" w:styleId="hljs-comment">
    <w:name w:val="hljs-comment"/>
    <w:basedOn w:val="Absatz-Standardschriftart"/>
    <w:rsid w:val="006F2459"/>
  </w:style>
  <w:style w:type="character" w:customStyle="1" w:styleId="hljs-keyword">
    <w:name w:val="hljs-keyword"/>
    <w:basedOn w:val="Absatz-Standardschriftart"/>
    <w:rsid w:val="006F2459"/>
  </w:style>
  <w:style w:type="character" w:customStyle="1" w:styleId="hljs-function">
    <w:name w:val="hljs-function"/>
    <w:basedOn w:val="Absatz-Standardschriftart"/>
    <w:rsid w:val="006F2459"/>
  </w:style>
  <w:style w:type="character" w:customStyle="1" w:styleId="hljs-title">
    <w:name w:val="hljs-title"/>
    <w:basedOn w:val="Absatz-Standardschriftart"/>
    <w:rsid w:val="006F2459"/>
  </w:style>
  <w:style w:type="character" w:customStyle="1" w:styleId="hljs-params">
    <w:name w:val="hljs-params"/>
    <w:basedOn w:val="Absatz-Standardschriftart"/>
    <w:rsid w:val="006F2459"/>
  </w:style>
  <w:style w:type="character" w:customStyle="1" w:styleId="hljs-variable">
    <w:name w:val="hljs-variable"/>
    <w:basedOn w:val="Absatz-Standardschriftart"/>
    <w:rsid w:val="006F2459"/>
  </w:style>
  <w:style w:type="character" w:customStyle="1" w:styleId="hljs-literal">
    <w:name w:val="hljs-literal"/>
    <w:basedOn w:val="Absatz-Standardschriftart"/>
    <w:rsid w:val="006F2459"/>
  </w:style>
  <w:style w:type="character" w:customStyle="1" w:styleId="hljs-builtin">
    <w:name w:val="hljs-built_in"/>
    <w:basedOn w:val="Absatz-Standardschriftart"/>
    <w:rsid w:val="006F2459"/>
  </w:style>
  <w:style w:type="character" w:customStyle="1" w:styleId="hljs-string">
    <w:name w:val="hljs-string"/>
    <w:basedOn w:val="Absatz-Standardschriftart"/>
    <w:rsid w:val="006F2459"/>
  </w:style>
  <w:style w:type="table" w:styleId="Listentabelle1hell">
    <w:name w:val="List Table 1 Light"/>
    <w:basedOn w:val="NormaleTabelle"/>
    <w:uiPriority w:val="46"/>
    <w:rsid w:val="001A069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de">
    <w:name w:val="Code"/>
    <w:basedOn w:val="Standard"/>
    <w:link w:val="CodeZchn"/>
    <w:qFormat/>
    <w:rsid w:val="00331523"/>
    <w:pPr>
      <w:spacing w:after="100" w:afterAutospacing="1" w:line="240" w:lineRule="auto"/>
    </w:pPr>
    <w:rPr>
      <w:rFonts w:ascii="Consolas" w:eastAsia="Times New Roman" w:hAnsi="Consolas" w:cs="Arial"/>
      <w:kern w:val="0"/>
      <w:lang w:eastAsia="de-DE"/>
      <w14:ligatures w14:val="none"/>
    </w:rPr>
  </w:style>
  <w:style w:type="character" w:customStyle="1" w:styleId="CodeZchn">
    <w:name w:val="Code Zchn"/>
    <w:basedOn w:val="Absatz-Standardschriftart"/>
    <w:link w:val="Code"/>
    <w:rsid w:val="00331523"/>
    <w:rPr>
      <w:rFonts w:ascii="Consolas" w:eastAsia="Times New Roman" w:hAnsi="Consolas" w:cs="Arial"/>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7729">
      <w:bodyDiv w:val="1"/>
      <w:marLeft w:val="0"/>
      <w:marRight w:val="0"/>
      <w:marTop w:val="0"/>
      <w:marBottom w:val="0"/>
      <w:divBdr>
        <w:top w:val="none" w:sz="0" w:space="0" w:color="auto"/>
        <w:left w:val="none" w:sz="0" w:space="0" w:color="auto"/>
        <w:bottom w:val="none" w:sz="0" w:space="0" w:color="auto"/>
        <w:right w:val="none" w:sz="0" w:space="0" w:color="auto"/>
      </w:divBdr>
      <w:divsChild>
        <w:div w:id="1437292824">
          <w:marLeft w:val="0"/>
          <w:marRight w:val="0"/>
          <w:marTop w:val="0"/>
          <w:marBottom w:val="0"/>
          <w:divBdr>
            <w:top w:val="none" w:sz="0" w:space="0" w:color="auto"/>
            <w:left w:val="none" w:sz="0" w:space="0" w:color="auto"/>
            <w:bottom w:val="none" w:sz="0" w:space="0" w:color="auto"/>
            <w:right w:val="none" w:sz="0" w:space="0" w:color="auto"/>
          </w:divBdr>
        </w:div>
      </w:divsChild>
    </w:div>
    <w:div w:id="253637910">
      <w:bodyDiv w:val="1"/>
      <w:marLeft w:val="0"/>
      <w:marRight w:val="0"/>
      <w:marTop w:val="0"/>
      <w:marBottom w:val="0"/>
      <w:divBdr>
        <w:top w:val="none" w:sz="0" w:space="0" w:color="auto"/>
        <w:left w:val="none" w:sz="0" w:space="0" w:color="auto"/>
        <w:bottom w:val="none" w:sz="0" w:space="0" w:color="auto"/>
        <w:right w:val="none" w:sz="0" w:space="0" w:color="auto"/>
      </w:divBdr>
      <w:divsChild>
        <w:div w:id="778373598">
          <w:marLeft w:val="0"/>
          <w:marRight w:val="0"/>
          <w:marTop w:val="0"/>
          <w:marBottom w:val="0"/>
          <w:divBdr>
            <w:top w:val="none" w:sz="0" w:space="0" w:color="auto"/>
            <w:left w:val="none" w:sz="0" w:space="0" w:color="auto"/>
            <w:bottom w:val="none" w:sz="0" w:space="0" w:color="auto"/>
            <w:right w:val="none" w:sz="0" w:space="0" w:color="auto"/>
          </w:divBdr>
        </w:div>
      </w:divsChild>
    </w:div>
    <w:div w:id="354037391">
      <w:bodyDiv w:val="1"/>
      <w:marLeft w:val="0"/>
      <w:marRight w:val="0"/>
      <w:marTop w:val="0"/>
      <w:marBottom w:val="0"/>
      <w:divBdr>
        <w:top w:val="none" w:sz="0" w:space="0" w:color="auto"/>
        <w:left w:val="none" w:sz="0" w:space="0" w:color="auto"/>
        <w:bottom w:val="none" w:sz="0" w:space="0" w:color="auto"/>
        <w:right w:val="none" w:sz="0" w:space="0" w:color="auto"/>
      </w:divBdr>
      <w:divsChild>
        <w:div w:id="807744082">
          <w:marLeft w:val="0"/>
          <w:marRight w:val="0"/>
          <w:marTop w:val="0"/>
          <w:marBottom w:val="0"/>
          <w:divBdr>
            <w:top w:val="none" w:sz="0" w:space="0" w:color="auto"/>
            <w:left w:val="none" w:sz="0" w:space="0" w:color="auto"/>
            <w:bottom w:val="none" w:sz="0" w:space="0" w:color="auto"/>
            <w:right w:val="none" w:sz="0" w:space="0" w:color="auto"/>
          </w:divBdr>
        </w:div>
      </w:divsChild>
    </w:div>
    <w:div w:id="532156847">
      <w:bodyDiv w:val="1"/>
      <w:marLeft w:val="0"/>
      <w:marRight w:val="0"/>
      <w:marTop w:val="0"/>
      <w:marBottom w:val="0"/>
      <w:divBdr>
        <w:top w:val="none" w:sz="0" w:space="0" w:color="auto"/>
        <w:left w:val="none" w:sz="0" w:space="0" w:color="auto"/>
        <w:bottom w:val="none" w:sz="0" w:space="0" w:color="auto"/>
        <w:right w:val="none" w:sz="0" w:space="0" w:color="auto"/>
      </w:divBdr>
      <w:divsChild>
        <w:div w:id="1362439782">
          <w:marLeft w:val="0"/>
          <w:marRight w:val="0"/>
          <w:marTop w:val="0"/>
          <w:marBottom w:val="0"/>
          <w:divBdr>
            <w:top w:val="none" w:sz="0" w:space="0" w:color="auto"/>
            <w:left w:val="none" w:sz="0" w:space="0" w:color="auto"/>
            <w:bottom w:val="none" w:sz="0" w:space="0" w:color="auto"/>
            <w:right w:val="none" w:sz="0" w:space="0" w:color="auto"/>
          </w:divBdr>
        </w:div>
      </w:divsChild>
    </w:div>
    <w:div w:id="627854418">
      <w:bodyDiv w:val="1"/>
      <w:marLeft w:val="0"/>
      <w:marRight w:val="0"/>
      <w:marTop w:val="0"/>
      <w:marBottom w:val="0"/>
      <w:divBdr>
        <w:top w:val="none" w:sz="0" w:space="0" w:color="auto"/>
        <w:left w:val="none" w:sz="0" w:space="0" w:color="auto"/>
        <w:bottom w:val="none" w:sz="0" w:space="0" w:color="auto"/>
        <w:right w:val="none" w:sz="0" w:space="0" w:color="auto"/>
      </w:divBdr>
      <w:divsChild>
        <w:div w:id="1678920120">
          <w:marLeft w:val="0"/>
          <w:marRight w:val="0"/>
          <w:marTop w:val="0"/>
          <w:marBottom w:val="0"/>
          <w:divBdr>
            <w:top w:val="none" w:sz="0" w:space="0" w:color="auto"/>
            <w:left w:val="none" w:sz="0" w:space="0" w:color="auto"/>
            <w:bottom w:val="none" w:sz="0" w:space="0" w:color="auto"/>
            <w:right w:val="none" w:sz="0" w:space="0" w:color="auto"/>
          </w:divBdr>
        </w:div>
      </w:divsChild>
    </w:div>
    <w:div w:id="1150635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5501">
          <w:marLeft w:val="0"/>
          <w:marRight w:val="0"/>
          <w:marTop w:val="0"/>
          <w:marBottom w:val="0"/>
          <w:divBdr>
            <w:top w:val="none" w:sz="0" w:space="0" w:color="auto"/>
            <w:left w:val="none" w:sz="0" w:space="0" w:color="auto"/>
            <w:bottom w:val="none" w:sz="0" w:space="0" w:color="auto"/>
            <w:right w:val="none" w:sz="0" w:space="0" w:color="auto"/>
          </w:divBdr>
        </w:div>
      </w:divsChild>
    </w:div>
    <w:div w:id="1360276457">
      <w:bodyDiv w:val="1"/>
      <w:marLeft w:val="0"/>
      <w:marRight w:val="0"/>
      <w:marTop w:val="0"/>
      <w:marBottom w:val="0"/>
      <w:divBdr>
        <w:top w:val="none" w:sz="0" w:space="0" w:color="auto"/>
        <w:left w:val="none" w:sz="0" w:space="0" w:color="auto"/>
        <w:bottom w:val="none" w:sz="0" w:space="0" w:color="auto"/>
        <w:right w:val="none" w:sz="0" w:space="0" w:color="auto"/>
      </w:divBdr>
      <w:divsChild>
        <w:div w:id="1824547382">
          <w:marLeft w:val="0"/>
          <w:marRight w:val="0"/>
          <w:marTop w:val="0"/>
          <w:marBottom w:val="0"/>
          <w:divBdr>
            <w:top w:val="none" w:sz="0" w:space="0" w:color="auto"/>
            <w:left w:val="none" w:sz="0" w:space="0" w:color="auto"/>
            <w:bottom w:val="none" w:sz="0" w:space="0" w:color="auto"/>
            <w:right w:val="none" w:sz="0" w:space="0" w:color="auto"/>
          </w:divBdr>
        </w:div>
      </w:divsChild>
    </w:div>
    <w:div w:id="1560096740">
      <w:bodyDiv w:val="1"/>
      <w:marLeft w:val="0"/>
      <w:marRight w:val="0"/>
      <w:marTop w:val="0"/>
      <w:marBottom w:val="0"/>
      <w:divBdr>
        <w:top w:val="none" w:sz="0" w:space="0" w:color="auto"/>
        <w:left w:val="none" w:sz="0" w:space="0" w:color="auto"/>
        <w:bottom w:val="none" w:sz="0" w:space="0" w:color="auto"/>
        <w:right w:val="none" w:sz="0" w:space="0" w:color="auto"/>
      </w:divBdr>
      <w:divsChild>
        <w:div w:id="248926449">
          <w:marLeft w:val="0"/>
          <w:marRight w:val="0"/>
          <w:marTop w:val="0"/>
          <w:marBottom w:val="0"/>
          <w:divBdr>
            <w:top w:val="none" w:sz="0" w:space="0" w:color="auto"/>
            <w:left w:val="none" w:sz="0" w:space="0" w:color="auto"/>
            <w:bottom w:val="none" w:sz="0" w:space="0" w:color="auto"/>
            <w:right w:val="none" w:sz="0" w:space="0" w:color="auto"/>
          </w:divBdr>
        </w:div>
      </w:divsChild>
    </w:div>
    <w:div w:id="1914074949">
      <w:bodyDiv w:val="1"/>
      <w:marLeft w:val="0"/>
      <w:marRight w:val="0"/>
      <w:marTop w:val="0"/>
      <w:marBottom w:val="0"/>
      <w:divBdr>
        <w:top w:val="none" w:sz="0" w:space="0" w:color="auto"/>
        <w:left w:val="none" w:sz="0" w:space="0" w:color="auto"/>
        <w:bottom w:val="none" w:sz="0" w:space="0" w:color="auto"/>
        <w:right w:val="none" w:sz="0" w:space="0" w:color="auto"/>
      </w:divBdr>
      <w:divsChild>
        <w:div w:id="294943789">
          <w:marLeft w:val="0"/>
          <w:marRight w:val="0"/>
          <w:marTop w:val="0"/>
          <w:marBottom w:val="0"/>
          <w:divBdr>
            <w:top w:val="none" w:sz="0" w:space="0" w:color="auto"/>
            <w:left w:val="none" w:sz="0" w:space="0" w:color="auto"/>
            <w:bottom w:val="none" w:sz="0" w:space="0" w:color="auto"/>
            <w:right w:val="none" w:sz="0" w:space="0" w:color="auto"/>
          </w:divBdr>
        </w:div>
      </w:divsChild>
    </w:div>
    <w:div w:id="1960990151">
      <w:bodyDiv w:val="1"/>
      <w:marLeft w:val="0"/>
      <w:marRight w:val="0"/>
      <w:marTop w:val="0"/>
      <w:marBottom w:val="0"/>
      <w:divBdr>
        <w:top w:val="none" w:sz="0" w:space="0" w:color="auto"/>
        <w:left w:val="none" w:sz="0" w:space="0" w:color="auto"/>
        <w:bottom w:val="none" w:sz="0" w:space="0" w:color="auto"/>
        <w:right w:val="none" w:sz="0" w:space="0" w:color="auto"/>
      </w:divBdr>
      <w:divsChild>
        <w:div w:id="495803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urzhan%20Kukeyev\Documents\Benutzerdefinierte%20Office-Vorlagen\WMC-Vorlage-Wor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Narrow" panose="020B0606020202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Narrow" panose="020B0606020202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CA8B71-AB00-E544-8756-0D62E9405558}">
  <we:reference id="wa104382008" version="1.1.0.2" store="de-DE"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C429-D823-4CFB-94A6-6C883001F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WMC-Vorlage-Word</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Schefner</dc:creator>
  <cp:keywords/>
  <dc:description/>
  <cp:lastModifiedBy>Nikolaj Schefner</cp:lastModifiedBy>
  <cp:revision>1</cp:revision>
  <dcterms:created xsi:type="dcterms:W3CDTF">2026-05-19T06:51:00Z</dcterms:created>
  <dcterms:modified xsi:type="dcterms:W3CDTF">2026-05-19T07:00:00Z</dcterms:modified>
</cp:coreProperties>
</file>