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100"/>
      </w:pPr>
      <w:r>
        <w:rPr>
          <w:rFonts w:ascii="Calibri" w:cs="Calibri" w:eastAsia="Calibri" w:hAnsi="Calibri"/>
          <w:b/>
          <w:bCs/>
          <w:color w:val="1A1A1A"/>
          <w:spacing w:val="20"/>
          <w:sz w:val="30"/>
          <w:szCs w:val="30"/>
        </w:rPr>
        <w:t xml:space="preserve">WAMOCON</w:t>
      </w:r>
    </w:p>
    <w:tbl>
      <w:tblPr>
        <w:tblW w:type="dxa" w:w="700"/>
        <w:tblBorders>
          <w:top w:val="single" w:color="auto" w:sz="4"/>
          <w:left w:val="single" w:color="auto" w:sz="4"/>
          <w:bottom w:val="single" w:color="auto" w:sz="4"/>
          <w:right w:val="single" w:color="auto" w:sz="4"/>
          <w:insideH w:val="single" w:color="auto" w:sz="4"/>
          <w:insideV w:val="single" w:color="auto" w:sz="4"/>
        </w:tblBorders>
      </w:tblPr>
      <w:tblGrid>
        <w:gridCol w:w="700"/>
      </w:tblGrid>
      <w:tr>
        <w:tc>
          <w:tcPr>
            <w:tcW w:type="dxa" w:w="7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500"/>
      </w:pPr>
    </w:p>
    <w:p>
      <w:pPr>
        <w:spacing w:after="180"/>
      </w:pPr>
      <w:r>
        <w:rPr>
          <w:rFonts w:ascii="Calibri" w:cs="Calibri" w:eastAsia="Calibri" w:hAnsi="Calibri"/>
          <w:b/>
          <w:bCs/>
          <w:caps/>
          <w:color w:val="B31E2D"/>
          <w:spacing w:val="20"/>
          <w:sz w:val="17"/>
          <w:szCs w:val="17"/>
        </w:rPr>
        <w:t xml:space="preserve">Strategiepapier für die Geschäftsführung</w:t>
      </w:r>
    </w:p>
    <w:p>
      <w:pPr>
        <w:spacing w:after="160"/>
      </w:pPr>
      <w:r>
        <w:rPr>
          <w:rFonts w:ascii="Calibri" w:cs="Calibri" w:eastAsia="Calibri" w:hAnsi="Calibri"/>
          <w:b/>
          <w:bCs/>
          <w:color w:val="1A1A1A"/>
          <w:sz w:val="52"/>
          <w:szCs w:val="52"/>
        </w:rPr>
        <w:t xml:space="preserve">Marktführerschaft in Kasachstan</w:t>
      </w:r>
    </w:p>
    <w:p>
      <w:pPr>
        <w:spacing w:after="160"/>
      </w:pPr>
      <w:r>
        <w:rPr>
          <w:rFonts w:ascii="Georgia" w:cs="Georgia" w:eastAsia="Georgia" w:hAnsi="Georgia"/>
          <w:b w:val="false"/>
          <w:bCs w:val="false"/>
          <w:i w:val="false"/>
          <w:iCs w:val="false"/>
          <w:color w:val="1A1A1A"/>
          <w:sz w:val="21"/>
          <w:szCs w:val="21"/>
        </w:rPr>
        <w:t xml:space="preserve">Wachstum über ein Referenzkundenmodell — vom Pilotprojekt Damicon zum Standardanbieter für digitale Betriebssteuerung im kasachischen Agrarsektor.</w:t>
      </w:r>
    </w:p>
    <w:p>
      <w:pPr>
        <w:spacing w:after="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FCFCF" w:sz="4"/>
              <w:left w:val="none"/>
              <w:bottom w:val="none"/>
              <w:right w:val="none"/>
            </w:tcBorders>
            <w:tcMar>
              <w:top w:type="dxa" w:w="100"/>
              <w:left w:type="dxa" w:w="0"/>
              <w:bottom w:type="dxa" w:w="100"/>
              <w:right w:type="dxa" w:w="80"/>
            </w:tcMar>
          </w:tcPr>
          <w:p>
            <w:r>
              <w:rPr>
                <w:rFonts w:ascii="Calibri" w:cs="Calibri" w:eastAsia="Calibri" w:hAnsi="Calibri"/>
                <w:b/>
                <w:bCs/>
                <w:caps/>
                <w:color w:val="6E6E6E"/>
                <w:spacing w:val="10"/>
                <w:sz w:val="17"/>
                <w:szCs w:val="17"/>
              </w:rPr>
              <w:t xml:space="preserve">Für</w:t>
            </w:r>
          </w:p>
        </w:tc>
        <w:tc>
          <w:tcPr>
            <w:tcW w:type="dxa" w:w="6826"/>
            <w:tcBorders>
              <w:top w:val="single" w:color="CFCFCF" w:sz="4"/>
              <w:left w:val="none"/>
              <w:bottom w:val="none"/>
              <w:right w:val="none"/>
            </w:tcBorders>
            <w:tcMar>
              <w:top w:type="dxa" w:w="100"/>
              <w:left w:type="dxa" w:w="80"/>
              <w:bottom w:type="dxa" w:w="100"/>
              <w:right w:type="dxa" w:w="0"/>
            </w:tcMar>
          </w:tcPr>
          <w:p>
            <w:r>
              <w:rPr>
                <w:rFonts w:ascii="Georgia" w:cs="Georgia" w:eastAsia="Georgia" w:hAnsi="Georgia"/>
                <w:color w:val="1A1A1A"/>
                <w:sz w:val="21"/>
                <w:szCs w:val="21"/>
              </w:rPr>
              <w:t xml:space="preserve">WAMOCON Geschäftsführung</w:t>
            </w:r>
          </w:p>
        </w:tc>
      </w:tr>
      <w:tr>
        <w:tc>
          <w:tcPr>
            <w:tcW w:type="dxa" w:w="2200"/>
            <w:tcBorders>
              <w:top w:val="single" w:color="CFCFCF" w:sz="4"/>
              <w:left w:val="none"/>
              <w:bottom w:val="none"/>
              <w:right w:val="none"/>
            </w:tcBorders>
            <w:tcMar>
              <w:top w:type="dxa" w:w="100"/>
              <w:left w:type="dxa" w:w="0"/>
              <w:bottom w:type="dxa" w:w="100"/>
              <w:right w:type="dxa" w:w="80"/>
            </w:tcMar>
          </w:tcPr>
          <w:p>
            <w:r>
              <w:rPr>
                <w:rFonts w:ascii="Calibri" w:cs="Calibri" w:eastAsia="Calibri" w:hAnsi="Calibri"/>
                <w:b/>
                <w:bCs/>
                <w:caps/>
                <w:color w:val="6E6E6E"/>
                <w:spacing w:val="10"/>
                <w:sz w:val="17"/>
                <w:szCs w:val="17"/>
              </w:rPr>
              <w:t xml:space="preserve">Gegenstand</w:t>
            </w:r>
          </w:p>
        </w:tc>
        <w:tc>
          <w:tcPr>
            <w:tcW w:type="dxa" w:w="6826"/>
            <w:tcBorders>
              <w:top w:val="single" w:color="CFCFCF" w:sz="4"/>
              <w:left w:val="none"/>
              <w:bottom w:val="none"/>
              <w:right w:val="none"/>
            </w:tcBorders>
            <w:tcMar>
              <w:top w:type="dxa" w:w="100"/>
              <w:left w:type="dxa" w:w="80"/>
              <w:bottom w:type="dxa" w:w="100"/>
              <w:right w:type="dxa" w:w="0"/>
            </w:tcMar>
          </w:tcPr>
          <w:p>
            <w:r>
              <w:rPr>
                <w:rFonts w:ascii="Georgia" w:cs="Georgia" w:eastAsia="Georgia" w:hAnsi="Georgia"/>
                <w:color w:val="1A1A1A"/>
                <w:sz w:val="21"/>
                <w:szCs w:val="21"/>
              </w:rPr>
              <w:t xml:space="preserve">Markteintritt Kasachstan · Referenzprojekt Damicon</w:t>
            </w:r>
          </w:p>
        </w:tc>
      </w:tr>
      <w:tr>
        <w:tc>
          <w:tcPr>
            <w:tcW w:type="dxa" w:w="2200"/>
            <w:tcBorders>
              <w:top w:val="single" w:color="CFCFCF" w:sz="4"/>
              <w:left w:val="none"/>
              <w:bottom w:val="none"/>
              <w:right w:val="none"/>
            </w:tcBorders>
            <w:tcMar>
              <w:top w:type="dxa" w:w="100"/>
              <w:left w:type="dxa" w:w="0"/>
              <w:bottom w:type="dxa" w:w="100"/>
              <w:right w:type="dxa" w:w="80"/>
            </w:tcMar>
          </w:tcPr>
          <w:p>
            <w:r>
              <w:rPr>
                <w:rFonts w:ascii="Calibri" w:cs="Calibri" w:eastAsia="Calibri" w:hAnsi="Calibri"/>
                <w:b/>
                <w:bCs/>
                <w:caps/>
                <w:color w:val="6E6E6E"/>
                <w:spacing w:val="10"/>
                <w:sz w:val="17"/>
                <w:szCs w:val="17"/>
              </w:rPr>
              <w:t xml:space="preserve">Stand</w:t>
            </w:r>
          </w:p>
        </w:tc>
        <w:tc>
          <w:tcPr>
            <w:tcW w:type="dxa" w:w="6826"/>
            <w:tcBorders>
              <w:top w:val="single" w:color="CFCFCF" w:sz="4"/>
              <w:left w:val="none"/>
              <w:bottom w:val="none"/>
              <w:right w:val="none"/>
            </w:tcBorders>
            <w:tcMar>
              <w:top w:type="dxa" w:w="100"/>
              <w:left w:type="dxa" w:w="80"/>
              <w:bottom w:type="dxa" w:w="100"/>
              <w:right w:type="dxa" w:w="0"/>
            </w:tcMar>
          </w:tcPr>
          <w:p>
            <w:r>
              <w:rPr>
                <w:rFonts w:ascii="Georgia" w:cs="Georgia" w:eastAsia="Georgia" w:hAnsi="Georgia"/>
                <w:color w:val="1A1A1A"/>
                <w:sz w:val="21"/>
                <w:szCs w:val="21"/>
              </w:rPr>
              <w:t xml:space="preserve">08. September 2026</w:t>
            </w:r>
          </w:p>
        </w:tc>
      </w:tr>
      <w:tr>
        <w:tc>
          <w:tcPr>
            <w:tcW w:type="dxa" w:w="2200"/>
            <w:tcBorders>
              <w:top w:val="single" w:color="CFCFCF" w:sz="4"/>
              <w:left w:val="none"/>
              <w:bottom w:val="none"/>
              <w:right w:val="none"/>
            </w:tcBorders>
            <w:tcMar>
              <w:top w:type="dxa" w:w="100"/>
              <w:left w:type="dxa" w:w="0"/>
              <w:bottom w:type="dxa" w:w="100"/>
              <w:right w:type="dxa" w:w="80"/>
            </w:tcMar>
          </w:tcPr>
          <w:p>
            <w:r>
              <w:rPr>
                <w:rFonts w:ascii="Calibri" w:cs="Calibri" w:eastAsia="Calibri" w:hAnsi="Calibri"/>
                <w:b/>
                <w:bCs/>
                <w:caps/>
                <w:color w:val="6E6E6E"/>
                <w:spacing w:val="10"/>
                <w:sz w:val="17"/>
                <w:szCs w:val="17"/>
              </w:rPr>
              <w:t xml:space="preserve">Erstellt von</w:t>
            </w:r>
          </w:p>
        </w:tc>
        <w:tc>
          <w:tcPr>
            <w:tcW w:type="dxa" w:w="6826"/>
            <w:tcBorders>
              <w:top w:val="single" w:color="CFCFCF" w:sz="4"/>
              <w:left w:val="none"/>
              <w:bottom w:val="none"/>
              <w:right w:val="none"/>
            </w:tcBorders>
            <w:tcMar>
              <w:top w:type="dxa" w:w="100"/>
              <w:left w:type="dxa" w:w="80"/>
              <w:bottom w:type="dxa" w:w="100"/>
              <w:right w:type="dxa" w:w="0"/>
            </w:tcMar>
          </w:tcPr>
          <w:p>
            <w:r>
              <w:rPr>
                <w:rFonts w:ascii="Georgia" w:cs="Georgia" w:eastAsia="Georgia" w:hAnsi="Georgia"/>
                <w:color w:val="1A1A1A"/>
                <w:sz w:val="21"/>
                <w:szCs w:val="21"/>
              </w:rPr>
              <w:t xml:space="preserve">WAMOCON</w:t>
            </w:r>
          </w:p>
        </w:tc>
      </w:tr>
    </w:tbl>
    <w:p>
      <w:pPr>
        <w:spacing w:after="300"/>
      </w:pPr>
    </w:p>
    <w:p>
      <w:pPr>
        <w:spacing w:after="160"/>
      </w:pPr>
      <w:r>
        <w:rPr>
          <w:rFonts w:ascii="Georgia" w:cs="Georgia" w:eastAsia="Georgia" w:hAnsi="Georgia"/>
          <w:b w:val="false"/>
          <w:bCs w:val="false"/>
          <w:i/>
          <w:iCs/>
          <w:color w:val="6E6E6E"/>
          <w:sz w:val="21"/>
          <w:szCs w:val="21"/>
        </w:rPr>
        <w:t xml:space="preserve">Vertraulich — nur für den internen Gebrauch</w:t>
      </w:r>
    </w:p>
    <w:p>
      <w:r>
        <w:br w:type="page"/>
      </w:r>
    </w:p>
    <w:p>
      <w:pPr>
        <w:pStyle w:val="Heading1"/>
        <w:spacing w:after="100"/>
      </w:pPr>
      <w:r>
        <w:rPr>
          <w:rFonts w:ascii="Calibri" w:cs="Calibri" w:eastAsia="Calibri" w:hAnsi="Calibri"/>
          <w:b/>
          <w:bCs/>
          <w:color w:val="1A1A1A"/>
          <w:sz w:val="34"/>
          <w:szCs w:val="34"/>
        </w:rPr>
        <w:t xml:space="preserve">Auf einen Blick</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p>
      <w:pPr>
        <w:spacing w:after="160"/>
      </w:pPr>
      <w:r>
        <w:rPr>
          <w:rFonts w:ascii="Georgia" w:cs="Georgia" w:eastAsia="Georgia" w:hAnsi="Georgia"/>
          <w:b w:val="false"/>
          <w:bCs w:val="false"/>
          <w:i w:val="false"/>
          <w:iCs w:val="false"/>
          <w:color w:val="1A1A1A"/>
          <w:sz w:val="21"/>
          <w:szCs w:val="21"/>
        </w:rPr>
        <w:t xml:space="preserve">Dieses Papier ist in acht Teilen plus Anhang aufgebaut. Sie können es von vorn nach hinten lesen oder gezielt in den Teil springen, der Sie interessiert.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Teil</w:t>
            </w:r>
          </w:p>
        </w:tc>
        <w:tc>
          <w:tcPr>
            <w:tcW w:type="dxa" w:w="79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Inhalt</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Executive Summary</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01</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Strategische Ausgangslage: ein sich öffnendes Marktfenster</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02</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Der Flaggschiff-Ansatz: warum Damicon der richtige erste Kunde ist</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03</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Das WAMOCON-Wertversprechen: vom Softwareanbieter zum Transformationspartner</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04</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Verzahnung mit der staatlichen Förderlandschaft</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05</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Skalierungslogik: vom Referenzkunden zur Marktführerschaft</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06</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Phasenplan</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07</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Risiken und Absicherung</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08</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Entscheidungsvorlage / nächste Schritte</w:t>
            </w:r>
          </w:p>
        </w:tc>
      </w:tr>
      <w:tr>
        <w:tc>
          <w:tcPr>
            <w:tcW w:type="dxa" w:w="11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 / B</w:t>
            </w:r>
          </w:p>
        </w:tc>
        <w:tc>
          <w:tcPr>
            <w:tcW w:type="dxa" w:w="7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Anhang: die drei Förderprogramm-Use-Cases im Detail · übergreifende Gegenprüfung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Der wichtigste Satz in diesem Dokument</w:t>
            </w:r>
          </w:p>
          <w:p>
            <w:pPr>
              <w:spacing w:after="60"/>
            </w:pPr>
            <w:r>
              <w:rPr>
                <w:rFonts w:ascii="Georgia" w:cs="Georgia" w:eastAsia="Georgia" w:hAnsi="Georgia"/>
                <w:color w:val="1A1A1A"/>
                <w:sz w:val="21"/>
                <w:szCs w:val="21"/>
              </w:rPr>
              <w:t xml:space="preserve">WAMOCON kann sich innerhalb von 24 bis 36 Monaten als führender Anbieter für digitale Betriebssteuerung im kasachischen Agrarsektor positionieren — nicht über eine breite Markteinführung, sondern über die systematische Vertiefung eines einzigen Referenzkunden: Damicon.</w:t>
            </w:r>
          </w:p>
        </w:tc>
      </w:tr>
    </w:tbl>
    <w:p>
      <w:pPr>
        <w:spacing w:after="160"/>
      </w:pPr>
    </w:p>
    <w:p>
      <w:pPr>
        <w:spacing w:after="160"/>
      </w:pPr>
      <w:r>
        <w:rPr>
          <w:rFonts w:ascii="Georgia" w:cs="Georgia" w:eastAsia="Georgia" w:hAnsi="Georgia"/>
          <w:b w:val="false"/>
          <w:bCs w:val="false"/>
          <w:i w:val="false"/>
          <w:iCs w:val="false"/>
          <w:color w:val="1A1A1A"/>
          <w:sz w:val="21"/>
          <w:szCs w:val="21"/>
        </w:rPr>
        <w:t xml:space="preserve">Dem Papier liegt ein zweiter Anhang bei: die vollständige Gegenprüfung aller drei Förderprogramm-Use-Cases (Anhang B). Sie enthält alles, was vor einer Vermarktung noch zu klären ist.</w:t>
      </w:r>
    </w:p>
    <w:p>
      <w:r>
        <w:br w:type="page"/>
      </w:r>
    </w:p>
    <w:p>
      <w:pPr>
        <w:pStyle w:val="Heading1"/>
        <w:spacing w:after="100"/>
      </w:pPr>
      <w:r>
        <w:rPr>
          <w:rFonts w:ascii="Calibri" w:cs="Calibri" w:eastAsia="Calibri" w:hAnsi="Calibri"/>
          <w:b/>
          <w:bCs/>
          <w:color w:val="1A1A1A"/>
          <w:sz w:val="34"/>
          <w:szCs w:val="34"/>
        </w:rPr>
        <w:t xml:space="preserve">Executive Summary</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p>
      <w:pPr>
        <w:pStyle w:val="Heading2"/>
        <w:spacing w:after="100" w:before="260"/>
      </w:pPr>
      <w:r>
        <w:rPr>
          <w:rFonts w:ascii="Calibri" w:cs="Calibri" w:eastAsia="Calibri" w:hAnsi="Calibri"/>
          <w:b/>
          <w:bCs/>
          <w:color w:val="B31E2D"/>
          <w:sz w:val="24"/>
          <w:szCs w:val="24"/>
        </w:rPr>
        <w:t xml:space="preserve">Ausgangslage</w:t>
      </w:r>
    </w:p>
    <w:p>
      <w:pPr>
        <w:spacing w:after="160"/>
      </w:pPr>
      <w:r>
        <w:rPr>
          <w:rFonts w:ascii="Georgia" w:cs="Georgia" w:eastAsia="Georgia" w:hAnsi="Georgia"/>
          <w:b w:val="false"/>
          <w:bCs w:val="false"/>
          <w:i w:val="false"/>
          <w:iCs w:val="false"/>
          <w:color w:val="1A1A1A"/>
          <w:sz w:val="21"/>
          <w:szCs w:val="21"/>
        </w:rPr>
        <w:t xml:space="preserve">Kasachstan treibt die Digitalisierung und Modernisierung seiner Landwirtschaft mit erheblichem finanziellem Nachdruck voran. Drei staatliche Programme belegen das mit Zahlen: die Digitalplattform qoldau.kz zählt 422.665 registrierte Nutzer und überwacht über den Dienst „Baqylauda“ explizit die Verwendung von Fördermitteln; der Damu-Fonds hat 2025 über 560 Mrd. Tenge an mehr als 13.000 Projekte ausgereicht; die Nachfolgestruktur des früheren Agrarholdings QazAgro (Agrarkreditkorporation und QazAgroFinance) hat ihr Finanzierungsvolumen seit 2022 von 522 auf 1.118,2 Mrd. Tenge mehr als verdoppelt und verfolgt mit der „Konzeption zur Entwicklung des Agrarindustriekomplexes 2021–2030“ das Ziel, die Arbeitsproduktivität zu verdreifachen und die Agrarexporte um das 3,5-Fache zu steigern. Diese Programme setzen etwas voraus, das in der Praxis kaum ein Agrarbetrieb im Land heute liefern kann: durchgängig geprüfte, digitale Produktions- und Nachweisdaten.</w:t>
      </w:r>
    </w:p>
    <w:p>
      <w:pPr>
        <w:pStyle w:val="Heading2"/>
        <w:spacing w:after="100" w:before="260"/>
      </w:pPr>
      <w:r>
        <w:rPr>
          <w:rFonts w:ascii="Calibri" w:cs="Calibri" w:eastAsia="Calibri" w:hAnsi="Calibri"/>
          <w:b/>
          <w:bCs/>
          <w:color w:val="B31E2D"/>
          <w:sz w:val="24"/>
          <w:szCs w:val="24"/>
        </w:rPr>
        <w:t xml:space="preserve">Komplikation</w:t>
      </w:r>
    </w:p>
    <w:p>
      <w:pPr>
        <w:spacing w:after="160"/>
      </w:pPr>
      <w:r>
        <w:rPr>
          <w:rFonts w:ascii="Georgia" w:cs="Georgia" w:eastAsia="Georgia" w:hAnsi="Georgia"/>
          <w:b w:val="false"/>
          <w:bCs w:val="false"/>
          <w:i w:val="false"/>
          <w:iCs w:val="false"/>
          <w:color w:val="1A1A1A"/>
          <w:sz w:val="21"/>
          <w:szCs w:val="21"/>
        </w:rPr>
        <w:t xml:space="preserve">Kein Softwareanbieter hat sich bislang als Standardlösung für diese Nachweisführung im kasachischen Agrarsektor etabliert. Gleichzeitig überzeugt in einem Markt, der auf persönliches Vertrauen und nachprüfbare Ergebnisse setzt, keine reine Ankündigungsstrategie — Aufmerksamkeit ohne einen belastbaren, geprüften Referenzfall erzeugt keine Kunden. Genauso wenig trägt die unkritische Annahme, digitale Daten würden automatisch den Zugang zu den drei Förderprogrammen verbessern: Diese Annahme ist, wie Teil 04 und der Anhang zeigen, bislang in keinem der drei Fälle bei den Institutionen selbst verifiziert.</w:t>
      </w:r>
    </w:p>
    <w:p>
      <w:pPr>
        <w:pStyle w:val="Heading2"/>
        <w:spacing w:after="100" w:before="260"/>
      </w:pPr>
      <w:r>
        <w:rPr>
          <w:rFonts w:ascii="Calibri" w:cs="Calibri" w:eastAsia="Calibri" w:hAnsi="Calibri"/>
          <w:b/>
          <w:bCs/>
          <w:color w:val="B31E2D"/>
          <w:sz w:val="24"/>
          <w:szCs w:val="24"/>
        </w:rPr>
        <w:t xml:space="preserve">Leitfrage</w:t>
      </w:r>
    </w:p>
    <w:p>
      <w:pPr>
        <w:spacing w:after="160"/>
      </w:pPr>
      <w:r>
        <w:rPr>
          <w:rFonts w:ascii="Georgia" w:cs="Georgia" w:eastAsia="Georgia" w:hAnsi="Georgia"/>
          <w:b w:val="false"/>
          <w:bCs w:val="false"/>
          <w:i w:val="false"/>
          <w:iCs w:val="false"/>
          <w:color w:val="1A1A1A"/>
          <w:sz w:val="21"/>
          <w:szCs w:val="21"/>
        </w:rPr>
        <w:t xml:space="preserve">Wie baut WAMOCON aus einem einzigen Pilotprojekt in Kasachstan eine verteidigungsfähige Marktposition auf, ohne sich auf unbelegte Annahmen oder auf eine breite, unfokussierte Kundenansprache zu stützen?</w:t>
      </w:r>
    </w:p>
    <w:p>
      <w:pPr>
        <w:pStyle w:val="Heading2"/>
        <w:spacing w:after="100" w:before="260"/>
      </w:pPr>
      <w:r>
        <w:rPr>
          <w:rFonts w:ascii="Calibri" w:cs="Calibri" w:eastAsia="Calibri" w:hAnsi="Calibri"/>
          <w:b/>
          <w:bCs/>
          <w:color w:val="B31E2D"/>
          <w:sz w:val="24"/>
          <w:szCs w:val="24"/>
        </w:rPr>
        <w:t xml:space="preserve">Antwort — die drei Hebel dieser Strategie</w:t>
      </w:r>
    </w:p>
    <w:p>
      <w:pPr>
        <w:pStyle w:val="ListParagraph"/>
        <w:numPr>
          <w:ilvl w:val="0"/>
          <w:numId w:val="1"/>
        </w:numPr>
        <w:spacing w:after="80"/>
      </w:pPr>
      <w:r>
        <w:rPr>
          <w:rFonts w:ascii="Georgia" w:cs="Georgia" w:eastAsia="Georgia" w:hAnsi="Georgia"/>
          <w:color w:val="1A1A1A"/>
          <w:sz w:val="21"/>
          <w:szCs w:val="21"/>
        </w:rPr>
        <w:t xml:space="preserve">Referenzreife vor Reichweite: Damicon wird zu einem vollständig belastbaren, extern geprüften Referenzfall ausgebaut, bevor überhaupt ein zweiter Kunde angesprochen wird.</w:t>
      </w:r>
    </w:p>
    <w:p>
      <w:pPr>
        <w:pStyle w:val="ListParagraph"/>
        <w:numPr>
          <w:ilvl w:val="0"/>
          <w:numId w:val="1"/>
        </w:numPr>
        <w:spacing w:after="80"/>
      </w:pPr>
      <w:r>
        <w:rPr>
          <w:rFonts w:ascii="Georgia" w:cs="Georgia" w:eastAsia="Georgia" w:hAnsi="Georgia"/>
          <w:color w:val="1A1A1A"/>
          <w:sz w:val="21"/>
          <w:szCs w:val="21"/>
        </w:rPr>
        <w:t xml:space="preserve">Systematische Replizierbarkeit: Jeder bei Damicon erfolgreiche Schritt wird als Playbook dokumentiert (Ziel, Vorgehen, Kennzahlen, Risiken), bevor er auf weitere Betriebe übertragen wird.</w:t>
      </w:r>
    </w:p>
    <w:p>
      <w:pPr>
        <w:pStyle w:val="ListParagraph"/>
        <w:numPr>
          <w:ilvl w:val="0"/>
          <w:numId w:val="1"/>
        </w:numPr>
        <w:spacing w:after="80"/>
      </w:pPr>
      <w:r>
        <w:rPr>
          <w:rFonts w:ascii="Georgia" w:cs="Georgia" w:eastAsia="Georgia" w:hAnsi="Georgia"/>
          <w:color w:val="1A1A1A"/>
          <w:sz w:val="21"/>
          <w:szCs w:val="21"/>
        </w:rPr>
        <w:t xml:space="preserve">Verzahnung ohne Abhängigkeit: WAMOCON richtet seine Positionierung an den drei staatlichen Förderprogrammen aus, macht den eigenen Erfolg aber nicht von deren Förderzusagen abhängig — der operative Nutzen der Nachweiskette trägt auch ohne bewilligten Förderantrag.</w:t>
      </w:r>
    </w:p>
    <w:p>
      <w:pPr>
        <w:spacing w:after="160"/>
      </w:pPr>
      <w:r>
        <w:rPr>
          <w:rFonts w:ascii="Georgia" w:cs="Georgia" w:eastAsia="Georgia" w:hAnsi="Georgia"/>
          <w:b/>
          <w:bCs/>
          <w:i w:val="false"/>
          <w:iCs w:val="false"/>
          <w:color w:val="1A1A1A"/>
          <w:sz w:val="21"/>
          <w:szCs w:val="21"/>
        </w:rPr>
        <w:t xml:space="preserve">Dieses Papier begründet jeden der drei Hebel, benennt die Risiken ungeschönt — inklusive der Ergebnisse einer eigens durchgeführten Gegenprüfung, die alle drei Förderprogramm-Use-Cases im Anhang herabgestuft hat — und schlägt einen konkreten Dreiphasen-Fahrplan mit Entscheidungsvorlage vor.</w:t>
      </w:r>
    </w:p>
    <w:p>
      <w:r>
        <w:br w:type="page"/>
      </w:r>
    </w:p>
    <w:p>
      <w:pPr>
        <w:spacing w:after="60" w:before="420"/>
      </w:pPr>
      <w:r>
        <w:rPr>
          <w:rFonts w:ascii="Calibri" w:cs="Calibri" w:eastAsia="Calibri" w:hAnsi="Calibri"/>
          <w:b/>
          <w:bCs/>
          <w:caps/>
          <w:color w:val="B31E2D"/>
          <w:spacing w:val="20"/>
          <w:sz w:val="17"/>
          <w:szCs w:val="17"/>
        </w:rPr>
        <w:t xml:space="preserve">TEIL 01</w:t>
      </w:r>
    </w:p>
    <w:p>
      <w:pPr>
        <w:pStyle w:val="Heading1"/>
        <w:spacing w:after="100"/>
      </w:pPr>
      <w:r>
        <w:rPr>
          <w:rFonts w:ascii="Calibri" w:cs="Calibri" w:eastAsia="Calibri" w:hAnsi="Calibri"/>
          <w:b/>
          <w:bCs/>
          <w:color w:val="1A1A1A"/>
          <w:sz w:val="34"/>
          <w:szCs w:val="34"/>
        </w:rPr>
        <w:t xml:space="preserve">Strategische Ausgangslage: ein sich öffnendes Marktfenster</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Kernaussage</w:t>
            </w:r>
          </w:p>
          <w:p>
            <w:pPr>
              <w:spacing w:after="60"/>
            </w:pPr>
            <w:r>
              <w:rPr>
                <w:rFonts w:ascii="Georgia" w:cs="Georgia" w:eastAsia="Georgia" w:hAnsi="Georgia"/>
                <w:color w:val="1A1A1A"/>
                <w:sz w:val="21"/>
                <w:szCs w:val="21"/>
              </w:rPr>
              <w:t xml:space="preserve">Kasachstans Agrarpolitik erzeugt einen strukturellen, staatlich finanzierten Bedarf an digitaler Nachweisführung, für den es noch keinen etablierten Anbieter gibt.</w:t>
            </w:r>
          </w:p>
        </w:tc>
      </w:tr>
    </w:tbl>
    <w:p>
      <w:pPr>
        <w:spacing w:after="200"/>
      </w:pPr>
    </w:p>
    <w:p>
      <w:pPr>
        <w:spacing w:after="160"/>
      </w:pPr>
      <w:r>
        <w:rPr>
          <w:rFonts w:ascii="Georgia" w:cs="Georgia" w:eastAsia="Georgia" w:hAnsi="Georgia"/>
          <w:b w:val="false"/>
          <w:bCs w:val="false"/>
          <w:i w:val="false"/>
          <w:iCs w:val="false"/>
          <w:color w:val="1A1A1A"/>
          <w:sz w:val="21"/>
          <w:szCs w:val="21"/>
        </w:rPr>
        <w:t xml:space="preserve">Der Bedarf ist nicht abstrakt, sondern in drei konkreten, wachsenden Förderprogrammen messbar hinterlegt: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326"/>
      </w:tblGrid>
      <w:tr>
        <w:tc>
          <w:tcPr>
            <w:tcW w:type="dxa" w:w="17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Programm</w:t>
            </w:r>
          </w:p>
        </w:tc>
        <w:tc>
          <w:tcPr>
            <w:tcW w:type="dxa" w:w="24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Träger</w:t>
            </w:r>
          </w:p>
        </w:tc>
        <w:tc>
          <w:tcPr>
            <w:tcW w:type="dxa" w:w="26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Mechanismus</w:t>
            </w:r>
          </w:p>
        </w:tc>
        <w:tc>
          <w:tcPr>
            <w:tcW w:type="dxa" w:w="23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Kennzahlen (2025/26)</w:t>
            </w:r>
          </w:p>
        </w:tc>
      </w:tr>
      <w:tr>
        <w:tc>
          <w:tcPr>
            <w:tcW w:type="dxa" w:w="17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qoldau.kz</w:t>
            </w:r>
          </w:p>
        </w:tc>
        <w:tc>
          <w:tcPr>
            <w:tcW w:type="dxa" w:w="2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Digitale Plattform für Unternehmen/Bürger, Dienst „Baqylauda“</w:t>
            </w:r>
          </w:p>
        </w:tc>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Überwacht, wer Fördermittel erhält und wie sie verwendet werden — Transparenzsystem</w:t>
            </w:r>
          </w:p>
        </w:tc>
        <w:tc>
          <w:tcPr>
            <w:tcW w:type="dxa" w:w="23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422.665 Nutzer; angebunden: 1.283,3 Mrd. Tenge Kreditportfolio, 52.326 Kunden</w:t>
            </w:r>
          </w:p>
        </w:tc>
      </w:tr>
      <w:tr>
        <w:tc>
          <w:tcPr>
            <w:tcW w:type="dxa" w:w="17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Damu-Fonds</w:t>
            </w:r>
          </w:p>
        </w:tc>
        <w:tc>
          <w:tcPr>
            <w:tcW w:type="dxa" w:w="2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Staatlicher KMU-Förderfonds</w:t>
            </w:r>
          </w:p>
        </w:tc>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Bürgschaften bis 85 %, Zinssubventionen für Agrarunternehmer</w:t>
            </w:r>
          </w:p>
        </w:tc>
        <w:tc>
          <w:tcPr>
            <w:tcW w:type="dxa" w:w="23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2025: &gt;560 Mrd. Tenge, 13.000 Projekte, ~15.000 Arbeitsplätze</w:t>
            </w:r>
          </w:p>
        </w:tc>
      </w:tr>
      <w:tr>
        <w:tc>
          <w:tcPr>
            <w:tcW w:type="dxa" w:w="17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QazAgro-Nachfolge (AKK/KAF)</w:t>
            </w:r>
          </w:p>
        </w:tc>
        <w:tc>
          <w:tcPr>
            <w:tcW w:type="dxa" w:w="2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Agrarkreditkorporation + QazAgroFinance, Baiterek-Holding</w:t>
            </w:r>
          </w:p>
        </w:tc>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Vergünstigte Kredite, Leasingsubvention bis 25 % der Technikkosten</w:t>
            </w:r>
          </w:p>
        </w:tc>
        <w:tc>
          <w:tcPr>
            <w:tcW w:type="dxa" w:w="23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Finanzierungsvolumen 2025: 1.118,2 Mrd. Tenge (2022: 522 Mrd.); Zielwerte 2030: Produktivität ×3, Export ×3,5</w:t>
            </w:r>
          </w:p>
        </w:tc>
      </w:tr>
    </w:tbl>
    <w:p>
      <w:pPr>
        <w:spacing w:after="220"/>
      </w:pPr>
      <w:r>
        <w:rPr>
          <w:rFonts w:ascii="Georgia" w:cs="Georgia" w:eastAsia="Georgia" w:hAnsi="Georgia"/>
          <w:i/>
          <w:iCs/>
          <w:color w:val="6E6E6E"/>
          <w:sz w:val="17"/>
          <w:szCs w:val="17"/>
        </w:rPr>
        <w:t xml:space="preserve">Abbildung 1: Die drei recherchierten Förderprogramme im Überblick. Quellen: qoldau.kz, agrocredit.kz, baiterek.gov.kz, akorda.kz, primeminister.kz.</w:t>
      </w:r>
    </w:p>
    <w:p>
      <w:pPr>
        <w:pStyle w:val="Heading2"/>
        <w:spacing w:after="100" w:before="260"/>
      </w:pPr>
      <w:r>
        <w:rPr>
          <w:rFonts w:ascii="Calibri" w:cs="Calibri" w:eastAsia="Calibri" w:hAnsi="Calibri"/>
          <w:b/>
          <w:bCs/>
          <w:color w:val="B31E2D"/>
          <w:sz w:val="24"/>
          <w:szCs w:val="24"/>
        </w:rPr>
        <w:t xml:space="preserve">Warum das ein Zeitfenster ist, kein Dauerzustand</w:t>
      </w:r>
    </w:p>
    <w:p>
      <w:pPr>
        <w:spacing w:after="160"/>
      </w:pPr>
      <w:r>
        <w:rPr>
          <w:rFonts w:ascii="Georgia" w:cs="Georgia" w:eastAsia="Georgia" w:hAnsi="Georgia"/>
          <w:b w:val="false"/>
          <w:bCs w:val="false"/>
          <w:i w:val="false"/>
          <w:iCs w:val="false"/>
          <w:color w:val="1A1A1A"/>
          <w:sz w:val="21"/>
          <w:szCs w:val="21"/>
        </w:rPr>
        <w:t xml:space="preserve">Das Finanzierungsvolumen von AKK und KAF hat sich seit 2022 mehr als verdoppelt — ein wachsendes Kreditbuch dieser Größenordnung stößt bei rein manueller Einzelfallprüfung an Grenzen und erhöht strukturell den Bedarf an standardisierten, prüfbaren Daten. Wer sich jetzt als Anbieter für diese Nachweisführung positioniert, tut das, bevor Wettbewerber — internationale ERP-Anbieter ebenso wie lokale Systemhäuser — das Feld besetzen. Dieses Fenster ist real, aber nicht unbegrenzt: Es schließt sich, sobald ein anderer Anbieter den ersten überzeugenden Referenzfall im Land vorweisen kann.</w:t>
      </w:r>
    </w:p>
    <w:p>
      <w:pPr>
        <w:pStyle w:val="Heading2"/>
        <w:spacing w:after="100" w:before="260"/>
      </w:pPr>
      <w:r>
        <w:rPr>
          <w:rFonts w:ascii="Calibri" w:cs="Calibri" w:eastAsia="Calibri" w:hAnsi="Calibri"/>
          <w:b/>
          <w:bCs/>
          <w:color w:val="B31E2D"/>
          <w:sz w:val="24"/>
          <w:szCs w:val="24"/>
        </w:rPr>
        <w:t xml:space="preserve">Eine wichtige Einschränkung vorab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9820A"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C9820A"/>
                <w:spacing w:val="20"/>
                <w:sz w:val="16"/>
                <w:szCs w:val="16"/>
              </w:rPr>
              <w:t xml:space="preserve">Prüfhinweis</w:t>
            </w:r>
          </w:p>
          <w:p>
            <w:pPr>
              <w:spacing w:after="60"/>
            </w:pPr>
            <w:r>
              <w:rPr>
                <w:rFonts w:ascii="Georgia" w:cs="Georgia" w:eastAsia="Georgia" w:hAnsi="Georgia"/>
                <w:color w:val="1A1A1A"/>
                <w:sz w:val="21"/>
                <w:szCs w:val="21"/>
              </w:rPr>
              <w:t xml:space="preserve">Dass digitale Nachweisdaten den Zugang zu diesen drei Programmen tatsächlich verbessern, ist eine plausible, aber bislang unbewiesene Hypothese. Keines der drei Programme bestätigt öffentlich, dass es Daten aus privater Betriebssoftware als Entscheidungskriterium akzeptiert. Diese Strategie behandelt die Verzahnung deshalb explizit als zu verifizierende Hypothese, nicht als gesicherte Tatsache — die Prüfung dazu ist der erste Baustein von Phase 1 (Teil 06), nicht eine Randnotiz.</w:t>
            </w:r>
          </w:p>
        </w:tc>
      </w:tr>
    </w:tbl>
    <w:p>
      <w:r>
        <w:br w:type="page"/>
      </w:r>
    </w:p>
    <w:p>
      <w:pPr>
        <w:spacing w:after="60" w:before="420"/>
      </w:pPr>
      <w:r>
        <w:rPr>
          <w:rFonts w:ascii="Calibri" w:cs="Calibri" w:eastAsia="Calibri" w:hAnsi="Calibri"/>
          <w:b/>
          <w:bCs/>
          <w:caps/>
          <w:color w:val="B31E2D"/>
          <w:spacing w:val="20"/>
          <w:sz w:val="17"/>
          <w:szCs w:val="17"/>
        </w:rPr>
        <w:t xml:space="preserve">TEIL 02</w:t>
      </w:r>
    </w:p>
    <w:p>
      <w:pPr>
        <w:pStyle w:val="Heading1"/>
        <w:spacing w:after="100"/>
      </w:pPr>
      <w:r>
        <w:rPr>
          <w:rFonts w:ascii="Calibri" w:cs="Calibri" w:eastAsia="Calibri" w:hAnsi="Calibri"/>
          <w:b/>
          <w:bCs/>
          <w:color w:val="1A1A1A"/>
          <w:sz w:val="34"/>
          <w:szCs w:val="34"/>
        </w:rPr>
        <w:t xml:space="preserve">Der Flaggschiff-Ansatz: warum Damicon der richtige erste Kunde ist</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Kernaussage</w:t>
            </w:r>
          </w:p>
          <w:p>
            <w:pPr>
              <w:spacing w:after="60"/>
            </w:pPr>
            <w:r>
              <w:rPr>
                <w:rFonts w:ascii="Georgia" w:cs="Georgia" w:eastAsia="Georgia" w:hAnsi="Georgia"/>
                <w:color w:val="1A1A1A"/>
                <w:sz w:val="21"/>
                <w:szCs w:val="21"/>
              </w:rPr>
              <w:t xml:space="preserve">Damicon erfüllt drei Voraussetzungen eines wirksamen Referenzkunden gleichzeitig — operative Reife, Investitionsfähigkeit und Sichtbarkeit im Zielmarkt. Diese Kombination ist selten und sollte konzentriert genutzt werden, statt sie auf mehrere Frühkunden zu verteilen.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Voraussetzung</w:t>
            </w:r>
          </w:p>
        </w:tc>
        <w:tc>
          <w:tcPr>
            <w:tcW w:type="dxa" w:w="66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Status bei Damicon</w:t>
            </w:r>
          </w:p>
        </w:tc>
      </w:tr>
      <w:tr>
        <w:tc>
          <w:tcPr>
            <w:tcW w:type="dxa" w:w="2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Operative Reife</w:t>
            </w:r>
          </w:p>
        </w:tc>
        <w:tc>
          <w:tcPr>
            <w:tcW w:type="dxa" w:w="66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Das System befindet sich bereits im produktiven Einsatz (Meilenstein C: geschlossene Nachweiskette). 8 von 14 Baseline-Kennzahlen werden aus echten Betriebsdaten berechnet, nicht behauptet.</w:t>
            </w:r>
          </w:p>
        </w:tc>
      </w:tr>
      <w:tr>
        <w:tc>
          <w:tcPr>
            <w:tcW w:type="dxa" w:w="2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Investitionsfähigkeit</w:t>
            </w:r>
          </w:p>
        </w:tc>
        <w:tc>
          <w:tcPr>
            <w:tcW w:type="dxa" w:w="66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Der Betrieb verfügt über die finanzielle Kapazität, in ein Vorzeigeprojekt zu investieren — eine Voraussetzung, die bei den meisten Kleinbetrieben in der Pilotphase fehlt.</w:t>
            </w:r>
          </w:p>
        </w:tc>
      </w:tr>
      <w:tr>
        <w:tc>
          <w:tcPr>
            <w:tcW w:type="dxa" w:w="2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Sichtbarkeit im Zielmarkt</w:t>
            </w:r>
          </w:p>
        </w:tc>
        <w:tc>
          <w:tcPr>
            <w:tcW w:type="dxa" w:w="66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Die Position im heimischen Agrarsektor macht einen dokumentierten Referenzfall wirksam, sobald er veröffentlicht wird — Reichweite, die ein anonymer Kleinstbetrieb nicht mitbringt.</w:t>
            </w:r>
          </w:p>
        </w:tc>
      </w:tr>
    </w:tbl>
    <w:p>
      <w:pPr>
        <w:spacing w:after="220"/>
      </w:pPr>
      <w:r>
        <w:rPr>
          <w:rFonts w:ascii="Georgia" w:cs="Georgia" w:eastAsia="Georgia" w:hAnsi="Georgia"/>
          <w:i/>
          <w:iCs/>
          <w:color w:val="6E6E6E"/>
          <w:sz w:val="17"/>
          <w:szCs w:val="17"/>
        </w:rPr>
        <w:t xml:space="preserve">Abbildung 2: Bewertung von Damicon anhand der drei Referenzkunden-Kriterien.</w:t>
      </w:r>
    </w:p>
    <w:p>
      <w:pPr>
        <w:pStyle w:val="Heading2"/>
        <w:spacing w:after="100" w:before="260"/>
      </w:pPr>
      <w:r>
        <w:rPr>
          <w:rFonts w:ascii="Calibri" w:cs="Calibri" w:eastAsia="Calibri" w:hAnsi="Calibri"/>
          <w:b/>
          <w:bCs/>
          <w:color w:val="B31E2D"/>
          <w:sz w:val="24"/>
          <w:szCs w:val="24"/>
        </w:rPr>
        <w:t xml:space="preserve">Der persönliche Nutzen für die Betriebsleitung</w:t>
      </w:r>
    </w:p>
    <w:p>
      <w:pPr>
        <w:spacing w:after="160"/>
      </w:pPr>
      <w:r>
        <w:rPr>
          <w:rFonts w:ascii="Georgia" w:cs="Georgia" w:eastAsia="Georgia" w:hAnsi="Georgia"/>
          <w:b w:val="false"/>
          <w:bCs w:val="false"/>
          <w:i w:val="false"/>
          <w:iCs w:val="false"/>
          <w:color w:val="1A1A1A"/>
          <w:sz w:val="21"/>
          <w:szCs w:val="21"/>
        </w:rPr>
        <w:t xml:space="preserve">Erfolgreiche Referenzprojekte entstehen nicht nur aus einem wirtschaftlichen Kalkül, sondern auch aus einem persönlichen: Die Betriebsleitung von Damicon gewinnt durch die Rolle als Vorreiterbetrieb eine stärkere Verhandlungsposition bei Krediten und Förderanträgen, einen dokumentierten Wettbewerbsvorteil beim Export und öffentliche Sichtbarkeit als Innovationsführer der Branche. Dieser persönliche Nutzen sollte im Kundengespräch ebenso adressiert werden wie der betriebswirtschaftliche.</w:t>
      </w:r>
    </w:p>
    <w:p>
      <w:pPr>
        <w:pStyle w:val="Heading2"/>
        <w:spacing w:after="100" w:before="260"/>
      </w:pPr>
      <w:r>
        <w:rPr>
          <w:rFonts w:ascii="Calibri" w:cs="Calibri" w:eastAsia="Calibri" w:hAnsi="Calibri"/>
          <w:b/>
          <w:bCs/>
          <w:color w:val="B31E2D"/>
          <w:sz w:val="24"/>
          <w:szCs w:val="24"/>
        </w:rPr>
        <w:t xml:space="preserve">Konsequenz für die Ressourcenallokation</w:t>
      </w:r>
    </w:p>
    <w:p>
      <w:pPr>
        <w:spacing w:after="160"/>
      </w:pPr>
      <w:r>
        <w:rPr>
          <w:rFonts w:ascii="Georgia" w:cs="Georgia" w:eastAsia="Georgia" w:hAnsi="Georgia"/>
          <w:b w:val="false"/>
          <w:bCs w:val="false"/>
          <w:i w:val="false"/>
          <w:iCs w:val="false"/>
          <w:color w:val="1A1A1A"/>
          <w:sz w:val="21"/>
          <w:szCs w:val="21"/>
        </w:rPr>
        <w:t xml:space="preserve">Aus dieser Bewertung folgt eine bewusste Einschränkung: In den ersten zwölf Monaten wird kein zweiter Pilotkunde angesprochen. Die volle Aufmerksamkeit gilt der Vertiefung bei Damicon — Datenreife, Prüfschritte mit den drei Förderinstitutionen, dokumentierte Ergebnisse. Ein zu früh gestreuter Fokus verwässert genau die Referenzqualität, die den gesamten weiteren Fahrplan trägt.</w:t>
      </w:r>
    </w:p>
    <w:p>
      <w:r>
        <w:br w:type="page"/>
      </w:r>
    </w:p>
    <w:p>
      <w:pPr>
        <w:spacing w:after="60" w:before="420"/>
      </w:pPr>
      <w:r>
        <w:rPr>
          <w:rFonts w:ascii="Calibri" w:cs="Calibri" w:eastAsia="Calibri" w:hAnsi="Calibri"/>
          <w:b/>
          <w:bCs/>
          <w:caps/>
          <w:color w:val="B31E2D"/>
          <w:spacing w:val="20"/>
          <w:sz w:val="17"/>
          <w:szCs w:val="17"/>
        </w:rPr>
        <w:t xml:space="preserve">TEIL 03</w:t>
      </w:r>
    </w:p>
    <w:p>
      <w:pPr>
        <w:pStyle w:val="Heading1"/>
        <w:spacing w:after="100"/>
      </w:pPr>
      <w:r>
        <w:rPr>
          <w:rFonts w:ascii="Calibri" w:cs="Calibri" w:eastAsia="Calibri" w:hAnsi="Calibri"/>
          <w:b/>
          <w:bCs/>
          <w:color w:val="1A1A1A"/>
          <w:sz w:val="34"/>
          <w:szCs w:val="34"/>
        </w:rPr>
        <w:t xml:space="preserve">Das WAMOCON-Wertversprechen: vom Softwareanbieter zum Transformationspartner</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Kernaussage</w:t>
            </w:r>
          </w:p>
          <w:p>
            <w:pPr>
              <w:spacing w:after="60"/>
            </w:pPr>
            <w:r>
              <w:rPr>
                <w:rFonts w:ascii="Georgia" w:cs="Georgia" w:eastAsia="Georgia" w:hAnsi="Georgia"/>
                <w:color w:val="1A1A1A"/>
                <w:sz w:val="21"/>
                <w:szCs w:val="21"/>
              </w:rPr>
              <w:t xml:space="preserve">WAMOCONs verkaufbares Produkt ist nicht die Software selbst, sondern nachweisbare betriebliche Exzellenz — erzeugt durch das Zusammenspiel von Beratung, Prozessdigitalisierung, Automatisierung und, perspektivisch, KI-gestützten Werkzeugen.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Kompetenzsäule</w:t>
            </w:r>
          </w:p>
        </w:tc>
        <w:tc>
          <w:tcPr>
            <w:tcW w:type="dxa" w:w="36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Nachweis am Beispiel Damicon</w:t>
            </w:r>
          </w:p>
        </w:tc>
        <w:tc>
          <w:tcPr>
            <w:tcW w:type="dxa" w:w="32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Ausblick</w:t>
            </w:r>
          </w:p>
        </w:tc>
      </w:tr>
      <w:tr>
        <w:tc>
          <w:tcPr>
            <w:tcW w:type="dxa" w:w="22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Beratung &amp; Prozessdigitalisierung</w:t>
            </w:r>
          </w:p>
        </w:tc>
        <w:tc>
          <w:tcPr>
            <w:tcW w:type="dxa" w:w="3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Papierbasierte Abläufe (Wartezeiten, Kühlkette, Freigaben) wurden in ein durchgängiges, dokumentiertes Prozessmodell überführt.</w:t>
            </w:r>
          </w:p>
        </w:tc>
        <w:tc>
          <w:tcPr>
            <w:tcW w:type="dxa" w:w="32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Übertragung des Beratungsmodells auf weitere Sonderkultur-Betriebe.</w:t>
            </w:r>
          </w:p>
        </w:tc>
      </w:tr>
      <w:tr>
        <w:tc>
          <w:tcPr>
            <w:tcW w:type="dxa" w:w="22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Automatisierte Geschäftsprozesse</w:t>
            </w:r>
          </w:p>
        </w:tc>
        <w:tc>
          <w:tcPr>
            <w:tcW w:type="dxa" w:w="3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Regeln liegen als Datenbank-Trigger vor (Reihenblock-Sperre, Rotationsplan, Kühlkettenbewertung) — im UI nicht umgehbar, reduziert menschliches Fehlerrisiko strukturell statt organisatorisch.</w:t>
            </w:r>
          </w:p>
        </w:tc>
        <w:tc>
          <w:tcPr>
            <w:tcW w:type="dxa" w:w="32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Standardisiertes Regelwerk als wiederverwendbare Referenzarchitektur.</w:t>
            </w:r>
          </w:p>
        </w:tc>
      </w:tr>
      <w:tr>
        <w:tc>
          <w:tcPr>
            <w:tcW w:type="dxa" w:w="22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KI- und Werkzeug-Integration</w:t>
            </w:r>
          </w:p>
        </w:tc>
        <w:tc>
          <w:tcPr>
            <w:tcW w:type="dxa" w:w="3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Heute: strukturierte, saubere Datenbasis als Voraussetzung. Noch nicht umgesetzt.</w:t>
            </w:r>
          </w:p>
        </w:tc>
        <w:tc>
          <w:tcPr>
            <w:tcW w:type="dxa" w:w="32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Anomalieerkennung in Kühlkettendaten, Prognosemodelle für Erntezeitpunkt/-menge, automatisierte Aufbereitung von Prüfdokumenten für Förderanträge — verankert in Phase 3 (Teil 06).</w:t>
            </w:r>
          </w:p>
        </w:tc>
      </w:tr>
    </w:tbl>
    <w:p>
      <w:pPr>
        <w:spacing w:after="220"/>
      </w:pPr>
      <w:r>
        <w:rPr>
          <w:rFonts w:ascii="Georgia" w:cs="Georgia" w:eastAsia="Georgia" w:hAnsi="Georgia"/>
          <w:i/>
          <w:iCs/>
          <w:color w:val="6E6E6E"/>
          <w:sz w:val="17"/>
          <w:szCs w:val="17"/>
        </w:rPr>
        <w:t xml:space="preserve">Abbildung 3: Die drei Kompetenzsäulen des WAMOCON-Wertversprechens.</w:t>
      </w:r>
    </w:p>
    <w:p>
      <w:pPr>
        <w:spacing w:after="160"/>
      </w:pPr>
      <w:r>
        <w:rPr>
          <w:rFonts w:ascii="Georgia" w:cs="Georgia" w:eastAsia="Georgia" w:hAnsi="Georgia"/>
          <w:b/>
          <w:bCs/>
          <w:i w:val="false"/>
          <w:iCs w:val="false"/>
          <w:color w:val="1A1A1A"/>
          <w:sz w:val="21"/>
          <w:szCs w:val="21"/>
        </w:rPr>
        <w:t xml:space="preserve">Das daraus abgeleitete Nutzenversprechen für künftige Kunden lautet: Wer mit WAMOCON arbeitet, digitalisiert nicht nur einzelne Abläufe, sondern wird zu einem nachweisbaren Vorzeigebetrieb seiner Branche — mit Daten, die sowohl operativ nutzbar als auch gegenüber Banken, Förderinstitutionen und Exportpartnern belastbar sind.</w:t>
      </w:r>
    </w:p>
    <w:p>
      <w:r>
        <w:br w:type="page"/>
      </w:r>
    </w:p>
    <w:p>
      <w:pPr>
        <w:spacing w:after="60" w:before="420"/>
      </w:pPr>
      <w:r>
        <w:rPr>
          <w:rFonts w:ascii="Calibri" w:cs="Calibri" w:eastAsia="Calibri" w:hAnsi="Calibri"/>
          <w:b/>
          <w:bCs/>
          <w:caps/>
          <w:color w:val="B31E2D"/>
          <w:spacing w:val="20"/>
          <w:sz w:val="17"/>
          <w:szCs w:val="17"/>
        </w:rPr>
        <w:t xml:space="preserve">TEIL 04</w:t>
      </w:r>
    </w:p>
    <w:p>
      <w:pPr>
        <w:pStyle w:val="Heading1"/>
        <w:spacing w:after="100"/>
      </w:pPr>
      <w:r>
        <w:rPr>
          <w:rFonts w:ascii="Calibri" w:cs="Calibri" w:eastAsia="Calibri" w:hAnsi="Calibri"/>
          <w:b/>
          <w:bCs/>
          <w:color w:val="1A1A1A"/>
          <w:sz w:val="34"/>
          <w:szCs w:val="34"/>
        </w:rPr>
        <w:t xml:space="preserve">Verzahnung mit der staatlichen Förderlandschaft</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Kernaussage</w:t>
            </w:r>
          </w:p>
          <w:p>
            <w:pPr>
              <w:spacing w:after="60"/>
            </w:pPr>
            <w:r>
              <w:rPr>
                <w:rFonts w:ascii="Georgia" w:cs="Georgia" w:eastAsia="Georgia" w:hAnsi="Georgia"/>
                <w:color w:val="1A1A1A"/>
                <w:sz w:val="21"/>
                <w:szCs w:val="21"/>
              </w:rPr>
              <w:t xml:space="preserve">Jedes der drei Förderprogramme bedient eine andere Wachstumsphase eines Kundenbetriebs; WAMOCON positioniert sich entlang aller drei, priorisiert aber nach Reifegrad der eigenen Datenbasis und nach dem Ergebnis der Gegenprüfung.</w:t>
            </w:r>
          </w:p>
        </w:tc>
      </w:tr>
    </w:tbl>
    <w:p>
      <w:pPr>
        <w:spacing w:after="200"/>
      </w:pPr>
    </w:p>
    <w:p>
      <w:pPr>
        <w:pStyle w:val="Heading2"/>
        <w:spacing w:after="100" w:before="260"/>
      </w:pPr>
      <w:r>
        <w:rPr>
          <w:rFonts w:ascii="Calibri" w:cs="Calibri" w:eastAsia="Calibri" w:hAnsi="Calibri"/>
          <w:b/>
          <w:bCs/>
          <w:color w:val="B31E2D"/>
          <w:sz w:val="24"/>
          <w:szCs w:val="24"/>
        </w:rPr>
        <w:t xml:space="preserve">qoldau.kz / Baqylauda — Nachweis-Zulieferer (Priorität 1)</w:t>
      </w:r>
    </w:p>
    <w:p>
      <w:pPr>
        <w:spacing w:after="160"/>
      </w:pPr>
      <w:r>
        <w:rPr>
          <w:rFonts w:ascii="Georgia" w:cs="Georgia" w:eastAsia="Georgia" w:hAnsi="Georgia"/>
          <w:b w:val="false"/>
          <w:bCs w:val="false"/>
          <w:i w:val="false"/>
          <w:iCs w:val="false"/>
          <w:color w:val="1A1A1A"/>
          <w:sz w:val="21"/>
          <w:szCs w:val="21"/>
        </w:rPr>
        <w:t xml:space="preserve">Damicon liefert aus der ohnehin vorhandenen Nachweiskette ein strukturiertes Exportdokument für den manuellen Upload bei Förderprüfungen. Eine automatisierte Anbindung an Baqylauda ist nicht belegbar; tragfähig ist ausschließlich die manuelle, ehrlich kommunizierte Variante. Dieser Nutzen trägt unabhängig vom Ausgang eines Förderantrags — das macht ihn zum robustesten der drei Use Cases und zur ersten Priorität.</w:t>
      </w:r>
    </w:p>
    <w:p>
      <w:pPr>
        <w:pStyle w:val="Heading2"/>
        <w:spacing w:after="100" w:before="260"/>
      </w:pPr>
      <w:r>
        <w:rPr>
          <w:rFonts w:ascii="Calibri" w:cs="Calibri" w:eastAsia="Calibri" w:hAnsi="Calibri"/>
          <w:b/>
          <w:bCs/>
          <w:color w:val="B31E2D"/>
          <w:sz w:val="24"/>
          <w:szCs w:val="24"/>
        </w:rPr>
        <w:t xml:space="preserve">QazAgro-Nachfolge (AKK/KAF) — Produktivität und Modernisierung (Priorität 2)</w:t>
      </w:r>
    </w:p>
    <w:p>
      <w:pPr>
        <w:spacing w:after="160"/>
      </w:pPr>
      <w:r>
        <w:rPr>
          <w:rFonts w:ascii="Georgia" w:cs="Georgia" w:eastAsia="Georgia" w:hAnsi="Georgia"/>
          <w:b w:val="false"/>
          <w:bCs w:val="false"/>
          <w:i w:val="false"/>
          <w:iCs w:val="false"/>
          <w:color w:val="1A1A1A"/>
          <w:sz w:val="21"/>
          <w:szCs w:val="21"/>
        </w:rPr>
        <w:t xml:space="preserve">Das KPI-Cockpit kann die Förderfähigkeit für KAF-Technikleasing unterstützen, sofern zwei Bedingungen erfüllt sind: die verbleibenden sechs von vierzehn Kennzahlen werden ergänzt, und ein AKK/KAF-Sachbearbeiter bestätigt vorab, dass digitale Produktivitätsdaten und Kühl-/Sortiertechnik für Sonderkulturen überhaupt in die Kreditprüfung einfließen. Die „Konzeption 2021–2030“ nennt Beerenanbau nicht ausdrücklich — das ist eine echte, ungeklärte Lücke.</w:t>
      </w:r>
    </w:p>
    <w:p>
      <w:pPr>
        <w:pStyle w:val="Heading2"/>
        <w:spacing w:after="100" w:before="260"/>
      </w:pPr>
      <w:r>
        <w:rPr>
          <w:rFonts w:ascii="Calibri" w:cs="Calibri" w:eastAsia="Calibri" w:hAnsi="Calibri"/>
          <w:b/>
          <w:bCs/>
          <w:color w:val="B31E2D"/>
          <w:sz w:val="24"/>
          <w:szCs w:val="24"/>
        </w:rPr>
        <w:t xml:space="preserve">Damu-Fonds — Bankfähigkeit (Priorität 3, Phase 2)</w:t>
      </w:r>
    </w:p>
    <w:p>
      <w:pPr>
        <w:spacing w:after="160"/>
      </w:pPr>
      <w:r>
        <w:rPr>
          <w:rFonts w:ascii="Georgia" w:cs="Georgia" w:eastAsia="Georgia" w:hAnsi="Georgia"/>
          <w:b w:val="false"/>
          <w:bCs w:val="false"/>
          <w:i w:val="false"/>
          <w:iCs w:val="false"/>
          <w:color w:val="1A1A1A"/>
          <w:sz w:val="21"/>
          <w:szCs w:val="21"/>
        </w:rPr>
        <w:t xml:space="preserve">Digitale Produktions- und Finanzdaten können die Kreditwürdigkeit für Damu-Bürgschaften erhöhen — allerdings erst, wenn eine belastbare Datenhistorie von zwölf bis vierundzwanzig Monaten vorliegt. Banken beurteilen Muster, keine Momentaufnahmen. Dieser Use Case wird deshalb bewusst nicht im ersten Kundengespräch platziert, sondern als dokumentiertes Zukunftsversprechen behandelt und in Phase 2 aktiviert.</w:t>
      </w:r>
    </w:p>
    <w:p>
      <w:pPr>
        <w:spacing w:after="160"/>
      </w:pPr>
      <w:r>
        <w:rPr>
          <w:rFonts w:ascii="Georgia" w:cs="Georgia" w:eastAsia="Georgia" w:hAnsi="Georgia"/>
          <w:b w:val="false"/>
          <w:bCs w:val="false"/>
          <w:i/>
          <w:iCs/>
          <w:color w:val="1A1A1A"/>
          <w:sz w:val="21"/>
          <w:szCs w:val="21"/>
        </w:rPr>
        <w:t xml:space="preserve">Die vollständige Analyse aller drei Use Cases — inklusive der jeweiligen Gegenprobe, der Wirkung auf die beteiligten Stakeholder und der visuellen Aufbereitung — sowie die Ergebnisse einer zusätzlichen, übergreifenden Gegenprüfung befinden sich im Anhang.</w:t>
      </w:r>
    </w:p>
    <w:p>
      <w:r>
        <w:br w:type="page"/>
      </w:r>
    </w:p>
    <w:p>
      <w:pPr>
        <w:spacing w:after="60" w:before="420"/>
      </w:pPr>
      <w:r>
        <w:rPr>
          <w:rFonts w:ascii="Calibri" w:cs="Calibri" w:eastAsia="Calibri" w:hAnsi="Calibri"/>
          <w:b/>
          <w:bCs/>
          <w:caps/>
          <w:color w:val="B31E2D"/>
          <w:spacing w:val="20"/>
          <w:sz w:val="17"/>
          <w:szCs w:val="17"/>
        </w:rPr>
        <w:t xml:space="preserve">TEIL 05</w:t>
      </w:r>
    </w:p>
    <w:p>
      <w:pPr>
        <w:pStyle w:val="Heading1"/>
        <w:spacing w:after="100"/>
      </w:pPr>
      <w:r>
        <w:rPr>
          <w:rFonts w:ascii="Calibri" w:cs="Calibri" w:eastAsia="Calibri" w:hAnsi="Calibri"/>
          <w:b/>
          <w:bCs/>
          <w:color w:val="1A1A1A"/>
          <w:sz w:val="34"/>
          <w:szCs w:val="34"/>
        </w:rPr>
        <w:t xml:space="preserve">Skalierungslogik: vom Referenzkunden zur Marktführerschaft</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Kernaussage</w:t>
            </w:r>
          </w:p>
          <w:p>
            <w:pPr>
              <w:spacing w:after="60"/>
            </w:pPr>
            <w:r>
              <w:rPr>
                <w:rFonts w:ascii="Georgia" w:cs="Georgia" w:eastAsia="Georgia" w:hAnsi="Georgia"/>
                <w:color w:val="1A1A1A"/>
                <w:sz w:val="21"/>
                <w:szCs w:val="21"/>
              </w:rPr>
              <w:t xml:space="preserve">Marktführerschaft entsteht nicht durch einen Großkunden, sondern durch die Systematisierung eines wiederholbaren Modells — Damicon ist der Prototyp, nicht das Ziel.</w:t>
            </w:r>
          </w:p>
        </w:tc>
      </w:tr>
    </w:tbl>
    <w:p>
      <w:pPr>
        <w:spacing w:after="200"/>
      </w:pPr>
    </w:p>
    <w:p>
      <w:pPr>
        <w:spacing w:after="160"/>
      </w:pPr>
      <w:r>
        <w:rPr>
          <w:rFonts w:ascii="Georgia" w:cs="Georgia" w:eastAsia="Georgia" w:hAnsi="Georgia"/>
          <w:b w:val="false"/>
          <w:bCs w:val="false"/>
          <w:i w:val="false"/>
          <w:iCs w:val="false"/>
          <w:color w:val="1A1A1A"/>
          <w:sz w:val="21"/>
          <w:szCs w:val="21"/>
        </w:rPr>
        <w:t xml:space="preserve">Jeder bei Damicon erfolgreiche Schritt wird als Playbook dokumentiert — Ziel, Vorgehen, erwartetes Ergebnis, Kennzahlen, Risiken —, bevor er auf weitere Betriebe übertragen wird. Ohne diese Dokumentation bleibt jeder Erfolg ein Einzelfall statt eines skalierbaren Musters. Vier konkrete Hebel dafür: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300"/>
        <w:gridCol w:w="1400"/>
        <w:gridCol w:w="2926"/>
      </w:tblGrid>
      <w:tr>
        <w:tc>
          <w:tcPr>
            <w:tcW w:type="dxa" w:w="4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w:t>
            </w:r>
          </w:p>
        </w:tc>
        <w:tc>
          <w:tcPr>
            <w:tcW w:type="dxa" w:w="20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Hebel</w:t>
            </w:r>
          </w:p>
        </w:tc>
        <w:tc>
          <w:tcPr>
            <w:tcW w:type="dxa" w:w="23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Woran er andockt</w:t>
            </w:r>
          </w:p>
        </w:tc>
        <w:tc>
          <w:tcPr>
            <w:tcW w:type="dxa" w:w="14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Realismus</w:t>
            </w:r>
          </w:p>
        </w:tc>
        <w:tc>
          <w:tcPr>
            <w:tcW w:type="dxa" w:w="29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Nächster Schritt</w:t>
            </w:r>
          </w:p>
        </w:tc>
      </w:tr>
      <w:tr>
        <w:tc>
          <w:tcPr>
            <w:tcW w:type="dxa" w:w="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1</w:t>
            </w:r>
          </w:p>
        </w:tc>
        <w:tc>
          <w:tcPr>
            <w:tcW w:type="dxa" w:w="20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Referenz-Showcase für digitale Nachweisketten bei Sonderkulturen</w:t>
            </w:r>
          </w:p>
        </w:tc>
        <w:tc>
          <w:tcPr>
            <w:tcW w:type="dxa" w:w="23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Charge-/Kühlketten-/Rückstandsnachweis ist technisch 1:1 auf andere Obst-/Gemüsebetriebe übertragbar</w:t>
            </w:r>
          </w:p>
        </w:tc>
        <w:tc>
          <w:tcPr>
            <w:tcW w:type="dxa" w:w="1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Hoch</w:t>
            </w:r>
          </w:p>
        </w:tc>
        <w:tc>
          <w:tcPr>
            <w:tcW w:type="dxa" w:w="2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Fallstudie aus dem Damicon-Pilot dokumentieren</w:t>
            </w:r>
          </w:p>
        </w:tc>
      </w:tr>
      <w:tr>
        <w:tc>
          <w:tcPr>
            <w:tcW w:type="dxa" w:w="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2</w:t>
            </w:r>
          </w:p>
        </w:tc>
        <w:tc>
          <w:tcPr>
            <w:tcW w:type="dxa" w:w="20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Schulungs-/Change-Management-Angebot für den Sprung von Papier zu digital</w:t>
            </w:r>
          </w:p>
        </w:tc>
        <w:tc>
          <w:tcPr>
            <w:tcW w:type="dxa" w:w="23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Gezeigte Fähigkeit, Prozessregeln als erzwungene Datenbankregeln umzusetzen</w:t>
            </w:r>
          </w:p>
        </w:tc>
        <w:tc>
          <w:tcPr>
            <w:tcW w:type="dxa" w:w="1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Mittel-hoch</w:t>
            </w:r>
          </w:p>
        </w:tc>
        <w:tc>
          <w:tcPr>
            <w:tcW w:type="dxa" w:w="2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Pilotgespräch mit 2–3 weiteren Betrieben</w:t>
            </w:r>
          </w:p>
        </w:tc>
      </w:tr>
      <w:tr>
        <w:tc>
          <w:tcPr>
            <w:tcW w:type="dxa" w:w="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3</w:t>
            </w:r>
          </w:p>
        </w:tc>
        <w:tc>
          <w:tcPr>
            <w:tcW w:type="dxa" w:w="20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Beratungsmandat bei regionalen Agrarverwaltungen/-verbänden</w:t>
            </w:r>
          </w:p>
        </w:tc>
        <w:tc>
          <w:tcPr>
            <w:tcW w:type="dxa" w:w="23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Trifft das Transparenzziel von Baqylauda</w:t>
            </w:r>
          </w:p>
        </w:tc>
        <w:tc>
          <w:tcPr>
            <w:tcW w:type="dxa" w:w="1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Mittel</w:t>
            </w:r>
          </w:p>
        </w:tc>
        <w:tc>
          <w:tcPr>
            <w:tcW w:type="dxa" w:w="2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Kontaktaufnahme über Damicon als Türöffner testen</w:t>
            </w:r>
          </w:p>
        </w:tc>
      </w:tr>
      <w:tr>
        <w:tc>
          <w:tcPr>
            <w:tcW w:type="dxa" w:w="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4</w:t>
            </w:r>
          </w:p>
        </w:tc>
        <w:tc>
          <w:tcPr>
            <w:tcW w:type="dxa" w:w="20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Branchenübergreifendes Systemintegrations-Know-how anbieten</w:t>
            </w:r>
          </w:p>
        </w:tc>
        <w:tc>
          <w:tcPr>
            <w:tcW w:type="dxa" w:w="23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Alleinstellungsmerkmal der zugrundeliegenden Architektur, nicht agrarspezifisch</w:t>
            </w:r>
          </w:p>
        </w:tc>
        <w:tc>
          <w:tcPr>
            <w:tcW w:type="dxa" w:w="1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Gering-mittel</w:t>
            </w:r>
          </w:p>
        </w:tc>
        <w:tc>
          <w:tcPr>
            <w:tcW w:type="dxa" w:w="29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Zurückstellen, bis Damicon-Referenz gefestigt ist</w:t>
            </w:r>
          </w:p>
        </w:tc>
      </w:tr>
    </w:tbl>
    <w:p>
      <w:pPr>
        <w:spacing w:after="220"/>
      </w:pPr>
      <w:r>
        <w:rPr>
          <w:rFonts w:ascii="Georgia" w:cs="Georgia" w:eastAsia="Georgia" w:hAnsi="Georgia"/>
          <w:i/>
          <w:iCs/>
          <w:color w:val="6E6E6E"/>
          <w:sz w:val="17"/>
          <w:szCs w:val="17"/>
        </w:rPr>
        <w:t xml:space="preserve">Abbildung 4: Priorisierte Skalierungshebel nach dem Damicon-Referenzfall.</w:t>
      </w:r>
    </w:p>
    <w:p>
      <w:pPr>
        <w:pStyle w:val="Heading2"/>
        <w:spacing w:after="100" w:before="260"/>
      </w:pPr>
      <w:r>
        <w:rPr>
          <w:rFonts w:ascii="Calibri" w:cs="Calibri" w:eastAsia="Calibri" w:hAnsi="Calibri"/>
          <w:b/>
          <w:bCs/>
          <w:color w:val="B31E2D"/>
          <w:sz w:val="24"/>
          <w:szCs w:val="24"/>
        </w:rPr>
        <w:t xml:space="preserve">Zwei Voraussetzungen für jede Skalierung über Damicon hinaus</w:t>
      </w:r>
    </w:p>
    <w:p>
      <w:pPr>
        <w:pStyle w:val="ListParagraph"/>
        <w:numPr>
          <w:ilvl w:val="0"/>
          <w:numId w:val="1"/>
        </w:numPr>
        <w:spacing w:after="80"/>
      </w:pPr>
      <w:r>
        <w:rPr>
          <w:rFonts w:ascii="Georgia" w:cs="Georgia" w:eastAsia="Georgia" w:hAnsi="Georgia"/>
          <w:color w:val="1A1A1A"/>
          <w:sz w:val="21"/>
          <w:szCs w:val="21"/>
        </w:rPr>
        <w:t xml:space="preserve">Sprachlokalisierung: Anträge und Behördenkontakt laufen auf Kasachisch oder Russisch. Ohne lokale Sprachkompetenz bleibt jede Skalierung auf Deutsch/Englisch-sprachige Ausnahmefälle beschränkt.</w:t>
      </w:r>
    </w:p>
    <w:p>
      <w:pPr>
        <w:pStyle w:val="ListParagraph"/>
        <w:numPr>
          <w:ilvl w:val="0"/>
          <w:numId w:val="1"/>
        </w:numPr>
        <w:spacing w:after="80"/>
      </w:pPr>
      <w:r>
        <w:rPr>
          <w:rFonts w:ascii="Georgia" w:cs="Georgia" w:eastAsia="Georgia" w:hAnsi="Georgia"/>
          <w:color w:val="1A1A1A"/>
          <w:sz w:val="21"/>
          <w:szCs w:val="21"/>
        </w:rPr>
        <w:t xml:space="preserve">Supernode-Positionierung: WAMOCON sollte sich als der Nachweis- und Integrations-Knotenpunkt positionieren, an den staatliche Programme und Abnehmer andocken — statt mit jeder Institution einzeln und wiederholt bilateral zu verhandeln. Jeder weitere geprüfte Referenzfall erhöht diesen Wert für den nächsten Kunden.</w:t>
      </w:r>
    </w:p>
    <w:p>
      <w:r>
        <w:br w:type="page"/>
      </w:r>
    </w:p>
    <w:p>
      <w:pPr>
        <w:spacing w:after="60" w:before="420"/>
      </w:pPr>
      <w:r>
        <w:rPr>
          <w:rFonts w:ascii="Calibri" w:cs="Calibri" w:eastAsia="Calibri" w:hAnsi="Calibri"/>
          <w:b/>
          <w:bCs/>
          <w:caps/>
          <w:color w:val="B31E2D"/>
          <w:spacing w:val="20"/>
          <w:sz w:val="17"/>
          <w:szCs w:val="17"/>
        </w:rPr>
        <w:t xml:space="preserve">TEIL 06</w:t>
      </w:r>
    </w:p>
    <w:p>
      <w:pPr>
        <w:pStyle w:val="Heading1"/>
        <w:spacing w:after="100"/>
      </w:pPr>
      <w:r>
        <w:rPr>
          <w:rFonts w:ascii="Calibri" w:cs="Calibri" w:eastAsia="Calibri" w:hAnsi="Calibri"/>
          <w:b/>
          <w:bCs/>
          <w:color w:val="1A1A1A"/>
          <w:sz w:val="34"/>
          <w:szCs w:val="34"/>
        </w:rPr>
        <w:t xml:space="preserve">Phasenplan</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Kernaussage</w:t>
            </w:r>
          </w:p>
          <w:p>
            <w:pPr>
              <w:spacing w:after="60"/>
            </w:pPr>
            <w:r>
              <w:rPr>
                <w:rFonts w:ascii="Georgia" w:cs="Georgia" w:eastAsia="Georgia" w:hAnsi="Georgia"/>
                <w:color w:val="1A1A1A"/>
                <w:sz w:val="21"/>
                <w:szCs w:val="21"/>
              </w:rPr>
              <w:t xml:space="preserve">Drei Phasen, jede mit einem eigenen, überprüfbaren Erfolgskriterium — keine Phase beginnt, bevor die vorherige ihr Kriterium erfüllt hat.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900"/>
        <w:gridCol w:w="2326"/>
        <w:gridCol w:w="2000"/>
      </w:tblGrid>
      <w:tr>
        <w:tc>
          <w:tcPr>
            <w:tcW w:type="dxa" w:w="15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Phase</w:t>
            </w:r>
          </w:p>
        </w:tc>
        <w:tc>
          <w:tcPr>
            <w:tcW w:type="dxa" w:w="13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Zeitraum</w:t>
            </w:r>
          </w:p>
        </w:tc>
        <w:tc>
          <w:tcPr>
            <w:tcW w:type="dxa" w:w="19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Kernziel</w:t>
            </w:r>
          </w:p>
        </w:tc>
        <w:tc>
          <w:tcPr>
            <w:tcW w:type="dxa" w:w="23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Wichtigste Meilensteine</w:t>
            </w:r>
          </w:p>
        </w:tc>
        <w:tc>
          <w:tcPr>
            <w:tcW w:type="dxa" w:w="20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Erfolgskriterium</w:t>
            </w:r>
          </w:p>
        </w:tc>
      </w:tr>
      <w:tr>
        <w:tc>
          <w:tcPr>
            <w:tcW w:type="dxa" w:w="1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1 — Referenz härten</w:t>
            </w:r>
          </w:p>
        </w:tc>
        <w:tc>
          <w:tcPr>
            <w:tcW w:type="dxa" w:w="13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Monate 0–12</w:t>
            </w:r>
          </w:p>
        </w:tc>
        <w:tc>
          <w:tcPr>
            <w:tcW w:type="dxa" w:w="19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Damicon zum vollständig geprüften Referenzfall ausbauen</w:t>
            </w:r>
          </w:p>
        </w:tc>
        <w:tc>
          <w:tcPr>
            <w:tcW w:type="dxa" w:w="23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6 fehlende KPI ergänzen · Klärungsgespräche mit AKK/KAF-, Damu- und Baqylauda-Sachbearbeitern · Sprachlokalisierung der Materialien</w:t>
            </w:r>
          </w:p>
        </w:tc>
        <w:tc>
          <w:tcPr>
            <w:tcW w:type="dxa" w:w="20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Alle 14 Baseline-Kennzahlen live; mindestens ein Förderprogramm-Kriterium schriftlich bestätigt</w:t>
            </w:r>
          </w:p>
        </w:tc>
      </w:tr>
      <w:tr>
        <w:tc>
          <w:tcPr>
            <w:tcW w:type="dxa" w:w="1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2 — Erste Replikation</w:t>
            </w:r>
          </w:p>
        </w:tc>
        <w:tc>
          <w:tcPr>
            <w:tcW w:type="dxa" w:w="13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Monate 12–24</w:t>
            </w:r>
          </w:p>
        </w:tc>
        <w:tc>
          <w:tcPr>
            <w:tcW w:type="dxa" w:w="19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Modell auf 2–3 weitere Betriebe übertragen</w:t>
            </w:r>
          </w:p>
        </w:tc>
        <w:tc>
          <w:tcPr>
            <w:tcW w:type="dxa" w:w="23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Veröffentlichte Fallstudie · Damu-Use-Case aktivieren (Datenhistorie erreicht) · erste externe Referenzstimme</w:t>
            </w:r>
          </w:p>
        </w:tc>
        <w:tc>
          <w:tcPr>
            <w:tcW w:type="dxa" w:w="20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2–3 zahlende Folgekunden; erste Bank-/Förderzusage mit Damicon-Daten als Nachweis</w:t>
            </w:r>
          </w:p>
        </w:tc>
      </w:tr>
      <w:tr>
        <w:tc>
          <w:tcPr>
            <w:tcW w:type="dxa" w:w="1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3 — Marktposition</w:t>
            </w:r>
          </w:p>
        </w:tc>
        <w:tc>
          <w:tcPr>
            <w:tcW w:type="dxa" w:w="13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Monate 24–36</w:t>
            </w:r>
          </w:p>
        </w:tc>
        <w:tc>
          <w:tcPr>
            <w:tcW w:type="dxa" w:w="19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Als Standardanbieter im Segment etablieren</w:t>
            </w:r>
          </w:p>
        </w:tc>
        <w:tc>
          <w:tcPr>
            <w:tcW w:type="dxa" w:w="23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Beratungsmandate · Schulungsprogramm · KI-Erweiterungen (Anomalieerkennung, Prognosemodelle)</w:t>
            </w:r>
          </w:p>
        </w:tc>
        <w:tc>
          <w:tcPr>
            <w:tcW w:type="dxa" w:w="20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WAMOCON wird bei neuen Anfragen im Segment aktiv genannt, ohne selbst akquiriert zu haben</w:t>
            </w:r>
          </w:p>
        </w:tc>
      </w:tr>
    </w:tbl>
    <w:p>
      <w:pPr>
        <w:spacing w:after="220"/>
      </w:pPr>
      <w:r>
        <w:rPr>
          <w:rFonts w:ascii="Georgia" w:cs="Georgia" w:eastAsia="Georgia" w:hAnsi="Georgia"/>
          <w:i/>
          <w:iCs/>
          <w:color w:val="6E6E6E"/>
          <w:sz w:val="17"/>
          <w:szCs w:val="17"/>
        </w:rPr>
        <w:t xml:space="preserve">Abbildung 5: Dreiphasiger Fahrplan mit Erfolgskriterien als Phasen-Gate.</w:t>
      </w:r>
    </w:p>
    <w:p>
      <w:r>
        <w:br w:type="page"/>
      </w:r>
    </w:p>
    <w:p>
      <w:pPr>
        <w:spacing w:after="60" w:before="420"/>
      </w:pPr>
      <w:r>
        <w:rPr>
          <w:rFonts w:ascii="Calibri" w:cs="Calibri" w:eastAsia="Calibri" w:hAnsi="Calibri"/>
          <w:b/>
          <w:bCs/>
          <w:caps/>
          <w:color w:val="B31E2D"/>
          <w:spacing w:val="20"/>
          <w:sz w:val="17"/>
          <w:szCs w:val="17"/>
        </w:rPr>
        <w:t xml:space="preserve">TEIL 07</w:t>
      </w:r>
    </w:p>
    <w:p>
      <w:pPr>
        <w:pStyle w:val="Heading1"/>
        <w:spacing w:after="100"/>
      </w:pPr>
      <w:r>
        <w:rPr>
          <w:rFonts w:ascii="Calibri" w:cs="Calibri" w:eastAsia="Calibri" w:hAnsi="Calibri"/>
          <w:b/>
          <w:bCs/>
          <w:color w:val="1A1A1A"/>
          <w:sz w:val="34"/>
          <w:szCs w:val="34"/>
        </w:rPr>
        <w:t xml:space="preserve">Risiken und Absicherung</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9820A"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C9820A"/>
                <w:spacing w:val="20"/>
                <w:sz w:val="16"/>
                <w:szCs w:val="16"/>
              </w:rPr>
              <w:t xml:space="preserve">Kernaussage</w:t>
            </w:r>
          </w:p>
          <w:p>
            <w:pPr>
              <w:spacing w:after="60"/>
            </w:pPr>
            <w:r>
              <w:rPr>
                <w:rFonts w:ascii="Georgia" w:cs="Georgia" w:eastAsia="Georgia" w:hAnsi="Georgia"/>
                <w:color w:val="1A1A1A"/>
                <w:sz w:val="21"/>
                <w:szCs w:val="21"/>
              </w:rPr>
              <w:t xml:space="preserve">Die größte Schwäche dieser Strategie ist nicht die Technologie, sondern eine unbelegte Grundannahme: dass digitale Daten den Förderzugang automatisch verbessern. Diese Annahme wird in Phase 1 geprüft, bevor sie im Vertrieb verwendet wird.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Risiko</w:t>
            </w:r>
          </w:p>
        </w:tc>
        <w:tc>
          <w:tcPr>
            <w:tcW w:type="dxa" w:w="34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Beschreibung</w:t>
            </w:r>
          </w:p>
        </w:tc>
        <w:tc>
          <w:tcPr>
            <w:tcW w:type="dxa" w:w="38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Absicherung</w:t>
            </w:r>
          </w:p>
        </w:tc>
      </w:tr>
      <w:tr>
        <w:tc>
          <w:tcPr>
            <w:tcW w:type="dxa" w:w="1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Unbelegte Grundannahme</w:t>
            </w:r>
          </w:p>
        </w:tc>
        <w:tc>
          <w:tcPr>
            <w:tcW w:type="dxa" w:w="3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Keines der drei Programme bestätigt öffentlich, Software-Daten als Entscheidungskriterium zu akzeptieren.</w:t>
            </w:r>
          </w:p>
        </w:tc>
        <w:tc>
          <w:tcPr>
            <w:tcW w:type="dxa" w:w="3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Vor jeder Vermarktung Verifizierung mit Sachbearbeitern (Phase 1, Teil 06).</w:t>
            </w:r>
          </w:p>
        </w:tc>
      </w:tr>
      <w:tr>
        <w:tc>
          <w:tcPr>
            <w:tcW w:type="dxa" w:w="1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Regulatorisches Risiko</w:t>
            </w:r>
          </w:p>
        </w:tc>
        <w:tc>
          <w:tcPr>
            <w:tcW w:type="dxa" w:w="3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Förderprogramme hängen an politischen Vorgaben und Haushaltsentscheidungen, die sich ändern können.</w:t>
            </w:r>
          </w:p>
        </w:tc>
        <w:tc>
          <w:tcPr>
            <w:tcW w:type="dxa" w:w="3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Wertversprechen nicht ausschließlich auf Förderzugang stützen — Use Case 1 (Nachweis-Zulieferer) trägt eigenständig, unabhängig vom Förderausgang.</w:t>
            </w:r>
          </w:p>
        </w:tc>
      </w:tr>
      <w:tr>
        <w:tc>
          <w:tcPr>
            <w:tcW w:type="dxa" w:w="1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Konnektivitätsrisiko</w:t>
            </w:r>
          </w:p>
        </w:tc>
        <w:tc>
          <w:tcPr>
            <w:tcW w:type="dxa" w:w="3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„Offline-first“ verringert, ersetzt aber nicht die Abhängigkeit von gelegentlicher Internetverbindung für jeden Behörden-Sync.</w:t>
            </w:r>
          </w:p>
        </w:tc>
        <w:tc>
          <w:tcPr>
            <w:tcW w:type="dxa" w:w="3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Bereits im Produkt architektonisch adressiert; im Vertrieb transparent als Grenze kommunizieren, nicht verschweigen.</w:t>
            </w:r>
          </w:p>
        </w:tc>
      </w:tr>
      <w:tr>
        <w:tc>
          <w:tcPr>
            <w:tcW w:type="dxa" w:w="1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Kosten-Nutzen bei Folgekunden</w:t>
            </w:r>
          </w:p>
        </w:tc>
        <w:tc>
          <w:tcPr>
            <w:tcW w:type="dxa" w:w="3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Kleinere Betriebe könnten den Verwaltungsaufwand gegenüber dem Nutzen als unwirtschaftlich empfinden.</w:t>
            </w:r>
          </w:p>
        </w:tc>
        <w:tc>
          <w:tcPr>
            <w:tcW w:type="dxa" w:w="3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Skalierung ausschließlich über dokumentierte Playbooks (Teil 05), nicht über verfrühte Einzelansprache.</w:t>
            </w:r>
          </w:p>
        </w:tc>
      </w:tr>
      <w:tr>
        <w:tc>
          <w:tcPr>
            <w:tcW w:type="dxa" w:w="1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Sprachliche und kulturelle Distanz</w:t>
            </w:r>
          </w:p>
        </w:tc>
        <w:tc>
          <w:tcPr>
            <w:tcW w:type="dxa" w:w="34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WAMOCON ist ein deutscher Anbieter; Anträge und Behördenkontakt laufen auf Kasachisch/Russisch.</w:t>
            </w:r>
          </w:p>
        </w:tc>
        <w:tc>
          <w:tcPr>
            <w:tcW w:type="dxa" w:w="3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Lokale Sprachkompetenz als Gate vor Phase 2 aufbauen, nicht parallel dazu.</w:t>
            </w:r>
          </w:p>
        </w:tc>
      </w:tr>
    </w:tbl>
    <w:p>
      <w:pPr>
        <w:spacing w:after="220"/>
      </w:pPr>
      <w:r>
        <w:rPr>
          <w:rFonts w:ascii="Georgia" w:cs="Georgia" w:eastAsia="Georgia" w:hAnsi="Georgia"/>
          <w:i/>
          <w:iCs/>
          <w:color w:val="6E6E6E"/>
          <w:sz w:val="17"/>
          <w:szCs w:val="17"/>
        </w:rPr>
        <w:t xml:space="preserve">Abbildung 6: Risikoregister mit zugeordneten Absicherungsmaßnahmen.</w:t>
      </w:r>
    </w:p>
    <w:p>
      <w:r>
        <w:br w:type="page"/>
      </w:r>
    </w:p>
    <w:p>
      <w:pPr>
        <w:spacing w:after="60" w:before="420"/>
      </w:pPr>
      <w:r>
        <w:rPr>
          <w:rFonts w:ascii="Calibri" w:cs="Calibri" w:eastAsia="Calibri" w:hAnsi="Calibri"/>
          <w:b/>
          <w:bCs/>
          <w:caps/>
          <w:color w:val="B31E2D"/>
          <w:spacing w:val="20"/>
          <w:sz w:val="17"/>
          <w:szCs w:val="17"/>
        </w:rPr>
        <w:t xml:space="preserve">TEIL 08</w:t>
      </w:r>
    </w:p>
    <w:p>
      <w:pPr>
        <w:pStyle w:val="Heading1"/>
        <w:spacing w:after="100"/>
      </w:pPr>
      <w:r>
        <w:rPr>
          <w:rFonts w:ascii="Calibri" w:cs="Calibri" w:eastAsia="Calibri" w:hAnsi="Calibri"/>
          <w:b/>
          <w:bCs/>
          <w:color w:val="1A1A1A"/>
          <w:sz w:val="34"/>
          <w:szCs w:val="34"/>
        </w:rPr>
        <w:t xml:space="preserve">Entscheidungsvorlage / nächste Schritte</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B31E2D"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B31E2D"/>
                <w:spacing w:val="20"/>
                <w:sz w:val="16"/>
                <w:szCs w:val="16"/>
              </w:rPr>
              <w:t xml:space="preserve">Kernaussage</w:t>
            </w:r>
          </w:p>
          <w:p>
            <w:pPr>
              <w:spacing w:after="60"/>
            </w:pPr>
            <w:r>
              <w:rPr>
                <w:rFonts w:ascii="Georgia" w:cs="Georgia" w:eastAsia="Georgia" w:hAnsi="Georgia"/>
                <w:color w:val="1A1A1A"/>
                <w:sz w:val="21"/>
                <w:szCs w:val="21"/>
              </w:rPr>
              <w:t xml:space="preserve">Fünf konkrete Freigaben, die diese Strategie in den nächsten 90 Tagen handlungsfähig machen.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26"/>
      </w:tblGrid>
      <w:tr>
        <w:tc>
          <w:tcPr>
            <w:tcW w:type="dxa" w:w="5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w:t>
            </w:r>
          </w:p>
        </w:tc>
        <w:tc>
          <w:tcPr>
            <w:tcW w:type="dxa" w:w="55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Entscheidung</w:t>
            </w:r>
          </w:p>
        </w:tc>
        <w:tc>
          <w:tcPr>
            <w:tcW w:type="dxa" w:w="30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Verantwortung</w:t>
            </w:r>
          </w:p>
        </w:tc>
      </w:tr>
      <w:tr>
        <w:tc>
          <w:tcPr>
            <w:tcW w:type="dxa" w:w="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1</w:t>
            </w:r>
          </w:p>
        </w:tc>
        <w:tc>
          <w:tcPr>
            <w:tcW w:type="dxa" w:w="5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Volle Priorität auf Damicon für die ersten 12 Monate — kein zweiter Pilotkunde vor Abschluss von Phase 1</w:t>
            </w:r>
          </w:p>
        </w:tc>
        <w:tc>
          <w:tcPr>
            <w:tcW w:type="dxa" w:w="30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Geschäftsführung</w:t>
            </w:r>
          </w:p>
        </w:tc>
      </w:tr>
      <w:tr>
        <w:tc>
          <w:tcPr>
            <w:tcW w:type="dxa" w:w="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2</w:t>
            </w:r>
          </w:p>
        </w:tc>
        <w:tc>
          <w:tcPr>
            <w:tcW w:type="dxa" w:w="5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Budget/Zeit zur Schließung der KPI-Lücke (6 von 14 Kennzahlen) freigeben</w:t>
            </w:r>
          </w:p>
        </w:tc>
        <w:tc>
          <w:tcPr>
            <w:tcW w:type="dxa" w:w="30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Geschäftsführung / Entwicklung</w:t>
            </w:r>
          </w:p>
        </w:tc>
      </w:tr>
      <w:tr>
        <w:tc>
          <w:tcPr>
            <w:tcW w:type="dxa" w:w="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3</w:t>
            </w:r>
          </w:p>
        </w:tc>
        <w:tc>
          <w:tcPr>
            <w:tcW w:type="dxa" w:w="5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Mandat für Klärungsgespräche mit AKK/KAF-, Damu- und Baqylauda-Sachbearbeitern erteilen</w:t>
            </w:r>
          </w:p>
        </w:tc>
        <w:tc>
          <w:tcPr>
            <w:tcW w:type="dxa" w:w="30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Geschäftsführung</w:t>
            </w:r>
          </w:p>
        </w:tc>
      </w:tr>
      <w:tr>
        <w:tc>
          <w:tcPr>
            <w:tcW w:type="dxa" w:w="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4</w:t>
            </w:r>
          </w:p>
        </w:tc>
        <w:tc>
          <w:tcPr>
            <w:tcW w:type="dxa" w:w="5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Freigabe für Sprachlokalisierung (Kasachisch/Russisch) der Vertriebs- und Nachweismaterialien</w:t>
            </w:r>
          </w:p>
        </w:tc>
        <w:tc>
          <w:tcPr>
            <w:tcW w:type="dxa" w:w="30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Geschäftsführung / Marketing</w:t>
            </w:r>
          </w:p>
        </w:tc>
      </w:tr>
      <w:tr>
        <w:tc>
          <w:tcPr>
            <w:tcW w:type="dxa" w:w="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5</w:t>
            </w:r>
          </w:p>
        </w:tc>
        <w:tc>
          <w:tcPr>
            <w:tcW w:type="dxa" w:w="55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Timing der Fallstudienveröffentlichung nach Abschluss von Phase 1 festlegen</w:t>
            </w:r>
          </w:p>
        </w:tc>
        <w:tc>
          <w:tcPr>
            <w:tcW w:type="dxa" w:w="30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Geschäftsführung</w:t>
            </w:r>
          </w:p>
        </w:tc>
      </w:tr>
    </w:tbl>
    <w:p>
      <w:pPr>
        <w:spacing w:after="300"/>
      </w:pPr>
    </w:p>
    <w:p>
      <w:pPr>
        <w:spacing w:after="160"/>
      </w:pPr>
      <w:r>
        <w:rPr>
          <w:rFonts w:ascii="Georgia" w:cs="Georgia" w:eastAsia="Georgia" w:hAnsi="Georgia"/>
          <w:b/>
          <w:bCs/>
          <w:i/>
          <w:iCs/>
          <w:color w:val="1A1A1A"/>
          <w:sz w:val="21"/>
          <w:szCs w:val="21"/>
        </w:rPr>
        <w:t xml:space="preserve">Dieses Papier ist als Diskussionsgrundlage für die gemeinsame Analyse auf kognitiver Stufe K4 konzipiert — Abschnitt für Abschnitt, mit dem Anhang als Detailbeleg für jede Zahl und jede Bewertung.</w:t>
      </w:r>
    </w:p>
    <w:p>
      <w:r>
        <w:br w:type="page"/>
      </w:r>
    </w:p>
    <w:p>
      <w:pPr>
        <w:spacing w:after="60" w:before="420"/>
      </w:pPr>
      <w:r>
        <w:rPr>
          <w:rFonts w:ascii="Calibri" w:cs="Calibri" w:eastAsia="Calibri" w:hAnsi="Calibri"/>
          <w:b/>
          <w:bCs/>
          <w:caps/>
          <w:color w:val="B31E2D"/>
          <w:spacing w:val="20"/>
          <w:sz w:val="17"/>
          <w:szCs w:val="17"/>
        </w:rPr>
        <w:t xml:space="preserve">ANHANG A</w:t>
      </w:r>
    </w:p>
    <w:p>
      <w:pPr>
        <w:pStyle w:val="Heading1"/>
        <w:spacing w:after="100"/>
      </w:pPr>
      <w:r>
        <w:rPr>
          <w:rFonts w:ascii="Calibri" w:cs="Calibri" w:eastAsia="Calibri" w:hAnsi="Calibri"/>
          <w:b/>
          <w:bCs/>
          <w:color w:val="1A1A1A"/>
          <w:sz w:val="30"/>
          <w:szCs w:val="30"/>
        </w:rPr>
        <w:t xml:space="preserve">Die drei Förderprogramm-Use-Cases im Detail</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p>
      <w:pPr>
        <w:spacing w:after="160"/>
      </w:pPr>
      <w:r>
        <w:rPr>
          <w:rFonts w:ascii="Georgia" w:cs="Georgia" w:eastAsia="Georgia" w:hAnsi="Georgia"/>
          <w:b w:val="false"/>
          <w:bCs w:val="false"/>
          <w:i w:val="false"/>
          <w:iCs w:val="false"/>
          <w:color w:val="1A1A1A"/>
          <w:sz w:val="21"/>
          <w:szCs w:val="21"/>
        </w:rPr>
        <w:t xml:space="preserve">Jeder Use Case wurde nach der IQ/EQ/VQ-Methodik auf Bewertungsstufe K6 entwickelt und anschließend einer eigenen sowie einer übergreifenden Gegenprüfung unterzogen (Anhang B).</w:t>
      </w:r>
    </w:p>
    <w:p>
      <w:pPr>
        <w:pStyle w:val="Heading2"/>
        <w:spacing w:after="100" w:before="260"/>
      </w:pPr>
      <w:r>
        <w:rPr>
          <w:rFonts w:ascii="Calibri" w:cs="Calibri" w:eastAsia="Calibri" w:hAnsi="Calibri"/>
          <w:b/>
          <w:bCs/>
          <w:color w:val="B31E2D"/>
          <w:sz w:val="24"/>
          <w:szCs w:val="24"/>
        </w:rPr>
        <w:t xml:space="preserve">A.1 Nachweis-Zulieferer für qoldau.kz / Baqylauda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These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Damicon liefert aus der ohnehin vorhandenen Nachweiskette (Charge, Kühlkette, Rückstandsnachweis, Audit-Protokoll) ein strukturiertes Exportdokument für den manuellen Upload bei Förderprüfungen und -anträgen.</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Fördermechanismus (Zahlen)</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qoldau.kz: 422.665 registrierte Nutzer. Dienst „Baqylauda“ überwacht explizit, wer staatliche Fördermittel erhält und wie sie verwendet werden. Angebundene Agrarkreditkorporation: 1.283,3 Mrd. Tenge Portfolio, 52.326 Kunden.</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Kernrisiko / Gegenprobe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Baqylauda ist ein staatliches Kontrollsystem — keine private Software kann direkt (API-seitig) andocken.</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Ergebnis der Gegenprobe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Trifft in der starken Form zu: Eine automatisierte Anbindung ist nicht belegbar. Tragfähig bleibt nur die schwächere Version — manueller Export/Upload durch die Betriebsleitung.</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Wirkung auf Beteiligte (EQ)</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Betriebsleitung fürchtet nicht die Prüfung selbst, sondern fehlende Auskunftsfähigkeit im Ernstfall. Kommunikation sollte „Schutz vor unbegründetem Verdacht“ betonen, nicht „Datenweitergabe an Kontrollbehörde“.</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Visualisierungsvorschlag (VQ)</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Datenfluss-Diagramm mit 4 Swimlanes (Feldarbeiter → Damicon-System → Betriebsleitung → qoldau.kz); letzter Pfeil gestrichelt, da manueller Schritt.</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Zusätzlicher blinder Fleck</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Datenhoheit bei Weitergabe an Behörden; Haftungsfrage bei fehlerhaften Sensordaten (Kühlkette); ungeklärt, ob Damicon überhaupt Förderanträge stellt.</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Bewertung nach Gegenprüfung</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Herabgestuft: Die zentrale Voraussetzung (Antragstellung überhaupt vorhanden?) ist ungeklärt und wurde vor der Einstufung nicht verifiziert.</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Bedingung für Umsetzung</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Vor Vermarktung klären, ob/wie oft Damicon tatsächlich Förderanträge stellt. Keine Formulierung verwenden, die eine Systemintegration suggeriert.</w:t>
            </w:r>
          </w:p>
        </w:tc>
      </w:tr>
    </w:tbl>
    <w:p>
      <w:pPr>
        <w:spacing w:after="220"/>
      </w:pPr>
    </w:p>
    <w:p>
      <w:pPr>
        <w:pStyle w:val="Heading2"/>
        <w:spacing w:after="100" w:before="260"/>
      </w:pPr>
      <w:r>
        <w:rPr>
          <w:rFonts w:ascii="Calibri" w:cs="Calibri" w:eastAsia="Calibri" w:hAnsi="Calibri"/>
          <w:b/>
          <w:bCs/>
          <w:color w:val="B31E2D"/>
          <w:sz w:val="24"/>
          <w:szCs w:val="24"/>
        </w:rPr>
        <w:t xml:space="preserve">A.2 Bankfähigkeit über den Damu-Fonds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These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Digitale Produktions- und Finanzdaten (Chargen, Kühlkette, Append-only-Finanzjournal) erhöhen die Bankfähigkeit des Betriebs für Damu-Bürgschaften und -Kredite.</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Fördermechanismus (Zahlen)</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Bürgschaften bis 85 % der Kreditsumme. Programm „Örleu“: 300 Mrd. Tenge Damu + 450 Mrd. Banken, 12,6 % Zins. 2025 gesamt: &gt;560 Mrd. Tenge, 13.000 Projekte, ~15.000 Arbeitsplätze.</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Kernrisiko / Gegenprobe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Banken arbeiten mit standardisierten Ratingkriterien — ein Software-Auszug ersetzt kein geprüftes, testiertes Zahlenwerk.</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Ergebnis der Gegenprobe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Trifft im Kern zu. Zusätzlich: Banken beurteilen Muster über Zeit — nötig sind realistisch 12 bis 24 Monate Datenhistorie, die der Pilotbetrieb noch nicht hat.</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Wirkung auf Beteiligte (EQ)</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Betriebsleitung fürchtet Ablehnung trotz guter Arbeit; Bankberater fürchtet eine persönlich verantwortete Fehlentscheidung. Beide brauchen prüfbare, vorstrukturierte Berichte statt Rohdaten.</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Visualisierungsvorschlag (VQ)</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Vergleichstabelle „klassischer“ vs. „datengestützter Kreditantrag“; Zeitstrahl 0–24 Monate mit Markierung „kreditreife Datenhistorie“ ab Monat 24.</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Zusätzlicher blinder Fleck</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Ungeprüft, ob WAMOCON selbst als IT-Dienstleister über Digitalisierungsprogramme förderfähig wäre.</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Bewertung nach Gegenprüfung</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Deutlich herabgestuft: Die Rettung über „Exportfähigkeit vorziehen“ stützt sich auf genau das Argument, das Use Case A.3 selbst als relativiert markiert — zirkulär, kein zusätzlicher Beleg.</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Bedingung für Umsetzung</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Frühestens nach 12–24 Monaten Datenhistorie vermarkten; im Erstgespräch höchstens als Zukunftsperspektive erwähnen.</w:t>
            </w:r>
          </w:p>
        </w:tc>
      </w:tr>
    </w:tbl>
    <w:p>
      <w:pPr>
        <w:spacing w:after="220"/>
      </w:pPr>
    </w:p>
    <w:p>
      <w:pPr>
        <w:pStyle w:val="Heading2"/>
        <w:spacing w:after="100" w:before="260"/>
      </w:pPr>
      <w:r>
        <w:rPr>
          <w:rFonts w:ascii="Calibri" w:cs="Calibri" w:eastAsia="Calibri" w:hAnsi="Calibri"/>
          <w:b/>
          <w:bCs/>
          <w:color w:val="B31E2D"/>
          <w:sz w:val="24"/>
          <w:szCs w:val="24"/>
        </w:rPr>
        <w:t xml:space="preserve">A.3 Produktivität &amp; Modernisierung über QazAgro-Nachfolge (AKK/KAF)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These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Das KPI-Cockpit und die Nachweiskette unterstützen die Förderfähigkeit für KAF-Technikleasing (bis 25 % Zuschuss, ab 6 % subventionierter Zins).</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Fördermechanismus (Zahlen)</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Konzeption 2021–2030: Arbeitsproduktivität ×3, Export ×3,5, Investitionen ×4,2 (ggü. 2020). AIC-Finanzierungsvolumen AKK+KAF 2025: 1.118,2 Mrd. Tenge (2022: 522 Mrd.).</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Kernrisiko / Gegenprobe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Die Konzeption nennt Beerenanbau nirgends explizit und zielt erkennbar auf Getreide, Vieh und Landtechnik-Großbetriebe. Zusätzlich unklar, ob KAF digitale Produktivitätsdaten überhaupt in die Kreditprüfung einbezieht.</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Ergebnis der Gegenprobe</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Nicht aufgelöst — echte offene Frage, nur bei einem AKK/KAF-Sachbearbeiter zu klären. Verschärfend: nur 8 von 14 Baseline-Kennzahlen bislang aus echten Daten berechnet.</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Wirkung auf Beteiligte (EQ)</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Betriebsleitung fürchtet Aufwand ohne Bewilligung; KAF-Sachbearbeiter fürchtet eine Fehlentscheidung ohne prüfbare Zahlen und braucht Daten im Format seines bestehenden Prüfprozesses.</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Visualisierungsvorschlag (VQ)</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Dreistufiges Flussdiagramm: Felddaten → verdichtete Kennzahlen (8/14-Reifegrad sichtbar) → KAF-Antragsdossier, mit rot markiertem Rückpfeil „6 Kennzahlen fehlen noch“.</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Zusätzlicher blinder Fleck</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GlobalG.A.P./GRASP-Zertifizierung ist die eigentliche Exporthürde für Beeren, nicht die staatlichen Förderprogramme — Damicon liefert nur einen Teil der nötigen Dokumentation.</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Bewertung nach Gegenprüfung</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Herabgestuft: Der Autor selbst rät zur Klärung vor jeder Vermarktung — die Konzeption 2021–2030 passt nicht erkennbar zu einem kleinteiligen Sonderkultur-Betrieb.</w:t>
            </w:r>
          </w:p>
        </w:tc>
      </w:tr>
      <w:tr>
        <w:tc>
          <w:tcPr>
            <w:tcW w:type="dxa" w:w="2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bCs/>
                <w:caps/>
                <w:color w:val="6E6E6E"/>
                <w:spacing w:val="10"/>
                <w:sz w:val="17"/>
                <w:szCs w:val="17"/>
              </w:rPr>
              <w:t xml:space="preserve">Bedingung für Umsetzung</w:t>
            </w:r>
          </w:p>
        </w:tc>
        <w:tc>
          <w:tcPr>
            <w:tcW w:type="dxa" w:w="68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Vor Vermarktung mit AKK/KAF klären: Zählt Kühl-/Sortiertechnik für Beerenbetriebe zu den förderfähigen Positionen, fließt ein digitales Produktivitäts-Dossier in die Bonitätsprüfung ein?</w:t>
            </w:r>
          </w:p>
        </w:tc>
      </w:tr>
    </w:tbl>
    <w:p>
      <w:pPr>
        <w:spacing w:after="220"/>
      </w:pPr>
    </w:p>
    <w:p>
      <w:r>
        <w:br w:type="page"/>
      </w:r>
    </w:p>
    <w:p>
      <w:pPr>
        <w:spacing w:after="60" w:before="420"/>
      </w:pPr>
      <w:r>
        <w:rPr>
          <w:rFonts w:ascii="Calibri" w:cs="Calibri" w:eastAsia="Calibri" w:hAnsi="Calibri"/>
          <w:b/>
          <w:bCs/>
          <w:caps/>
          <w:color w:val="B31E2D"/>
          <w:spacing w:val="20"/>
          <w:sz w:val="17"/>
          <w:szCs w:val="17"/>
        </w:rPr>
        <w:t xml:space="preserve">ANHANG B</w:t>
      </w:r>
    </w:p>
    <w:p>
      <w:pPr>
        <w:pStyle w:val="Heading1"/>
        <w:spacing w:after="100"/>
      </w:pPr>
      <w:r>
        <w:rPr>
          <w:rFonts w:ascii="Calibri" w:cs="Calibri" w:eastAsia="Calibri" w:hAnsi="Calibri"/>
          <w:b/>
          <w:bCs/>
          <w:color w:val="1A1A1A"/>
          <w:sz w:val="30"/>
          <w:szCs w:val="30"/>
        </w:rPr>
        <w:t xml:space="preserve">Übergreifende Gegenprüfung (Advocatus Diaboli)</w:t>
      </w:r>
    </w:p>
    <w:tbl>
      <w:tblPr>
        <w:tblW w:type="dxa" w:w="900"/>
        <w:tblBorders>
          <w:top w:val="single" w:color="auto" w:sz="4"/>
          <w:left w:val="single" w:color="auto" w:sz="4"/>
          <w:bottom w:val="single" w:color="auto" w:sz="4"/>
          <w:right w:val="single" w:color="auto" w:sz="4"/>
          <w:insideH w:val="single" w:color="auto" w:sz="4"/>
          <w:insideV w:val="single" w:color="auto" w:sz="4"/>
        </w:tblBorders>
      </w:tblPr>
      <w:tblGrid>
        <w:gridCol w:w="900"/>
      </w:tblGrid>
      <w:tr>
        <w:tc>
          <w:tcPr>
            <w:tcW w:type="dxa" w:w="900"/>
            <w:tcBorders>
              <w:top w:val="none"/>
              <w:left w:val="none"/>
              <w:bottom w:val="single" w:color="B31E2D" w:sz="24"/>
              <w:right w:val="none"/>
            </w:tcBorders>
            <w:tcMar>
              <w:top w:type="dxa" w:w="0"/>
              <w:left w:type="dxa" w:w="0"/>
              <w:bottom w:type="dxa" w:w="0"/>
              <w:right w:type="dxa" w:w="0"/>
            </w:tcMar>
          </w:tcPr>
          <w:p>
            <w:pPr>
              <w:spacing w:after="0" w:before="0"/>
            </w:pPr>
          </w:p>
        </w:tc>
      </w:tr>
    </w:tbl>
    <w:p>
      <w:pPr>
        <w:spacing w:after="160"/>
      </w:pPr>
    </w:p>
    <w:p>
      <w:pPr>
        <w:pStyle w:val="Heading2"/>
        <w:spacing w:after="100" w:before="260"/>
      </w:pPr>
      <w:r>
        <w:rPr>
          <w:rFonts w:ascii="Calibri" w:cs="Calibri" w:eastAsia="Calibri" w:hAnsi="Calibri"/>
          <w:b/>
          <w:bCs/>
          <w:color w:val="B31E2D"/>
          <w:sz w:val="24"/>
          <w:szCs w:val="24"/>
        </w:rPr>
        <w:t xml:space="preserve">B.1 Widersprüche zwischen den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Befund</w:t>
            </w:r>
          </w:p>
        </w:tc>
        <w:tc>
          <w:tcPr>
            <w:tcW w:type="dxa" w:w="64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Beschreibung</w:t>
            </w:r>
          </w:p>
        </w:tc>
      </w:tr>
      <w:tr>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Zirkularität A.2 ↔ A.3</w:t>
            </w:r>
          </w:p>
        </w:tc>
        <w:tc>
          <w:tcPr>
            <w:tcW w:type="dxa" w:w="64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A.2 rettet seine Kurzfrist-Wirkung über „Exportfähigkeit vorziehen“ — exakt das Argument, das A.3 selbst als durch GlobalG.A.P./GRASP relativiert markiert.</w:t>
            </w:r>
          </w:p>
        </w:tc>
      </w:tr>
      <w:tr>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Doppelte Zählung derselben Datenbasis</w:t>
            </w:r>
          </w:p>
        </w:tc>
        <w:tc>
          <w:tcPr>
            <w:tcW w:type="dxa" w:w="64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A.1 und A.3 nutzen dieselben Felder (Charge/Kühlkette/Rückstandsnachweis) für zwei Adressaten, ohne dass beide Institutionenkontakte verifiziert sind.</w:t>
            </w:r>
          </w:p>
        </w:tc>
      </w:tr>
    </w:tbl>
    <w:p>
      <w:pPr>
        <w:pStyle w:val="Heading2"/>
        <w:spacing w:after="100" w:before="260"/>
      </w:pPr>
      <w:r>
        <w:rPr>
          <w:rFonts w:ascii="Calibri" w:cs="Calibri" w:eastAsia="Calibri" w:hAnsi="Calibri"/>
          <w:b/>
          <w:bCs/>
          <w:color w:val="B31E2D"/>
          <w:sz w:val="24"/>
          <w:szCs w:val="24"/>
        </w:rPr>
        <w:t xml:space="preserve">B.2 Gemeinsame Grundannahme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9820A" w:sz="24"/>
              <w:bottom w:val="none"/>
              <w:right w:val="none"/>
            </w:tcBorders>
            <w:shd w:fill="F1F1F1" w:val="clear"/>
            <w:tcMar>
              <w:top w:type="dxa" w:w="180"/>
              <w:left w:type="dxa" w:w="220"/>
              <w:bottom w:type="dxa" w:w="180"/>
              <w:right w:type="dxa" w:w="220"/>
            </w:tcMar>
          </w:tcPr>
          <w:p>
            <w:pPr>
              <w:spacing w:after="100"/>
            </w:pPr>
            <w:r>
              <w:rPr>
                <w:rFonts w:ascii="Calibri" w:cs="Calibri" w:eastAsia="Calibri" w:hAnsi="Calibri"/>
                <w:b/>
                <w:bCs/>
                <w:caps/>
                <w:color w:val="C9820A"/>
                <w:spacing w:val="20"/>
                <w:sz w:val="16"/>
                <w:szCs w:val="16"/>
              </w:rPr>
              <w:t xml:space="preserve">Prüfergebnis</w:t>
            </w:r>
          </w:p>
          <w:p>
            <w:pPr>
              <w:spacing w:after="60"/>
            </w:pPr>
            <w:r>
              <w:rPr>
                <w:rFonts w:ascii="Georgia" w:cs="Georgia" w:eastAsia="Georgia" w:hAnsi="Georgia"/>
                <w:color w:val="1A1A1A"/>
                <w:sz w:val="21"/>
                <w:szCs w:val="21"/>
              </w:rPr>
              <w:t xml:space="preserve">„Mehr digitale Daten verbessern automatisch den Förderzugang“ — NICHT belegt. In allen drei Fällen ist unabhängig offen, ob die jeweilige Institution Software-Daten überhaupt als Entscheidungskriterium akzeptiert. Drei unbestätigte Einzelthesen ergeben nebeneinander kein robusteres Gesamtbild.</w:t>
            </w:r>
          </w:p>
        </w:tc>
      </w:tr>
    </w:tbl>
    <w:p>
      <w:pPr>
        <w:spacing w:after="200"/>
      </w:pPr>
    </w:p>
    <w:p>
      <w:pPr>
        <w:pStyle w:val="Heading2"/>
        <w:spacing w:after="100" w:before="260"/>
      </w:pPr>
      <w:r>
        <w:rPr>
          <w:rFonts w:ascii="Calibri" w:cs="Calibri" w:eastAsia="Calibri" w:hAnsi="Calibri"/>
          <w:b/>
          <w:bCs/>
          <w:color w:val="B31E2D"/>
          <w:sz w:val="24"/>
          <w:szCs w:val="24"/>
        </w:rPr>
        <w:t xml:space="preserve">B.3 In allen drei Use Cases fehlende Aspekte</w:t>
      </w:r>
    </w:p>
    <w:p>
      <w:pPr>
        <w:pStyle w:val="ListParagraph"/>
        <w:numPr>
          <w:ilvl w:val="0"/>
          <w:numId w:val="1"/>
        </w:numPr>
        <w:spacing w:after="80"/>
      </w:pPr>
      <w:r>
        <w:rPr>
          <w:rFonts w:ascii="Georgia" w:cs="Georgia" w:eastAsia="Georgia" w:hAnsi="Georgia"/>
          <w:color w:val="1A1A1A"/>
          <w:sz w:val="21"/>
          <w:szCs w:val="21"/>
        </w:rPr>
        <w:t xml:space="preserve">Kein tatsächlicher Kontakt zu Sachbearbeitern von AKK, KAF, Damu oder Baqylauda verifiziert.</w:t>
      </w:r>
    </w:p>
    <w:p>
      <w:pPr>
        <w:pStyle w:val="ListParagraph"/>
        <w:numPr>
          <w:ilvl w:val="0"/>
          <w:numId w:val="1"/>
        </w:numPr>
        <w:spacing w:after="80"/>
      </w:pPr>
      <w:r>
        <w:rPr>
          <w:rFonts w:ascii="Georgia" w:cs="Georgia" w:eastAsia="Georgia" w:hAnsi="Georgia"/>
          <w:color w:val="1A1A1A"/>
          <w:sz w:val="21"/>
          <w:szCs w:val="21"/>
        </w:rPr>
        <w:t xml:space="preserve">Sprachbarriere Deutsch ↔ Kasachisch/Russisch bei jedem Behördenkontakt bleibt unadressiert.</w:t>
      </w:r>
    </w:p>
    <w:p>
      <w:pPr>
        <w:pStyle w:val="ListParagraph"/>
        <w:numPr>
          <w:ilvl w:val="0"/>
          <w:numId w:val="1"/>
        </w:numPr>
        <w:spacing w:after="80"/>
      </w:pPr>
      <w:r>
        <w:rPr>
          <w:rFonts w:ascii="Georgia" w:cs="Georgia" w:eastAsia="Georgia" w:hAnsi="Georgia"/>
          <w:color w:val="1A1A1A"/>
          <w:sz w:val="21"/>
          <w:szCs w:val="21"/>
        </w:rPr>
        <w:t xml:space="preserve">Kosten der Implementierung im Verhältnis zum Umsatz eines kleinen Himbeerbetriebs sind nicht beziffert.</w:t>
      </w:r>
    </w:p>
    <w:p>
      <w:pPr>
        <w:pStyle w:val="ListParagraph"/>
        <w:numPr>
          <w:ilvl w:val="0"/>
          <w:numId w:val="1"/>
        </w:numPr>
        <w:spacing w:after="80"/>
      </w:pPr>
      <w:r>
        <w:rPr>
          <w:rFonts w:ascii="Georgia" w:cs="Georgia" w:eastAsia="Georgia" w:hAnsi="Georgia"/>
          <w:color w:val="1A1A1A"/>
          <w:sz w:val="21"/>
          <w:szCs w:val="21"/>
        </w:rPr>
        <w:t xml:space="preserve">Ungeklärt, ob der Pilotbetrieb genug Fläche/Volumen hat, damit sich der Verwaltungsaufwand für einen Förderantrag lohnt.</w:t>
      </w:r>
    </w:p>
    <w:p>
      <w:pPr>
        <w:pStyle w:val="ListParagraph"/>
        <w:numPr>
          <w:ilvl w:val="0"/>
          <w:numId w:val="1"/>
        </w:numPr>
        <w:spacing w:after="80"/>
      </w:pPr>
      <w:r>
        <w:rPr>
          <w:rFonts w:ascii="Georgia" w:cs="Georgia" w:eastAsia="Georgia" w:hAnsi="Georgia"/>
          <w:color w:val="1A1A1A"/>
          <w:sz w:val="21"/>
          <w:szCs w:val="21"/>
        </w:rPr>
        <w:t xml:space="preserve">Internetabhängigkeit trotz „Offline-first“: Jeder Behörden-Sync setzt eine funktionierende Verbindung voraus.</w:t>
      </w:r>
    </w:p>
    <w:p>
      <w:pPr>
        <w:pStyle w:val="ListParagraph"/>
        <w:numPr>
          <w:ilvl w:val="0"/>
          <w:numId w:val="1"/>
        </w:numPr>
        <w:spacing w:after="80"/>
      </w:pPr>
      <w:r>
        <w:rPr>
          <w:rFonts w:ascii="Georgia" w:cs="Georgia" w:eastAsia="Georgia" w:hAnsi="Georgia"/>
          <w:color w:val="1A1A1A"/>
          <w:sz w:val="21"/>
          <w:szCs w:val="21"/>
        </w:rPr>
        <w:t xml:space="preserve">Regulatorisches Risiko: Alle drei Programme hängen an Regierungsvorgaben, die sich ändern können.</w:t>
      </w:r>
    </w:p>
    <w:p>
      <w:pPr>
        <w:pStyle w:val="Heading2"/>
        <w:spacing w:after="100" w:before="260"/>
      </w:pPr>
      <w:r>
        <w:rPr>
          <w:rFonts w:ascii="Calibri" w:cs="Calibri" w:eastAsia="Calibri" w:hAnsi="Calibri"/>
          <w:b/>
          <w:bCs/>
          <w:color w:val="B31E2D"/>
          <w:sz w:val="24"/>
          <w:szCs w:val="24"/>
        </w:rPr>
        <w:t xml:space="preserve">B.4 K6-Neubewertung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Use Case</w:t>
            </w:r>
          </w:p>
        </w:tc>
        <w:tc>
          <w:tcPr>
            <w:tcW w:type="dxa" w:w="32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Ursprüngliche Einstufung</w:t>
            </w:r>
          </w:p>
        </w:tc>
        <w:tc>
          <w:tcPr>
            <w:tcW w:type="dxa" w:w="32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Einstufung nach Gegenprüfung</w:t>
            </w:r>
          </w:p>
        </w:tc>
      </w:tr>
      <w:tr>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A.1 — qoldau.kz</w:t>
            </w:r>
          </w:p>
        </w:tc>
        <w:tc>
          <w:tcPr>
            <w:tcW w:type="dxa" w:w="32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Lohnt sich (ehrliche Form)</w:t>
            </w:r>
          </w:p>
        </w:tc>
        <w:tc>
          <w:tcPr>
            <w:tcW w:type="dxa" w:w="32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Herabgestuft — zentrale Voraussetzung ungeklärt</w:t>
            </w:r>
          </w:p>
        </w:tc>
      </w:tr>
      <w:tr>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A.2 — Damu-Fonds</w:t>
            </w:r>
          </w:p>
        </w:tc>
        <w:tc>
          <w:tcPr>
            <w:tcW w:type="dxa" w:w="32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Phase-2-Nutzenversprechen</w:t>
            </w:r>
          </w:p>
        </w:tc>
        <w:tc>
          <w:tcPr>
            <w:tcW w:type="dxa" w:w="32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Deutlich herabgestuft — zirkuläre Stützung</w:t>
            </w:r>
          </w:p>
        </w:tc>
      </w:tr>
      <w:tr>
        <w:tc>
          <w:tcPr>
            <w:tcW w:type="dxa" w:w="26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A.3 — QazAgro/AKK/KAF</w:t>
            </w:r>
          </w:p>
        </w:tc>
        <w:tc>
          <w:tcPr>
            <w:tcW w:type="dxa" w:w="32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Lohnt sich unter 2 Bedingungen</w:t>
            </w:r>
          </w:p>
        </w:tc>
        <w:tc>
          <w:tcPr>
            <w:tcW w:type="dxa" w:w="32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Herabgestuft — passt nicht erkennbar zu Sonderkulturen</w:t>
            </w:r>
          </w:p>
        </w:tc>
      </w:tr>
    </w:tbl>
    <w:p>
      <w:pPr>
        <w:pStyle w:val="Heading2"/>
        <w:spacing w:after="100" w:before="260"/>
      </w:pPr>
      <w:r>
        <w:rPr>
          <w:rFonts w:ascii="Calibri" w:cs="Calibri" w:eastAsia="Calibri" w:hAnsi="Calibri"/>
          <w:b/>
          <w:bCs/>
          <w:color w:val="B31E2D"/>
          <w:sz w:val="24"/>
          <w:szCs w:val="24"/>
        </w:rPr>
        <w:t xml:space="preserve">B.5 Rangfolge für ein reales Kundengespräch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c>
          <w:tcPr>
            <w:tcW w:type="dxa" w:w="7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Platz</w:t>
            </w:r>
          </w:p>
        </w:tc>
        <w:tc>
          <w:tcPr>
            <w:tcW w:type="dxa" w:w="2800"/>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Use Case</w:t>
            </w:r>
          </w:p>
        </w:tc>
        <w:tc>
          <w:tcPr>
            <w:tcW w:type="dxa" w:w="5526"/>
            <w:tcBorders>
              <w:top w:val="none"/>
              <w:left w:val="none"/>
              <w:bottom w:val="single" w:color="1A1A1A" w:sz="8"/>
              <w:right w:val="none"/>
            </w:tcBorders>
            <w:tcMar>
              <w:top w:type="dxa" w:w="100"/>
              <w:left w:type="dxa" w:w="80"/>
              <w:bottom w:type="dxa" w:w="100"/>
              <w:right w:type="dxa" w:w="80"/>
            </w:tcMar>
          </w:tcPr>
          <w:p>
            <w:r>
              <w:rPr>
                <w:rFonts w:ascii="Calibri" w:cs="Calibri" w:eastAsia="Calibri" w:hAnsi="Calibri"/>
                <w:b w:val="false"/>
                <w:bCs w:val="false"/>
                <w:caps/>
                <w:color w:val="6E6E6E"/>
                <w:spacing w:val="10"/>
                <w:sz w:val="17"/>
                <w:szCs w:val="17"/>
              </w:rPr>
              <w:t xml:space="preserve">Begründung</w:t>
            </w:r>
          </w:p>
        </w:tc>
      </w:tr>
      <w:tr>
        <w:tc>
          <w:tcPr>
            <w:tcW w:type="dxa" w:w="7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1</w:t>
            </w:r>
          </w:p>
        </w:tc>
        <w:tc>
          <w:tcPr>
            <w:tcW w:type="dxa" w:w="2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A.1 — qoldau.kz (Nachweis-Zulieferer)</w:t>
            </w:r>
          </w:p>
        </w:tc>
        <w:tc>
          <w:tcPr>
            <w:tcW w:type="dxa" w:w="55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Eigenständiger Produktnutzen, trägt auch ohne erfolgreichen Förderantrag.</w:t>
            </w:r>
          </w:p>
        </w:tc>
      </w:tr>
      <w:tr>
        <w:tc>
          <w:tcPr>
            <w:tcW w:type="dxa" w:w="7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2</w:t>
            </w:r>
          </w:p>
        </w:tc>
        <w:tc>
          <w:tcPr>
            <w:tcW w:type="dxa" w:w="2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A.3 — QazAgro/AKK/KAF (Modernisierung)</w:t>
            </w:r>
          </w:p>
        </w:tc>
        <w:tc>
          <w:tcPr>
            <w:tcW w:type="dxa" w:w="55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Anschlussfähig, aber erst nach Klärung mit einem Sachbearbeiter.</w:t>
            </w:r>
          </w:p>
        </w:tc>
      </w:tr>
      <w:tr>
        <w:tc>
          <w:tcPr>
            <w:tcW w:type="dxa" w:w="7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3</w:t>
            </w:r>
          </w:p>
        </w:tc>
        <w:tc>
          <w:tcPr>
            <w:tcW w:type="dxa" w:w="2800"/>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A.2 — Damu-Fonds (Bankfähigkeit)</w:t>
            </w:r>
          </w:p>
        </w:tc>
        <w:tc>
          <w:tcPr>
            <w:tcW w:type="dxa" w:w="5526"/>
            <w:tcBorders>
              <w:top w:val="none"/>
              <w:left w:val="none"/>
              <w:bottom w:val="single" w:color="CFCFCF" w:sz="4"/>
              <w:right w:val="none"/>
            </w:tcBorders>
            <w:tcMar>
              <w:top w:type="dxa" w:w="100"/>
              <w:left w:type="dxa" w:w="80"/>
              <w:bottom w:type="dxa" w:w="100"/>
              <w:right w:type="dxa" w:w="80"/>
            </w:tcMar>
          </w:tcPr>
          <w:p>
            <w:r>
              <w:rPr>
                <w:rFonts w:ascii="Georgia" w:cs="Georgia" w:eastAsia="Georgia" w:hAnsi="Georgia"/>
                <w:b w:val="false"/>
                <w:bCs w:val="false"/>
                <w:caps w:val="false"/>
                <w:color w:val="1A1A1A"/>
                <w:sz w:val="20"/>
                <w:szCs w:val="20"/>
              </w:rPr>
              <w:t xml:space="preserve">Vom eigenen Autor auf Phase 2 verschoben — kein Kurzfristargument.</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6"/>
      </w:pBdr>
      <w:tabs>
        <w:tab w:val="right" w:pos="9026"/>
      </w:tabs>
    </w:pPr>
    <w:r>
      <w:rPr>
        <w:rFonts w:ascii="Calibri" w:cs="Calibri" w:eastAsia="Calibri" w:hAnsi="Calibri"/>
        <w:color w:val="6E6E6E"/>
        <w:sz w:val="16"/>
        <w:szCs w:val="16"/>
      </w:rPr>
      <w:t xml:space="preserve">WAMOCON · Entwurfsstand 08. September 2026 · Arbeitspapier, Diskussionsgrundlage</w:t>
    </w:r>
    <w:r>
      <w:rPr>
        <w:sz w:val="16"/>
        <w:szCs w:val="16"/>
      </w:rPr>
      <w:t xml:space="preserve">	</w:t>
    </w:r>
    <w:r>
      <w:rPr>
        <w:rFonts w:ascii="Calibri" w:cs="Calibri" w:eastAsia="Calibri" w:hAnsi="Calibri"/>
        <w:color w:val="6E6E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6"/>
      </w:pBdr>
      <w:tabs>
        <w:tab w:val="right" w:pos="9026"/>
      </w:tabs>
    </w:pPr>
    <w:r>
      <w:rPr>
        <w:rFonts w:ascii="Calibri" w:cs="Calibri" w:eastAsia="Calibri" w:hAnsi="Calibri"/>
        <w:color w:val="6E6E6E"/>
        <w:sz w:val="16"/>
        <w:szCs w:val="16"/>
      </w:rPr>
      <w:t xml:space="preserve">WAMOCON · Entwurfsstand 08. September 2026 · Arbeitspapier, Diskussionsgrundlage</w:t>
    </w:r>
    <w:r>
      <w:rPr>
        <w:sz w:val="16"/>
        <w:szCs w:val="16"/>
      </w:rPr>
      <w:t xml:space="preserve">	</w:t>
    </w:r>
    <w:r>
      <w:rPr>
        <w:rFonts w:ascii="Calibri" w:cs="Calibri" w:eastAsia="Calibri" w:hAnsi="Calibri"/>
        <w:color w:val="6E6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F1F1F1" w:val="clear"/>
      <w:spacing w:after="120" w:before="120"/>
      <w:jc w:val="right"/>
    </w:pPr>
    <w:r>
      <w:rPr>
        <w:rFonts w:ascii="Calibri" w:cs="Calibri" w:eastAsia="Calibri" w:hAnsi="Calibri"/>
        <w:color w:val="6E6E6E"/>
        <w:spacing w:val="10"/>
        <w:sz w:val="16"/>
        <w:szCs w:val="16"/>
      </w:rPr>
      <w:t xml:space="preserve">WAMOCON · Marktstrategie Kasachstan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2026-09-09T05:50:24.852Z</dcterms:created>
  <dcterms:modified xsi:type="dcterms:W3CDTF">2026-09-09T05:50:24.853Z</dcterms:modified>
</cp:coreProperties>
</file>

<file path=docProps/custom.xml><?xml version="1.0" encoding="utf-8"?>
<Properties xmlns="http://schemas.openxmlformats.org/officeDocument/2006/custom-properties" xmlns:vt="http://schemas.openxmlformats.org/officeDocument/2006/docPropsVTypes"/>
</file>